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D143" w14:textId="77777777" w:rsidR="00564266" w:rsidRPr="00394ED7" w:rsidRDefault="00564266" w:rsidP="00657706">
      <w:pPr>
        <w:spacing w:after="0" w:line="276"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657706">
      <w:pPr>
        <w:spacing w:after="0" w:line="276"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657706">
      <w:pPr>
        <w:spacing w:after="0" w:line="276"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657706">
      <w:pPr>
        <w:spacing w:after="0" w:line="276"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657706">
      <w:pPr>
        <w:spacing w:after="0" w:line="276" w:lineRule="auto"/>
        <w:ind w:left="0"/>
        <w:jc w:val="right"/>
        <w:rPr>
          <w:rFonts w:ascii="Arial" w:eastAsia="Times New Roman" w:hAnsi="Arial" w:cs="Arial"/>
          <w:b/>
          <w:szCs w:val="24"/>
        </w:rPr>
      </w:pPr>
    </w:p>
    <w:p w14:paraId="0AA52391" w14:textId="163AC40E" w:rsidR="00817A7E" w:rsidRDefault="00817A7E" w:rsidP="00657706">
      <w:pPr>
        <w:spacing w:after="0" w:line="276" w:lineRule="auto"/>
        <w:ind w:left="5040" w:firstLine="720"/>
        <w:jc w:val="right"/>
        <w:rPr>
          <w:rFonts w:ascii="Arial" w:eastAsia="Times New Roman" w:hAnsi="Arial" w:cs="Arial"/>
          <w:b/>
          <w:bCs/>
          <w:szCs w:val="24"/>
          <w:u w:val="single"/>
        </w:rPr>
      </w:pPr>
      <w:r>
        <w:rPr>
          <w:rFonts w:ascii="Arial" w:eastAsia="Times New Roman" w:hAnsi="Arial" w:cs="Arial"/>
          <w:b/>
          <w:szCs w:val="24"/>
        </w:rPr>
        <w:t xml:space="preserve">      </w:t>
      </w:r>
      <w:r w:rsidR="00785619">
        <w:rPr>
          <w:rFonts w:ascii="Arial" w:eastAsia="Times New Roman" w:hAnsi="Arial" w:cs="Arial"/>
          <w:b/>
          <w:szCs w:val="24"/>
        </w:rPr>
        <w:t>CASE NUMBER</w:t>
      </w:r>
      <w:r w:rsidR="00785619" w:rsidRPr="00394ED7">
        <w:rPr>
          <w:rFonts w:ascii="Arial" w:eastAsia="Times New Roman" w:hAnsi="Arial" w:cs="Arial"/>
          <w:b/>
          <w:szCs w:val="24"/>
        </w:rPr>
        <w:t xml:space="preserve">: </w:t>
      </w:r>
      <w:bookmarkStart w:id="0" w:name="_Hlk137038707"/>
      <w:r>
        <w:rPr>
          <w:rFonts w:ascii="Arial" w:eastAsia="Times New Roman" w:hAnsi="Arial" w:cs="Arial"/>
          <w:b/>
          <w:szCs w:val="24"/>
        </w:rPr>
        <w:t xml:space="preserve"> </w:t>
      </w:r>
      <w:r w:rsidRPr="00817A7E">
        <w:rPr>
          <w:rFonts w:ascii="Arial" w:eastAsia="Times New Roman" w:hAnsi="Arial" w:cs="Arial"/>
          <w:b/>
          <w:bCs/>
          <w:szCs w:val="24"/>
          <w:u w:val="single"/>
        </w:rPr>
        <w:t>202</w:t>
      </w:r>
      <w:r w:rsidR="00992507">
        <w:rPr>
          <w:rFonts w:ascii="Arial" w:eastAsia="Times New Roman" w:hAnsi="Arial" w:cs="Arial"/>
          <w:b/>
          <w:bCs/>
          <w:szCs w:val="24"/>
          <w:u w:val="single"/>
        </w:rPr>
        <w:t>2</w:t>
      </w:r>
      <w:r w:rsidRPr="00817A7E">
        <w:rPr>
          <w:rFonts w:ascii="Arial" w:eastAsia="Times New Roman" w:hAnsi="Arial" w:cs="Arial"/>
          <w:b/>
          <w:bCs/>
          <w:szCs w:val="24"/>
          <w:u w:val="single"/>
        </w:rPr>
        <w:t>/</w:t>
      </w:r>
      <w:r w:rsidR="00D54B4F">
        <w:rPr>
          <w:rFonts w:ascii="Arial" w:eastAsia="Times New Roman" w:hAnsi="Arial" w:cs="Arial"/>
          <w:b/>
          <w:bCs/>
          <w:szCs w:val="24"/>
          <w:u w:val="single"/>
        </w:rPr>
        <w:t>20584</w:t>
      </w:r>
    </w:p>
    <w:bookmarkEnd w:id="0"/>
    <w:p w14:paraId="1FF69AB5" w14:textId="31FC699D" w:rsidR="00ED35E1" w:rsidRDefault="00ED35E1" w:rsidP="00657706">
      <w:pPr>
        <w:spacing w:after="0" w:line="276"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42BD44A8">
                <wp:simplePos x="0" y="0"/>
                <wp:positionH relativeFrom="margin">
                  <wp:posOffset>0</wp:posOffset>
                </wp:positionH>
                <wp:positionV relativeFrom="page">
                  <wp:posOffset>3200400</wp:posOffset>
                </wp:positionV>
                <wp:extent cx="3314700" cy="1266825"/>
                <wp:effectExtent l="0" t="0" r="19050" b="2857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1D29B929" w:rsidR="00ED35E1" w:rsidRPr="004120A8" w:rsidRDefault="00B86202" w:rsidP="00B8620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6FDA1A24" w:rsidR="00ED35E1" w:rsidRPr="004120A8" w:rsidRDefault="00B86202" w:rsidP="00B8620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687F1F21" w:rsidR="00ED35E1" w:rsidRPr="004120A8" w:rsidRDefault="00B86202" w:rsidP="00B8620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2D91E9B8"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D54B4F" w:rsidRPr="00DC7414">
                              <w:rPr>
                                <w:rFonts w:ascii="Century Gothic" w:hAnsi="Century Gothic"/>
                                <w:b/>
                                <w:sz w:val="18"/>
                                <w:szCs w:val="18"/>
                              </w:rPr>
                              <w:t>4</w:t>
                            </w:r>
                            <w:r w:rsidR="00FC0C7D" w:rsidRPr="00DC7414">
                              <w:rPr>
                                <w:rFonts w:ascii="Century Gothic" w:hAnsi="Century Gothic"/>
                                <w:b/>
                                <w:sz w:val="18"/>
                                <w:szCs w:val="18"/>
                              </w:rPr>
                              <w:t xml:space="preserve"> Ju</w:t>
                            </w:r>
                            <w:r w:rsidR="00D54B4F" w:rsidRPr="00DC7414">
                              <w:rPr>
                                <w:rFonts w:ascii="Century Gothic" w:hAnsi="Century Gothic"/>
                                <w:b/>
                                <w:sz w:val="18"/>
                                <w:szCs w:val="18"/>
                              </w:rPr>
                              <w:t>ly</w:t>
                            </w:r>
                            <w:r w:rsidR="00FC0C7D" w:rsidRPr="00DC7414">
                              <w:rPr>
                                <w:rFonts w:ascii="Century Gothic" w:hAnsi="Century Gothic"/>
                                <w:b/>
                                <w:sz w:val="18"/>
                                <w:szCs w:val="18"/>
                              </w:rPr>
                              <w:t xml:space="preserve"> </w:t>
                            </w:r>
                            <w:r w:rsidRPr="00DC7414">
                              <w:rPr>
                                <w:rFonts w:ascii="Century Gothic" w:hAnsi="Century Gothic"/>
                                <w:b/>
                                <w:sz w:val="18"/>
                                <w:szCs w:val="18"/>
                              </w:rPr>
                              <w:t>202</w:t>
                            </w:r>
                            <w:r w:rsidR="00116F0B" w:rsidRPr="00DC7414">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1D29B929" w:rsidR="00ED35E1" w:rsidRPr="004120A8" w:rsidRDefault="00B86202" w:rsidP="00B8620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6FDA1A24" w:rsidR="00ED35E1" w:rsidRPr="004120A8" w:rsidRDefault="00B86202" w:rsidP="00B8620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687F1F21" w:rsidR="00ED35E1" w:rsidRPr="004120A8" w:rsidRDefault="00B86202" w:rsidP="00B86202">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2D91E9B8"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D54B4F" w:rsidRPr="00DC7414">
                        <w:rPr>
                          <w:rFonts w:ascii="Century Gothic" w:hAnsi="Century Gothic"/>
                          <w:b/>
                          <w:sz w:val="18"/>
                          <w:szCs w:val="18"/>
                        </w:rPr>
                        <w:t>4</w:t>
                      </w:r>
                      <w:r w:rsidR="00FC0C7D" w:rsidRPr="00DC7414">
                        <w:rPr>
                          <w:rFonts w:ascii="Century Gothic" w:hAnsi="Century Gothic"/>
                          <w:b/>
                          <w:sz w:val="18"/>
                          <w:szCs w:val="18"/>
                        </w:rPr>
                        <w:t xml:space="preserve"> Ju</w:t>
                      </w:r>
                      <w:r w:rsidR="00D54B4F" w:rsidRPr="00DC7414">
                        <w:rPr>
                          <w:rFonts w:ascii="Century Gothic" w:hAnsi="Century Gothic"/>
                          <w:b/>
                          <w:sz w:val="18"/>
                          <w:szCs w:val="18"/>
                        </w:rPr>
                        <w:t>ly</w:t>
                      </w:r>
                      <w:r w:rsidR="00FC0C7D" w:rsidRPr="00DC7414">
                        <w:rPr>
                          <w:rFonts w:ascii="Century Gothic" w:hAnsi="Century Gothic"/>
                          <w:b/>
                          <w:sz w:val="18"/>
                          <w:szCs w:val="18"/>
                        </w:rPr>
                        <w:t xml:space="preserve"> </w:t>
                      </w:r>
                      <w:r w:rsidRPr="00DC7414">
                        <w:rPr>
                          <w:rFonts w:ascii="Century Gothic" w:hAnsi="Century Gothic"/>
                          <w:b/>
                          <w:sz w:val="18"/>
                          <w:szCs w:val="18"/>
                        </w:rPr>
                        <w:t>202</w:t>
                      </w:r>
                      <w:r w:rsidR="00116F0B" w:rsidRPr="00DC7414">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square" anchorx="margin" anchory="page"/>
              </v:shape>
            </w:pict>
          </mc:Fallback>
        </mc:AlternateContent>
      </w:r>
    </w:p>
    <w:p w14:paraId="7CDE7597" w14:textId="77777777" w:rsidR="00817A7E" w:rsidRDefault="00564266" w:rsidP="00657706">
      <w:pPr>
        <w:spacing w:after="0" w:line="276"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p>
    <w:p w14:paraId="53CBE15E" w14:textId="77777777" w:rsidR="00817A7E" w:rsidRDefault="00817A7E" w:rsidP="00657706">
      <w:pPr>
        <w:spacing w:after="0" w:line="276" w:lineRule="auto"/>
        <w:ind w:left="0"/>
        <w:jc w:val="left"/>
        <w:rPr>
          <w:rFonts w:ascii="Arial" w:eastAsia="Times New Roman" w:hAnsi="Arial" w:cs="Arial"/>
          <w:b/>
          <w:szCs w:val="24"/>
        </w:rPr>
      </w:pPr>
    </w:p>
    <w:p w14:paraId="22B1B711" w14:textId="77777777" w:rsidR="00817A7E" w:rsidRDefault="00817A7E" w:rsidP="00657706">
      <w:pPr>
        <w:spacing w:after="0" w:line="276" w:lineRule="auto"/>
        <w:ind w:left="0"/>
        <w:jc w:val="left"/>
        <w:rPr>
          <w:rFonts w:ascii="Arial" w:eastAsia="Times New Roman" w:hAnsi="Arial" w:cs="Arial"/>
          <w:b/>
          <w:szCs w:val="24"/>
        </w:rPr>
      </w:pPr>
    </w:p>
    <w:p w14:paraId="30E3855B" w14:textId="77777777" w:rsidR="00817A7E" w:rsidRDefault="00817A7E" w:rsidP="00657706">
      <w:pPr>
        <w:spacing w:after="0" w:line="276" w:lineRule="auto"/>
        <w:ind w:left="0"/>
        <w:jc w:val="left"/>
        <w:rPr>
          <w:rFonts w:ascii="Arial" w:eastAsia="Times New Roman" w:hAnsi="Arial" w:cs="Arial"/>
          <w:b/>
          <w:szCs w:val="24"/>
        </w:rPr>
      </w:pPr>
    </w:p>
    <w:p w14:paraId="74D1F2DA" w14:textId="77777777" w:rsidR="00817A7E" w:rsidRDefault="00817A7E" w:rsidP="00657706">
      <w:pPr>
        <w:spacing w:after="0" w:line="276" w:lineRule="auto"/>
        <w:ind w:left="0"/>
        <w:jc w:val="left"/>
        <w:rPr>
          <w:rFonts w:ascii="Arial" w:eastAsia="Times New Roman" w:hAnsi="Arial" w:cs="Arial"/>
          <w:b/>
          <w:szCs w:val="24"/>
        </w:rPr>
      </w:pPr>
    </w:p>
    <w:p w14:paraId="70B6B45C" w14:textId="1AAA028F" w:rsidR="00817A7E" w:rsidRPr="00BB26FE" w:rsidRDefault="00817A7E" w:rsidP="00BB26FE">
      <w:pPr>
        <w:spacing w:after="0" w:line="240" w:lineRule="auto"/>
        <w:ind w:left="0"/>
        <w:jc w:val="left"/>
        <w:rPr>
          <w:rFonts w:ascii="Arial" w:eastAsia="Times New Roman" w:hAnsi="Arial" w:cs="Arial"/>
          <w:b/>
          <w:szCs w:val="24"/>
        </w:rPr>
      </w:pPr>
    </w:p>
    <w:p w14:paraId="5040A284" w14:textId="77777777" w:rsidR="00A96CFC" w:rsidRDefault="00A96CFC" w:rsidP="00BB26FE">
      <w:pPr>
        <w:spacing w:after="0" w:line="240" w:lineRule="auto"/>
        <w:ind w:left="2160" w:hanging="2160"/>
        <w:rPr>
          <w:rFonts w:ascii="Arial" w:eastAsia="Times New Roman" w:hAnsi="Arial" w:cs="Arial"/>
          <w:szCs w:val="24"/>
        </w:rPr>
      </w:pPr>
    </w:p>
    <w:p w14:paraId="3FA5A9D8" w14:textId="0B54AC27" w:rsidR="00D54B4F" w:rsidRDefault="00D54B4F" w:rsidP="00D54B4F">
      <w:pPr>
        <w:spacing w:after="0" w:line="240" w:lineRule="auto"/>
        <w:rPr>
          <w:rFonts w:ascii="Arial" w:hAnsi="Arial" w:cs="Arial"/>
          <w:szCs w:val="24"/>
          <w:lang w:val="en-US"/>
        </w:rPr>
      </w:pPr>
      <w:r w:rsidRPr="00FA2463">
        <w:rPr>
          <w:rFonts w:ascii="Arial" w:hAnsi="Arial" w:cs="Arial"/>
          <w:b/>
          <w:bCs/>
          <w:szCs w:val="24"/>
          <w:lang w:val="en-US"/>
        </w:rPr>
        <w:t>CESLEY OLIVIER</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 xml:space="preserve">         </w:t>
      </w:r>
      <w:r>
        <w:rPr>
          <w:rFonts w:ascii="Arial" w:hAnsi="Arial" w:cs="Arial"/>
          <w:szCs w:val="24"/>
          <w:lang w:val="en-US"/>
        </w:rPr>
        <w:tab/>
        <w:t xml:space="preserve">    First Applicant</w:t>
      </w:r>
    </w:p>
    <w:p w14:paraId="51719DAF" w14:textId="77777777" w:rsidR="00D54B4F" w:rsidRDefault="00D54B4F" w:rsidP="00D54B4F">
      <w:pPr>
        <w:spacing w:after="0" w:line="240" w:lineRule="auto"/>
        <w:rPr>
          <w:rFonts w:ascii="Arial" w:hAnsi="Arial" w:cs="Arial"/>
          <w:b/>
          <w:bCs/>
          <w:szCs w:val="24"/>
          <w:lang w:val="en-US"/>
        </w:rPr>
      </w:pPr>
    </w:p>
    <w:p w14:paraId="0EBB10BA" w14:textId="116FFA4D" w:rsidR="00D54B4F" w:rsidRDefault="00D54B4F" w:rsidP="00D54B4F">
      <w:pPr>
        <w:spacing w:after="0" w:line="240" w:lineRule="auto"/>
        <w:rPr>
          <w:rFonts w:ascii="Arial" w:hAnsi="Arial" w:cs="Arial"/>
          <w:szCs w:val="24"/>
          <w:lang w:val="en-US"/>
        </w:rPr>
      </w:pPr>
      <w:r w:rsidRPr="00FA2463">
        <w:rPr>
          <w:rFonts w:ascii="Arial" w:hAnsi="Arial" w:cs="Arial"/>
          <w:b/>
          <w:bCs/>
          <w:szCs w:val="24"/>
          <w:lang w:val="en-US"/>
        </w:rPr>
        <w:t>MARIUS NICOLAS OLIVIER</w:t>
      </w:r>
      <w:r>
        <w:rPr>
          <w:rFonts w:ascii="Arial" w:hAnsi="Arial" w:cs="Arial"/>
          <w:szCs w:val="24"/>
          <w:lang w:val="en-US"/>
        </w:rPr>
        <w:t xml:space="preserve">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 xml:space="preserve">          Second Applicant</w:t>
      </w:r>
    </w:p>
    <w:p w14:paraId="397D745B" w14:textId="77777777" w:rsidR="00D54B4F" w:rsidRDefault="00D54B4F" w:rsidP="00D54B4F">
      <w:pPr>
        <w:spacing w:after="0" w:line="240" w:lineRule="auto"/>
        <w:rPr>
          <w:rFonts w:ascii="Arial" w:hAnsi="Arial" w:cs="Arial"/>
          <w:szCs w:val="24"/>
          <w:lang w:val="en-US"/>
        </w:rPr>
      </w:pPr>
    </w:p>
    <w:p w14:paraId="1CE59729" w14:textId="77777777" w:rsidR="00D54B4F" w:rsidRDefault="00D54B4F" w:rsidP="00D54B4F">
      <w:pPr>
        <w:spacing w:after="0" w:line="240" w:lineRule="auto"/>
        <w:rPr>
          <w:rFonts w:ascii="Arial" w:hAnsi="Arial" w:cs="Arial"/>
          <w:szCs w:val="24"/>
          <w:lang w:val="en-US"/>
        </w:rPr>
      </w:pPr>
      <w:r>
        <w:rPr>
          <w:rFonts w:ascii="Arial" w:hAnsi="Arial" w:cs="Arial"/>
          <w:szCs w:val="24"/>
          <w:lang w:val="en-US"/>
        </w:rPr>
        <w:t>and</w:t>
      </w:r>
    </w:p>
    <w:p w14:paraId="2EE4BA0A" w14:textId="77777777" w:rsidR="00D54B4F" w:rsidRDefault="00D54B4F" w:rsidP="00D54B4F">
      <w:pPr>
        <w:spacing w:after="0" w:line="240" w:lineRule="auto"/>
        <w:rPr>
          <w:rFonts w:ascii="Arial" w:hAnsi="Arial" w:cs="Arial"/>
          <w:szCs w:val="24"/>
          <w:lang w:val="en-US"/>
        </w:rPr>
      </w:pPr>
    </w:p>
    <w:p w14:paraId="17C1E9AD" w14:textId="5A1B39E6" w:rsidR="00D54B4F" w:rsidRDefault="00D54B4F" w:rsidP="00D54B4F">
      <w:pPr>
        <w:spacing w:after="0" w:line="240" w:lineRule="auto"/>
        <w:rPr>
          <w:rFonts w:ascii="Arial" w:hAnsi="Arial" w:cs="Arial"/>
          <w:szCs w:val="24"/>
          <w:lang w:val="en-US"/>
        </w:rPr>
      </w:pPr>
      <w:r w:rsidRPr="00FA2463">
        <w:rPr>
          <w:rFonts w:ascii="Arial" w:hAnsi="Arial" w:cs="Arial"/>
          <w:b/>
          <w:bCs/>
          <w:szCs w:val="24"/>
          <w:lang w:val="en-US"/>
        </w:rPr>
        <w:t>STANL</w:t>
      </w:r>
      <w:r>
        <w:rPr>
          <w:rFonts w:ascii="Arial" w:hAnsi="Arial" w:cs="Arial"/>
          <w:b/>
          <w:bCs/>
          <w:szCs w:val="24"/>
          <w:lang w:val="en-US"/>
        </w:rPr>
        <w:t>E</w:t>
      </w:r>
      <w:r w:rsidRPr="00FA2463">
        <w:rPr>
          <w:rFonts w:ascii="Arial" w:hAnsi="Arial" w:cs="Arial"/>
          <w:b/>
          <w:bCs/>
          <w:szCs w:val="24"/>
          <w:lang w:val="en-US"/>
        </w:rPr>
        <w:t>Y BLESSING MANZINI</w:t>
      </w:r>
      <w:r>
        <w:rPr>
          <w:rFonts w:ascii="Arial" w:hAnsi="Arial" w:cs="Arial"/>
          <w:szCs w:val="24"/>
          <w:lang w:val="en-US"/>
        </w:rPr>
        <w:t xml:space="preserve">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 xml:space="preserve">     </w:t>
      </w:r>
      <w:r>
        <w:rPr>
          <w:rFonts w:ascii="Arial" w:hAnsi="Arial" w:cs="Arial"/>
          <w:szCs w:val="24"/>
          <w:lang w:val="en-US"/>
        </w:rPr>
        <w:tab/>
        <w:t>First Respondent</w:t>
      </w:r>
    </w:p>
    <w:p w14:paraId="052E55BD" w14:textId="77777777" w:rsidR="00D54B4F" w:rsidRDefault="00D54B4F" w:rsidP="00D54B4F">
      <w:pPr>
        <w:spacing w:after="0" w:line="240" w:lineRule="auto"/>
        <w:rPr>
          <w:rFonts w:ascii="Arial" w:hAnsi="Arial" w:cs="Arial"/>
          <w:b/>
          <w:bCs/>
          <w:szCs w:val="24"/>
          <w:lang w:val="en-US"/>
        </w:rPr>
      </w:pPr>
    </w:p>
    <w:p w14:paraId="5D9BD680" w14:textId="287EDC94" w:rsidR="00D54B4F" w:rsidRDefault="00D54B4F" w:rsidP="00D54B4F">
      <w:pPr>
        <w:spacing w:after="0" w:line="240" w:lineRule="auto"/>
        <w:rPr>
          <w:rFonts w:ascii="Arial" w:hAnsi="Arial" w:cs="Arial"/>
          <w:szCs w:val="24"/>
          <w:lang w:val="en-US"/>
        </w:rPr>
      </w:pPr>
      <w:r w:rsidRPr="00FA2463">
        <w:rPr>
          <w:rFonts w:ascii="Arial" w:hAnsi="Arial" w:cs="Arial"/>
          <w:b/>
          <w:bCs/>
          <w:szCs w:val="24"/>
          <w:lang w:val="en-US"/>
        </w:rPr>
        <w:t>NOLUTHANDO BEAUTY MANZINI</w:t>
      </w:r>
      <w:r>
        <w:rPr>
          <w:rFonts w:ascii="Arial" w:hAnsi="Arial" w:cs="Arial"/>
          <w:szCs w:val="24"/>
          <w:lang w:val="en-US"/>
        </w:rPr>
        <w:t xml:space="preserve">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 xml:space="preserve">     Second Respondent</w:t>
      </w:r>
    </w:p>
    <w:p w14:paraId="3E80D819" w14:textId="77777777" w:rsidR="00D54B4F" w:rsidRDefault="00D54B4F" w:rsidP="00D54B4F">
      <w:pPr>
        <w:spacing w:after="0" w:line="240" w:lineRule="auto"/>
        <w:rPr>
          <w:rFonts w:ascii="Arial" w:hAnsi="Arial" w:cs="Arial"/>
          <w:b/>
          <w:bCs/>
          <w:szCs w:val="24"/>
          <w:lang w:val="en-US"/>
        </w:rPr>
      </w:pPr>
    </w:p>
    <w:p w14:paraId="6FEF0AA0" w14:textId="59A14F80" w:rsidR="00D54B4F" w:rsidRDefault="00D54B4F" w:rsidP="00D54B4F">
      <w:pPr>
        <w:spacing w:after="0" w:line="240" w:lineRule="auto"/>
        <w:rPr>
          <w:rFonts w:ascii="Arial" w:hAnsi="Arial" w:cs="Arial"/>
          <w:szCs w:val="24"/>
          <w:lang w:val="en-US"/>
        </w:rPr>
      </w:pPr>
      <w:r w:rsidRPr="00FA2463">
        <w:rPr>
          <w:rFonts w:ascii="Arial" w:hAnsi="Arial" w:cs="Arial"/>
          <w:b/>
          <w:bCs/>
          <w:szCs w:val="24"/>
          <w:lang w:val="en-US"/>
        </w:rPr>
        <w:t>GARY ROSS ATTORNEYS INCORPORATED</w:t>
      </w:r>
      <w:r>
        <w:rPr>
          <w:rFonts w:ascii="Arial" w:hAnsi="Arial" w:cs="Arial"/>
          <w:szCs w:val="24"/>
          <w:lang w:val="en-US"/>
        </w:rPr>
        <w:t xml:space="preserve"> </w:t>
      </w:r>
      <w:r>
        <w:rPr>
          <w:rFonts w:ascii="Arial" w:hAnsi="Arial" w:cs="Arial"/>
          <w:szCs w:val="24"/>
          <w:lang w:val="en-US"/>
        </w:rPr>
        <w:tab/>
      </w:r>
      <w:r>
        <w:rPr>
          <w:rFonts w:ascii="Arial" w:hAnsi="Arial" w:cs="Arial"/>
          <w:szCs w:val="24"/>
          <w:lang w:val="en-US"/>
        </w:rPr>
        <w:tab/>
      </w:r>
      <w:r>
        <w:rPr>
          <w:rFonts w:ascii="Arial" w:hAnsi="Arial" w:cs="Arial"/>
          <w:szCs w:val="24"/>
          <w:lang w:val="en-US"/>
        </w:rPr>
        <w:tab/>
        <w:t xml:space="preserve">         Third Respondent</w:t>
      </w:r>
    </w:p>
    <w:p w14:paraId="40778A45" w14:textId="77777777" w:rsidR="00D54B4F" w:rsidRDefault="00D54B4F" w:rsidP="00D54B4F">
      <w:pPr>
        <w:spacing w:after="0" w:line="240" w:lineRule="auto"/>
        <w:rPr>
          <w:rFonts w:ascii="Arial" w:hAnsi="Arial" w:cs="Arial"/>
          <w:b/>
          <w:bCs/>
          <w:szCs w:val="24"/>
          <w:lang w:val="en-US"/>
        </w:rPr>
      </w:pPr>
    </w:p>
    <w:p w14:paraId="45005381" w14:textId="77777777" w:rsidR="00D54B4F" w:rsidRDefault="00D54B4F" w:rsidP="00D54B4F">
      <w:pPr>
        <w:spacing w:after="0" w:line="240" w:lineRule="auto"/>
        <w:rPr>
          <w:rFonts w:ascii="Arial" w:hAnsi="Arial" w:cs="Arial"/>
          <w:b/>
          <w:bCs/>
          <w:szCs w:val="24"/>
          <w:lang w:val="en-US"/>
        </w:rPr>
      </w:pPr>
      <w:r w:rsidRPr="00FA2463">
        <w:rPr>
          <w:rFonts w:ascii="Arial" w:hAnsi="Arial" w:cs="Arial"/>
          <w:b/>
          <w:bCs/>
          <w:szCs w:val="24"/>
          <w:lang w:val="en-US"/>
        </w:rPr>
        <w:t>THE CITY OF EKURHULENI METROPOLITAN</w:t>
      </w:r>
    </w:p>
    <w:p w14:paraId="38905EEB" w14:textId="5FD214EC" w:rsidR="00D54B4F" w:rsidRDefault="00D54B4F" w:rsidP="00D54B4F">
      <w:pPr>
        <w:spacing w:after="0" w:line="240" w:lineRule="auto"/>
        <w:rPr>
          <w:rFonts w:ascii="Arial" w:hAnsi="Arial" w:cs="Arial"/>
          <w:szCs w:val="24"/>
          <w:lang w:val="en-US"/>
        </w:rPr>
      </w:pPr>
      <w:r w:rsidRPr="00FA2463">
        <w:rPr>
          <w:rFonts w:ascii="Arial" w:hAnsi="Arial" w:cs="Arial"/>
          <w:b/>
          <w:bCs/>
          <w:szCs w:val="24"/>
          <w:lang w:val="en-US"/>
        </w:rPr>
        <w:t>MUNICIPALITY</w:t>
      </w:r>
      <w:r>
        <w:rPr>
          <w:rFonts w:ascii="Arial" w:hAnsi="Arial" w:cs="Arial"/>
          <w:szCs w:val="24"/>
          <w:lang w:val="en-US"/>
        </w:rPr>
        <w:t xml:space="preserve">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t xml:space="preserve">       Fourth Respondent</w:t>
      </w:r>
    </w:p>
    <w:p w14:paraId="78D5722C" w14:textId="77777777" w:rsidR="00CB5402" w:rsidRDefault="00785619" w:rsidP="00657706">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657706">
      <w:pPr>
        <w:spacing w:after="0" w:line="240" w:lineRule="auto"/>
        <w:ind w:left="0"/>
        <w:jc w:val="center"/>
        <w:rPr>
          <w:rFonts w:ascii="Arial" w:eastAsia="Times New Roman" w:hAnsi="Arial" w:cs="Arial"/>
          <w:b/>
          <w:szCs w:val="24"/>
        </w:rPr>
      </w:pPr>
    </w:p>
    <w:p w14:paraId="7C41F231" w14:textId="77777777" w:rsidR="00EB45B2" w:rsidRDefault="00785619" w:rsidP="00657706">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JUDGMENT</w:t>
      </w:r>
    </w:p>
    <w:p w14:paraId="44B5535B" w14:textId="77777777" w:rsidR="00785619" w:rsidRPr="00785619" w:rsidRDefault="00785619" w:rsidP="00657706">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657706">
      <w:pPr>
        <w:spacing w:after="0" w:line="240" w:lineRule="auto"/>
        <w:ind w:left="0"/>
        <w:rPr>
          <w:rFonts w:ascii="Arial" w:hAnsi="Arial" w:cs="Arial"/>
          <w:b/>
          <w:szCs w:val="24"/>
        </w:rPr>
      </w:pPr>
    </w:p>
    <w:p w14:paraId="208238BA" w14:textId="2866F1B5" w:rsidR="00564266" w:rsidRPr="00441402" w:rsidRDefault="001D42EA" w:rsidP="00441402">
      <w:pPr>
        <w:spacing w:after="0" w:line="276" w:lineRule="auto"/>
        <w:rPr>
          <w:rFonts w:ascii="Arial" w:hAnsi="Arial" w:cs="Arial"/>
          <w:b/>
          <w:szCs w:val="24"/>
          <w:u w:val="single"/>
        </w:rPr>
      </w:pPr>
      <w:r w:rsidRPr="00441402">
        <w:rPr>
          <w:rFonts w:ascii="Arial" w:hAnsi="Arial" w:cs="Arial"/>
          <w:b/>
          <w:szCs w:val="24"/>
          <w:u w:val="single"/>
        </w:rPr>
        <w:t>WANLESS</w:t>
      </w:r>
      <w:r w:rsidR="00F949A0" w:rsidRPr="00441402">
        <w:rPr>
          <w:rFonts w:ascii="Arial" w:hAnsi="Arial" w:cs="Arial"/>
          <w:b/>
          <w:szCs w:val="24"/>
          <w:u w:val="single"/>
        </w:rPr>
        <w:t xml:space="preserve"> </w:t>
      </w:r>
      <w:r w:rsidRPr="00441402">
        <w:rPr>
          <w:rFonts w:ascii="Arial" w:hAnsi="Arial" w:cs="Arial"/>
          <w:b/>
          <w:szCs w:val="24"/>
          <w:u w:val="single"/>
        </w:rPr>
        <w:t>A</w:t>
      </w:r>
      <w:r w:rsidR="00F949A0" w:rsidRPr="00441402">
        <w:rPr>
          <w:rFonts w:ascii="Arial" w:hAnsi="Arial" w:cs="Arial"/>
          <w:b/>
          <w:szCs w:val="24"/>
          <w:u w:val="single"/>
        </w:rPr>
        <w:t>J</w:t>
      </w:r>
    </w:p>
    <w:p w14:paraId="3EC7081E" w14:textId="77777777" w:rsidR="000A3680" w:rsidRPr="00441402" w:rsidRDefault="000A3680" w:rsidP="00441402">
      <w:pPr>
        <w:spacing w:after="0" w:line="276" w:lineRule="auto"/>
        <w:rPr>
          <w:rFonts w:ascii="Arial" w:hAnsi="Arial" w:cs="Arial"/>
          <w:b/>
          <w:szCs w:val="24"/>
        </w:rPr>
      </w:pPr>
    </w:p>
    <w:p w14:paraId="748F4ADA" w14:textId="77777777" w:rsidR="0058466B" w:rsidRPr="00441402" w:rsidRDefault="0058466B" w:rsidP="00441402">
      <w:pPr>
        <w:spacing w:after="0" w:line="276" w:lineRule="auto"/>
        <w:rPr>
          <w:rFonts w:ascii="Arial" w:hAnsi="Arial" w:cs="Arial"/>
          <w:b/>
          <w:szCs w:val="24"/>
          <w:u w:val="single"/>
        </w:rPr>
      </w:pPr>
      <w:r w:rsidRPr="00441402">
        <w:rPr>
          <w:rFonts w:ascii="Arial" w:hAnsi="Arial" w:cs="Arial"/>
          <w:b/>
          <w:szCs w:val="24"/>
          <w:u w:val="single"/>
        </w:rPr>
        <w:t>Introduction</w:t>
      </w:r>
    </w:p>
    <w:p w14:paraId="3460D7A6" w14:textId="5ECFE488"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lastRenderedPageBreak/>
        <w:t>[1</w:t>
      </w:r>
      <w:bookmarkStart w:id="1" w:name="_GoBack"/>
      <w:bookmarkEnd w:id="1"/>
      <w:r w:rsidRPr="00441402">
        <w:rPr>
          <w:rFonts w:ascii="Arial" w:hAnsi="Arial" w:cs="Arial"/>
          <w:bCs/>
          <w:szCs w:val="24"/>
          <w:lang w:val="en-GB"/>
        </w:rPr>
        <w:t>]</w:t>
      </w:r>
      <w:r w:rsidRPr="00441402">
        <w:rPr>
          <w:rFonts w:ascii="Arial" w:hAnsi="Arial" w:cs="Arial"/>
          <w:bCs/>
          <w:szCs w:val="24"/>
          <w:lang w:val="en-GB"/>
        </w:rPr>
        <w:tab/>
      </w:r>
      <w:r w:rsidR="007765E8" w:rsidRPr="00B86202">
        <w:rPr>
          <w:rFonts w:ascii="Arial" w:hAnsi="Arial" w:cs="Arial"/>
          <w:bCs/>
          <w:szCs w:val="24"/>
          <w:lang w:val="en-GB"/>
        </w:rPr>
        <w:t>This application and Claim - in - Reconvention (“</w:t>
      </w:r>
      <w:r w:rsidR="007765E8" w:rsidRPr="00B86202">
        <w:rPr>
          <w:rFonts w:ascii="Arial" w:hAnsi="Arial" w:cs="Arial"/>
          <w:bCs/>
          <w:i/>
          <w:iCs/>
          <w:szCs w:val="24"/>
          <w:lang w:val="en-GB"/>
        </w:rPr>
        <w:t>counter-application</w:t>
      </w:r>
      <w:r w:rsidR="007765E8" w:rsidRPr="00B86202">
        <w:rPr>
          <w:rFonts w:ascii="Arial" w:hAnsi="Arial" w:cs="Arial"/>
          <w:bCs/>
          <w:szCs w:val="24"/>
          <w:lang w:val="en-GB"/>
        </w:rPr>
        <w:t>”) was heard by this Court as a Special Motion on the 5th of June 2023.  It involves the purchase of a SPACING residential property situated at 69 High Road, Eastleigh, Gauteng (“the property”) by one CESLEY OLIVIER, an adult female (“</w:t>
      </w:r>
      <w:r w:rsidR="007765E8" w:rsidRPr="00B86202">
        <w:rPr>
          <w:rFonts w:ascii="Arial" w:hAnsi="Arial" w:cs="Arial"/>
          <w:bCs/>
          <w:i/>
          <w:iCs/>
          <w:szCs w:val="24"/>
          <w:lang w:val="en-GB"/>
        </w:rPr>
        <w:t>the First Applicant</w:t>
      </w:r>
      <w:r w:rsidR="007765E8" w:rsidRPr="00B86202">
        <w:rPr>
          <w:rFonts w:ascii="Arial" w:hAnsi="Arial" w:cs="Arial"/>
          <w:bCs/>
          <w:szCs w:val="24"/>
          <w:lang w:val="en-GB"/>
        </w:rPr>
        <w:t>”) and MARIUS NICOLAS OLIVIER, an adult male (“the Second Applicant”) from one STANLEY BLESSING MANZINI, an adult male (“</w:t>
      </w:r>
      <w:r w:rsidR="007765E8" w:rsidRPr="00B86202">
        <w:rPr>
          <w:rFonts w:ascii="Arial" w:hAnsi="Arial" w:cs="Arial"/>
          <w:bCs/>
          <w:i/>
          <w:iCs/>
          <w:szCs w:val="24"/>
          <w:lang w:val="en-GB"/>
        </w:rPr>
        <w:t>the First Respondent</w:t>
      </w:r>
      <w:r w:rsidR="007765E8" w:rsidRPr="00B86202">
        <w:rPr>
          <w:rFonts w:ascii="Arial" w:hAnsi="Arial" w:cs="Arial"/>
          <w:bCs/>
          <w:szCs w:val="24"/>
          <w:lang w:val="en-GB"/>
        </w:rPr>
        <w:t>”) and NOLUTHANDO BEAUTY MANZINI, an adult female (“</w:t>
      </w:r>
      <w:r w:rsidR="007765E8" w:rsidRPr="00B86202">
        <w:rPr>
          <w:rFonts w:ascii="Arial" w:hAnsi="Arial" w:cs="Arial"/>
          <w:bCs/>
          <w:i/>
          <w:iCs/>
          <w:szCs w:val="24"/>
          <w:lang w:val="en-GB"/>
        </w:rPr>
        <w:t>the Second Respondent</w:t>
      </w:r>
      <w:r w:rsidR="007765E8" w:rsidRPr="00B86202">
        <w:rPr>
          <w:rFonts w:ascii="Arial" w:hAnsi="Arial" w:cs="Arial"/>
          <w:bCs/>
          <w:szCs w:val="24"/>
          <w:lang w:val="en-GB"/>
        </w:rPr>
        <w:t>”).   For the sake of convenience and unless it is necessary to specifically refer to any of the aforegoing persons in the singular the First and Second Applicants will be referred to jointly as “the Applicants” and the First and Second Respondents will be referred to jointly as “the Respondents” throughout the remainder of this judgment.</w:t>
      </w:r>
    </w:p>
    <w:p w14:paraId="1504EDB5" w14:textId="77777777" w:rsidR="007765E8" w:rsidRPr="00441402" w:rsidRDefault="007765E8" w:rsidP="00441402">
      <w:pPr>
        <w:pStyle w:val="ListParagraph"/>
        <w:spacing w:after="0" w:line="276" w:lineRule="auto"/>
        <w:rPr>
          <w:rFonts w:ascii="Arial" w:hAnsi="Arial" w:cs="Arial"/>
          <w:bCs/>
          <w:szCs w:val="24"/>
          <w:lang w:val="en-GB"/>
        </w:rPr>
      </w:pPr>
    </w:p>
    <w:p w14:paraId="5EEB897C" w14:textId="6A754729"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[2]</w:t>
      </w:r>
      <w:r w:rsidRPr="00441402">
        <w:rPr>
          <w:rFonts w:ascii="Arial" w:hAnsi="Arial" w:cs="Arial"/>
          <w:bCs/>
          <w:szCs w:val="24"/>
          <w:lang w:val="en-GB"/>
        </w:rPr>
        <w:tab/>
      </w:r>
      <w:r w:rsidR="007765E8" w:rsidRPr="00B86202">
        <w:rPr>
          <w:rFonts w:ascii="Arial" w:hAnsi="Arial" w:cs="Arial"/>
          <w:bCs/>
          <w:szCs w:val="24"/>
          <w:lang w:val="en-GB"/>
        </w:rPr>
        <w:t>On the 2nd of July 2021 the Applicants and the Respondents entered into a written agreement of sale and purchase in respect of the property (“</w:t>
      </w:r>
      <w:r w:rsidR="007765E8" w:rsidRPr="00B86202">
        <w:rPr>
          <w:rFonts w:ascii="Arial" w:hAnsi="Arial" w:cs="Arial"/>
          <w:bCs/>
          <w:i/>
          <w:iCs/>
          <w:szCs w:val="24"/>
          <w:lang w:val="en-GB"/>
        </w:rPr>
        <w:t>the agreement</w:t>
      </w:r>
      <w:r w:rsidR="007765E8" w:rsidRPr="00B86202">
        <w:rPr>
          <w:rFonts w:ascii="Arial" w:hAnsi="Arial" w:cs="Arial"/>
          <w:bCs/>
          <w:szCs w:val="24"/>
          <w:lang w:val="en-GB"/>
        </w:rPr>
        <w:t>”).  In terms of the agreement GARRY ROSS ATTORNEYS INCORPORATED (“</w:t>
      </w:r>
      <w:r w:rsidR="007765E8" w:rsidRPr="00B86202">
        <w:rPr>
          <w:rFonts w:ascii="Arial" w:hAnsi="Arial" w:cs="Arial"/>
          <w:bCs/>
          <w:i/>
          <w:iCs/>
          <w:szCs w:val="24"/>
          <w:lang w:val="en-GB"/>
        </w:rPr>
        <w:t>the Third Respondent</w:t>
      </w:r>
      <w:r w:rsidR="007765E8" w:rsidRPr="00B86202">
        <w:rPr>
          <w:rFonts w:ascii="Arial" w:hAnsi="Arial" w:cs="Arial"/>
          <w:bCs/>
          <w:szCs w:val="24"/>
          <w:lang w:val="en-GB"/>
        </w:rPr>
        <w:t>”) was appointed as the transferring attorney to transfer the property from the name of the Respondents into the name of the Applicants. THE CITY OF EKURHULENI METROPOLITAN MUNICIPALITY is cited herein as the Fourth Respondent. (“</w:t>
      </w:r>
      <w:r w:rsidR="007765E8" w:rsidRPr="00B86202">
        <w:rPr>
          <w:rFonts w:ascii="Arial" w:hAnsi="Arial" w:cs="Arial"/>
          <w:bCs/>
          <w:i/>
          <w:iCs/>
          <w:szCs w:val="24"/>
          <w:lang w:val="en-GB"/>
        </w:rPr>
        <w:t>the Fourth Respondent</w:t>
      </w:r>
      <w:r w:rsidR="007765E8" w:rsidRPr="00B86202">
        <w:rPr>
          <w:rFonts w:ascii="Arial" w:hAnsi="Arial" w:cs="Arial"/>
          <w:bCs/>
          <w:szCs w:val="24"/>
          <w:lang w:val="en-GB"/>
        </w:rPr>
        <w:t>”).</w:t>
      </w:r>
      <w:r w:rsidR="008C1D11" w:rsidRPr="00B86202">
        <w:rPr>
          <w:rFonts w:ascii="Arial" w:hAnsi="Arial" w:cs="Arial"/>
          <w:bCs/>
          <w:szCs w:val="24"/>
          <w:lang w:val="en-GB"/>
        </w:rPr>
        <w:t xml:space="preserve"> </w:t>
      </w:r>
      <w:r w:rsidR="007765E8" w:rsidRPr="00B86202">
        <w:rPr>
          <w:rFonts w:ascii="Arial" w:hAnsi="Arial" w:cs="Arial"/>
          <w:bCs/>
          <w:szCs w:val="24"/>
          <w:lang w:val="en-GB"/>
        </w:rPr>
        <w:t>Whilst certain relief is sought by the Applicants against the Third and Fourth Respondents in the application, neither of these Respondents has opposed the application or filed any affidavits herein.</w:t>
      </w:r>
    </w:p>
    <w:p w14:paraId="0D064A98" w14:textId="77777777" w:rsidR="007765E8" w:rsidRPr="00441402" w:rsidRDefault="007765E8" w:rsidP="00441402">
      <w:pPr>
        <w:pStyle w:val="ListParagraph"/>
        <w:spacing w:after="0" w:line="276" w:lineRule="auto"/>
        <w:rPr>
          <w:rFonts w:ascii="Arial" w:hAnsi="Arial" w:cs="Arial"/>
          <w:bCs/>
          <w:szCs w:val="24"/>
          <w:lang w:val="en-GB"/>
        </w:rPr>
      </w:pPr>
    </w:p>
    <w:p w14:paraId="7C751F39" w14:textId="42A0A7E0"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[3]</w:t>
      </w:r>
      <w:r w:rsidRPr="00441402">
        <w:rPr>
          <w:rFonts w:ascii="Arial" w:hAnsi="Arial" w:cs="Arial"/>
          <w:bCs/>
          <w:szCs w:val="24"/>
          <w:lang w:val="en-GB"/>
        </w:rPr>
        <w:tab/>
      </w:r>
      <w:r w:rsidR="007765E8" w:rsidRPr="00B86202">
        <w:rPr>
          <w:rFonts w:ascii="Arial" w:hAnsi="Arial" w:cs="Arial"/>
          <w:bCs/>
          <w:szCs w:val="24"/>
          <w:lang w:val="en-GB"/>
        </w:rPr>
        <w:t xml:space="preserve">It was always the intention of this Court to deliver a written judgment in this matter. In light of, </w:t>
      </w:r>
      <w:r w:rsidR="007765E8" w:rsidRPr="00B86202">
        <w:rPr>
          <w:rFonts w:ascii="Arial" w:hAnsi="Arial" w:cs="Arial"/>
          <w:bCs/>
          <w:i/>
          <w:iCs/>
          <w:szCs w:val="24"/>
          <w:lang w:val="en-GB"/>
        </w:rPr>
        <w:t>inter alia</w:t>
      </w:r>
      <w:r w:rsidR="007765E8" w:rsidRPr="00B86202">
        <w:rPr>
          <w:rFonts w:ascii="Arial" w:hAnsi="Arial" w:cs="Arial"/>
          <w:bCs/>
          <w:szCs w:val="24"/>
          <w:lang w:val="en-GB"/>
        </w:rPr>
        <w:t xml:space="preserve">, the onerous workload under which this Court has been placed, this has simply not been possible without incurring further delays in the handing down thereof. In the premises, this judgment is being delivered </w:t>
      </w:r>
      <w:r w:rsidR="007765E8" w:rsidRPr="00B86202">
        <w:rPr>
          <w:rFonts w:ascii="Arial" w:hAnsi="Arial" w:cs="Arial"/>
          <w:bCs/>
          <w:i/>
          <w:iCs/>
          <w:szCs w:val="24"/>
          <w:lang w:val="en-GB"/>
        </w:rPr>
        <w:t>ex tempore</w:t>
      </w:r>
      <w:r w:rsidR="007765E8" w:rsidRPr="00B86202">
        <w:rPr>
          <w:rFonts w:ascii="Arial" w:hAnsi="Arial" w:cs="Arial"/>
          <w:bCs/>
          <w:szCs w:val="24"/>
          <w:lang w:val="en-GB"/>
        </w:rPr>
        <w:t xml:space="preserve">. Once transcribed, it will be “converted”, or more correctly “transformed”, into a written judgment and provided to the parties. In this manner, neither the quality of the judgment nor the time in which the judgment is delivered, will be compromised. This Court is indebted to the transcription services of this Division who generally provide transcripts of judgments emanating from this Court within a short period of time following the delivery thereof on an </w:t>
      </w:r>
      <w:r w:rsidR="007765E8" w:rsidRPr="00B86202">
        <w:rPr>
          <w:rFonts w:ascii="Arial" w:hAnsi="Arial" w:cs="Arial"/>
          <w:bCs/>
          <w:i/>
          <w:iCs/>
          <w:szCs w:val="24"/>
          <w:lang w:val="en-GB"/>
        </w:rPr>
        <w:t>ex tempore</w:t>
      </w:r>
      <w:r w:rsidR="007765E8" w:rsidRPr="00B86202">
        <w:rPr>
          <w:rFonts w:ascii="Arial" w:hAnsi="Arial" w:cs="Arial"/>
          <w:bCs/>
          <w:szCs w:val="24"/>
          <w:lang w:val="en-GB"/>
        </w:rPr>
        <w:t xml:space="preserve"> basis. </w:t>
      </w:r>
    </w:p>
    <w:p w14:paraId="798327B9" w14:textId="77777777" w:rsidR="007765E8" w:rsidRPr="00441402" w:rsidRDefault="007765E8" w:rsidP="00441402">
      <w:pPr>
        <w:spacing w:after="0" w:line="276" w:lineRule="auto"/>
        <w:ind w:left="0"/>
        <w:rPr>
          <w:rFonts w:ascii="Arial" w:hAnsi="Arial" w:cs="Arial"/>
          <w:bCs/>
          <w:szCs w:val="24"/>
          <w:lang w:val="en-GB"/>
        </w:rPr>
      </w:pPr>
    </w:p>
    <w:p w14:paraId="343BD986" w14:textId="0214F838" w:rsidR="007765E8" w:rsidRPr="00441402" w:rsidRDefault="007765E8" w:rsidP="00441402">
      <w:pPr>
        <w:spacing w:after="0" w:line="276" w:lineRule="auto"/>
        <w:ind w:left="0"/>
        <w:rPr>
          <w:rFonts w:ascii="Arial" w:hAnsi="Arial" w:cs="Arial"/>
          <w:b/>
          <w:szCs w:val="24"/>
          <w:u w:val="single"/>
          <w:lang w:val="en-GB"/>
        </w:rPr>
      </w:pPr>
      <w:r w:rsidRPr="00441402">
        <w:rPr>
          <w:rFonts w:ascii="Arial" w:hAnsi="Arial" w:cs="Arial"/>
          <w:b/>
          <w:szCs w:val="24"/>
          <w:u w:val="single"/>
          <w:lang w:val="en-GB"/>
        </w:rPr>
        <w:t>The relief sought by the parties</w:t>
      </w:r>
    </w:p>
    <w:p w14:paraId="5A1C8DA4" w14:textId="77777777" w:rsidR="007765E8" w:rsidRPr="00441402" w:rsidRDefault="007765E8" w:rsidP="00441402">
      <w:pPr>
        <w:spacing w:after="0" w:line="276" w:lineRule="auto"/>
        <w:ind w:left="0"/>
        <w:rPr>
          <w:rFonts w:ascii="Arial" w:hAnsi="Arial" w:cs="Arial"/>
          <w:bCs/>
          <w:szCs w:val="24"/>
          <w:lang w:val="en-GB"/>
        </w:rPr>
      </w:pPr>
    </w:p>
    <w:p w14:paraId="7714C16B" w14:textId="1D4AAA58"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[4]</w:t>
      </w:r>
      <w:r w:rsidRPr="00441402">
        <w:rPr>
          <w:rFonts w:ascii="Arial" w:hAnsi="Arial" w:cs="Arial"/>
          <w:bCs/>
          <w:szCs w:val="24"/>
          <w:lang w:val="en-GB"/>
        </w:rPr>
        <w:tab/>
      </w:r>
      <w:r w:rsidR="007765E8" w:rsidRPr="00B86202">
        <w:rPr>
          <w:rFonts w:ascii="Arial" w:hAnsi="Arial" w:cs="Arial"/>
          <w:bCs/>
          <w:szCs w:val="24"/>
          <w:lang w:val="en-GB"/>
        </w:rPr>
        <w:t xml:space="preserve">The relief sought by the parties in any matter is clearly fundamental to the approach adopted by the Court hearing that matter. This is particularly so in this case having regard to, </w:t>
      </w:r>
      <w:r w:rsidR="007765E8" w:rsidRPr="00B86202">
        <w:rPr>
          <w:rFonts w:ascii="Arial" w:hAnsi="Arial" w:cs="Arial"/>
          <w:bCs/>
          <w:i/>
          <w:iCs/>
          <w:szCs w:val="24"/>
          <w:lang w:val="en-GB"/>
        </w:rPr>
        <w:t>inter alia</w:t>
      </w:r>
      <w:r w:rsidR="007765E8" w:rsidRPr="00B86202">
        <w:rPr>
          <w:rFonts w:ascii="Arial" w:hAnsi="Arial" w:cs="Arial"/>
          <w:bCs/>
          <w:szCs w:val="24"/>
          <w:lang w:val="en-GB"/>
        </w:rPr>
        <w:t xml:space="preserve">, the nature of the relief sought in the Applicants’ Notice of Motion; </w:t>
      </w:r>
      <w:r w:rsidR="007765E8" w:rsidRPr="00B86202">
        <w:rPr>
          <w:rFonts w:ascii="Arial" w:hAnsi="Arial" w:cs="Arial"/>
          <w:bCs/>
          <w:szCs w:val="24"/>
          <w:lang w:val="en-GB"/>
        </w:rPr>
        <w:lastRenderedPageBreak/>
        <w:t xml:space="preserve">that sought by the Respondents in response thereto in their counter-application and the decision finally reached by this Court.  </w:t>
      </w:r>
    </w:p>
    <w:p w14:paraId="3B349F92" w14:textId="77777777" w:rsidR="007765E8" w:rsidRPr="00441402" w:rsidRDefault="007765E8" w:rsidP="00441402">
      <w:pPr>
        <w:spacing w:after="0" w:line="276" w:lineRule="auto"/>
        <w:ind w:left="0"/>
        <w:rPr>
          <w:rFonts w:ascii="Arial" w:hAnsi="Arial" w:cs="Arial"/>
          <w:bCs/>
          <w:szCs w:val="24"/>
          <w:lang w:val="en-GB"/>
        </w:rPr>
      </w:pPr>
    </w:p>
    <w:p w14:paraId="724D1A9B" w14:textId="5BE6AAD5" w:rsidR="007765E8" w:rsidRPr="00441402" w:rsidRDefault="007765E8" w:rsidP="00441402">
      <w:pPr>
        <w:spacing w:after="0" w:line="276" w:lineRule="auto"/>
        <w:ind w:left="0"/>
        <w:rPr>
          <w:rFonts w:ascii="Arial" w:hAnsi="Arial" w:cs="Arial"/>
          <w:b/>
          <w:szCs w:val="24"/>
          <w:u w:val="single"/>
          <w:lang w:val="en-GB"/>
        </w:rPr>
      </w:pPr>
      <w:r w:rsidRPr="00441402">
        <w:rPr>
          <w:rFonts w:ascii="Arial" w:hAnsi="Arial" w:cs="Arial"/>
          <w:b/>
          <w:szCs w:val="24"/>
          <w:u w:val="single"/>
          <w:lang w:val="en-GB"/>
        </w:rPr>
        <w:t xml:space="preserve">The relief sought by the Applicants </w:t>
      </w:r>
    </w:p>
    <w:p w14:paraId="49DA4F51" w14:textId="77777777" w:rsidR="007765E8" w:rsidRPr="00441402" w:rsidRDefault="007765E8" w:rsidP="00441402">
      <w:pPr>
        <w:spacing w:after="0" w:line="276" w:lineRule="auto"/>
        <w:ind w:left="0"/>
        <w:rPr>
          <w:rFonts w:ascii="Arial" w:hAnsi="Arial" w:cs="Arial"/>
          <w:bCs/>
          <w:szCs w:val="24"/>
          <w:lang w:val="en-GB"/>
        </w:rPr>
      </w:pPr>
    </w:p>
    <w:p w14:paraId="7638E319" w14:textId="163928CF"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[5]</w:t>
      </w:r>
      <w:r w:rsidRPr="00441402">
        <w:rPr>
          <w:rFonts w:ascii="Arial" w:hAnsi="Arial" w:cs="Arial"/>
          <w:bCs/>
          <w:szCs w:val="24"/>
          <w:lang w:val="en-GB"/>
        </w:rPr>
        <w:tab/>
      </w:r>
      <w:r w:rsidR="007765E8" w:rsidRPr="00B86202">
        <w:rPr>
          <w:rFonts w:ascii="Arial" w:hAnsi="Arial" w:cs="Arial"/>
          <w:bCs/>
          <w:szCs w:val="24"/>
          <w:lang w:val="en-GB"/>
        </w:rPr>
        <w:t>In terms of clause 10.2 of the agreement and in law the Applicants seek to claim specific performance of certain terms of the agreement and claim damages in terms thereof.</w:t>
      </w:r>
    </w:p>
    <w:p w14:paraId="1CC27518" w14:textId="77777777" w:rsidR="007765E8" w:rsidRPr="00441402" w:rsidRDefault="007765E8" w:rsidP="00441402">
      <w:pPr>
        <w:pStyle w:val="ListParagraph"/>
        <w:spacing w:after="0" w:line="276" w:lineRule="auto"/>
        <w:rPr>
          <w:rFonts w:ascii="Arial" w:hAnsi="Arial" w:cs="Arial"/>
          <w:bCs/>
          <w:szCs w:val="24"/>
          <w:lang w:val="en-GB"/>
        </w:rPr>
      </w:pPr>
    </w:p>
    <w:p w14:paraId="681DDE82" w14:textId="6AE05596" w:rsidR="00CA3B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[6]</w:t>
      </w:r>
      <w:r w:rsidRPr="00441402">
        <w:rPr>
          <w:rFonts w:ascii="Arial" w:hAnsi="Arial" w:cs="Arial"/>
          <w:bCs/>
          <w:szCs w:val="24"/>
          <w:lang w:val="en-GB"/>
        </w:rPr>
        <w:tab/>
      </w:r>
      <w:r w:rsidR="007765E8" w:rsidRPr="00B86202">
        <w:rPr>
          <w:rFonts w:ascii="Arial" w:hAnsi="Arial" w:cs="Arial"/>
          <w:bCs/>
          <w:szCs w:val="24"/>
          <w:lang w:val="en-GB"/>
        </w:rPr>
        <w:t>The Applicants’ Notice of Motion reads as follows:</w:t>
      </w:r>
    </w:p>
    <w:p w14:paraId="5CEE1092" w14:textId="77777777" w:rsidR="00CA3BE8" w:rsidRPr="00441402" w:rsidRDefault="00CA3BE8" w:rsidP="00441402">
      <w:pPr>
        <w:pStyle w:val="ListParagraph"/>
        <w:spacing w:after="0" w:line="276" w:lineRule="auto"/>
        <w:rPr>
          <w:rFonts w:ascii="Arial" w:hAnsi="Arial" w:cs="Arial"/>
          <w:bCs/>
          <w:szCs w:val="24"/>
          <w:lang w:val="en-GB"/>
        </w:rPr>
      </w:pPr>
    </w:p>
    <w:p w14:paraId="48519985" w14:textId="77777777"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“1. </w:t>
      </w:r>
      <w:r w:rsidRPr="00441402">
        <w:rPr>
          <w:rFonts w:ascii="Arial" w:hAnsi="Arial" w:cs="Arial"/>
          <w:bCs/>
          <w:szCs w:val="24"/>
          <w:lang w:val="en-GB"/>
        </w:rPr>
        <w:tab/>
      </w:r>
      <w:r w:rsidR="007765E8" w:rsidRPr="00441402">
        <w:rPr>
          <w:rFonts w:ascii="Arial" w:hAnsi="Arial" w:cs="Arial"/>
          <w:bCs/>
          <w:szCs w:val="24"/>
          <w:lang w:val="en-GB"/>
        </w:rPr>
        <w:t>The First and Second Respondents are ordered to obtain the services of a suitably qualified electrician to carry out electrical repairs at Portion 4 of Erf 439, Eastleigh, Township (“the property”) within five (5) days of the date of this order and to produce a valid electrical compliance certificate within 14 days thereafter, subject to the approval of same by the Electrical Approved Inspection Authority (“EAIA”).</w:t>
      </w:r>
    </w:p>
    <w:p w14:paraId="7FEB421F"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3DB1AB93" w14:textId="7B853CF4"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2. </w:t>
      </w:r>
      <w:r w:rsidRPr="00441402">
        <w:rPr>
          <w:rFonts w:ascii="Arial" w:hAnsi="Arial" w:cs="Arial"/>
          <w:bCs/>
          <w:szCs w:val="24"/>
          <w:lang w:val="en-GB"/>
        </w:rPr>
        <w:tab/>
      </w:r>
      <w:r w:rsidR="007765E8" w:rsidRPr="00441402">
        <w:rPr>
          <w:rFonts w:ascii="Arial" w:hAnsi="Arial" w:cs="Arial"/>
          <w:bCs/>
          <w:szCs w:val="24"/>
          <w:lang w:val="en-GB"/>
        </w:rPr>
        <w:t xml:space="preserve">In the event that, the First and Second Respondents do not comply with the relief in order 1 above, within 5 days, the Third Respondent is ordered to make payment to the Applicants of an amount of R135,900.00 from the monies held in trust by the Third Respondent (in </w:t>
      </w:r>
      <w:r w:rsidR="007765E8" w:rsidRPr="00441402">
        <w:rPr>
          <w:rFonts w:ascii="Arial" w:hAnsi="Arial" w:cs="Arial"/>
          <w:bCs/>
          <w:i/>
          <w:iCs/>
          <w:szCs w:val="24"/>
          <w:lang w:val="en-GB"/>
        </w:rPr>
        <w:t>lieu</w:t>
      </w:r>
      <w:r w:rsidR="007765E8" w:rsidRPr="00441402">
        <w:rPr>
          <w:rFonts w:ascii="Arial" w:hAnsi="Arial" w:cs="Arial"/>
          <w:bCs/>
          <w:szCs w:val="24"/>
          <w:lang w:val="en-GB"/>
        </w:rPr>
        <w:t xml:space="preserve"> of the purchase of the property) in order for the Applicants to attend to the necessary repairs in order to obtain a valid electrical compliance certificate.</w:t>
      </w:r>
    </w:p>
    <w:p w14:paraId="558714F4"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7D9FA7B3" w14:textId="5103C3A1"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3. </w:t>
      </w:r>
      <w:r w:rsidRPr="00441402">
        <w:rPr>
          <w:rFonts w:ascii="Arial" w:hAnsi="Arial" w:cs="Arial"/>
          <w:bCs/>
          <w:szCs w:val="24"/>
          <w:lang w:val="en-GB"/>
        </w:rPr>
        <w:tab/>
      </w:r>
      <w:r w:rsidR="007765E8" w:rsidRPr="00441402">
        <w:rPr>
          <w:rFonts w:ascii="Arial" w:hAnsi="Arial" w:cs="Arial"/>
          <w:bCs/>
          <w:szCs w:val="24"/>
          <w:lang w:val="en-GB"/>
        </w:rPr>
        <w:t xml:space="preserve">The First and Second Respondents shall within 5 days of the date of this order, apply to the Fourth Respondent for a valid clearance </w:t>
      </w:r>
      <w:r w:rsidR="005D0B34" w:rsidRPr="00441402">
        <w:rPr>
          <w:rFonts w:ascii="Arial" w:hAnsi="Arial" w:cs="Arial"/>
          <w:bCs/>
          <w:szCs w:val="24"/>
          <w:lang w:val="en-GB"/>
        </w:rPr>
        <w:t>certificate and</w:t>
      </w:r>
      <w:r w:rsidR="007765E8" w:rsidRPr="00441402">
        <w:rPr>
          <w:rFonts w:ascii="Arial" w:hAnsi="Arial" w:cs="Arial"/>
          <w:bCs/>
          <w:szCs w:val="24"/>
          <w:lang w:val="en-GB"/>
        </w:rPr>
        <w:t xml:space="preserve"> make payment of any amounts due in respect of such clearance certificate, within a period of 14 days thereafter, in order for same to be issued by the Fourth Respondent.</w:t>
      </w:r>
    </w:p>
    <w:p w14:paraId="7AC6B7B6"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386BB0DE" w14:textId="77777777"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4. </w:t>
      </w:r>
      <w:r w:rsidRPr="00441402">
        <w:rPr>
          <w:rFonts w:ascii="Arial" w:hAnsi="Arial" w:cs="Arial"/>
          <w:bCs/>
          <w:szCs w:val="24"/>
          <w:lang w:val="en-GB"/>
        </w:rPr>
        <w:tab/>
      </w:r>
      <w:r w:rsidR="007765E8" w:rsidRPr="00441402">
        <w:rPr>
          <w:rFonts w:ascii="Arial" w:hAnsi="Arial" w:cs="Arial"/>
          <w:bCs/>
          <w:szCs w:val="24"/>
          <w:lang w:val="en-GB"/>
        </w:rPr>
        <w:t xml:space="preserve">In the event of the First and Second Respondents failing to comply with the relief sought in order 3 above, within 5 days, the Third Respondent is hereby ordered to apply for clearance figures and to make payment to the Fourt Respondent of all sums due to obtain clearance in terms of Section 118 of the Municipal Systems Act 32 of 2000, from monies held by  the Third Respondent in trust (and from the First and Second </w:t>
      </w:r>
      <w:r w:rsidR="007765E8" w:rsidRPr="00441402">
        <w:rPr>
          <w:rFonts w:ascii="Arial" w:hAnsi="Arial" w:cs="Arial"/>
          <w:bCs/>
          <w:szCs w:val="24"/>
          <w:lang w:val="en-GB"/>
        </w:rPr>
        <w:lastRenderedPageBreak/>
        <w:t>Respondents’ proceeds of sale), in order to process the registration of the transfer of ownership in and to the property, to the Applicants.</w:t>
      </w:r>
    </w:p>
    <w:p w14:paraId="6D174E04"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37643687" w14:textId="77777777"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5. </w:t>
      </w:r>
      <w:r w:rsidRPr="00441402">
        <w:rPr>
          <w:rFonts w:ascii="Arial" w:hAnsi="Arial" w:cs="Arial"/>
          <w:bCs/>
          <w:szCs w:val="24"/>
          <w:lang w:val="en-GB"/>
        </w:rPr>
        <w:tab/>
      </w:r>
      <w:r w:rsidR="007765E8" w:rsidRPr="00441402">
        <w:rPr>
          <w:rFonts w:ascii="Arial" w:hAnsi="Arial" w:cs="Arial"/>
          <w:bCs/>
          <w:szCs w:val="24"/>
          <w:lang w:val="en-GB"/>
        </w:rPr>
        <w:t>Upon registration of transfer of the property into the names of the Applicants, the Third Respondent shall make payment of all penalty interest calculated in terms of Annexure “X” attached to this notice of motion, which penalty interest as at the end of June 2022 amounts to R254,064.18, by deducting the penalty interest amount from the proceeds of sale due to the First and Second Respondents.</w:t>
      </w:r>
    </w:p>
    <w:p w14:paraId="213ECAB8"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53C22E73" w14:textId="77777777"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6. </w:t>
      </w:r>
      <w:r w:rsidRPr="00441402">
        <w:rPr>
          <w:rFonts w:ascii="Arial" w:hAnsi="Arial" w:cs="Arial"/>
          <w:bCs/>
          <w:szCs w:val="24"/>
          <w:lang w:val="en-GB"/>
        </w:rPr>
        <w:tab/>
      </w:r>
      <w:r w:rsidR="007765E8" w:rsidRPr="00441402">
        <w:rPr>
          <w:rFonts w:ascii="Arial" w:hAnsi="Arial" w:cs="Arial"/>
          <w:bCs/>
          <w:szCs w:val="24"/>
          <w:lang w:val="en-GB"/>
        </w:rPr>
        <w:t>Upon registration of transfer of the property</w:t>
      </w:r>
      <w:r w:rsidRPr="00441402">
        <w:rPr>
          <w:rFonts w:ascii="Arial" w:hAnsi="Arial" w:cs="Arial"/>
          <w:bCs/>
          <w:szCs w:val="24"/>
          <w:lang w:val="en-GB"/>
        </w:rPr>
        <w:t xml:space="preserve"> </w:t>
      </w:r>
      <w:r w:rsidR="007765E8" w:rsidRPr="00441402">
        <w:rPr>
          <w:rFonts w:ascii="Arial" w:hAnsi="Arial" w:cs="Arial"/>
          <w:bCs/>
          <w:szCs w:val="24"/>
          <w:lang w:val="en-GB"/>
        </w:rPr>
        <w:t>into the names of the Applicants, the Third Respondent shall make payment of an amount of R723 015,02 to the Applicants, in order for the Applicants to remediate the property’s non-compliance with Section 14 of the National Building Regulations and Building Standards Act No. 103 of 1997, by deducting the amount of R723 015,02 from the proceeds of sale due to the First and Second Respondents.</w:t>
      </w:r>
    </w:p>
    <w:p w14:paraId="5C4BED33"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66D6D843" w14:textId="77777777"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7. </w:t>
      </w:r>
      <w:r w:rsidRPr="00441402">
        <w:rPr>
          <w:rFonts w:ascii="Arial" w:hAnsi="Arial" w:cs="Arial"/>
          <w:bCs/>
          <w:szCs w:val="24"/>
          <w:lang w:val="en-GB"/>
        </w:rPr>
        <w:tab/>
      </w:r>
      <w:r w:rsidR="007765E8" w:rsidRPr="00441402">
        <w:rPr>
          <w:rFonts w:ascii="Arial" w:hAnsi="Arial" w:cs="Arial"/>
          <w:bCs/>
          <w:szCs w:val="24"/>
          <w:lang w:val="en-GB"/>
        </w:rPr>
        <w:t xml:space="preserve">In the alternative to order 6, it is ordered that the amount of R723 015,02 be retained in trust by the Third Respondent (and duly invested in an interest-bearing account), </w:t>
      </w:r>
      <w:r w:rsidR="007765E8" w:rsidRPr="00067BF5">
        <w:rPr>
          <w:rFonts w:ascii="Arial" w:hAnsi="Arial" w:cs="Arial"/>
          <w:bCs/>
          <w:szCs w:val="24"/>
          <w:u w:val="single"/>
          <w:lang w:val="en-GB"/>
        </w:rPr>
        <w:t>pending the final outcome of the proceedings herein contemplated</w:t>
      </w:r>
      <w:r w:rsidR="007765E8" w:rsidRPr="00441402">
        <w:rPr>
          <w:rFonts w:ascii="Arial" w:hAnsi="Arial" w:cs="Arial"/>
          <w:bCs/>
          <w:szCs w:val="24"/>
          <w:lang w:val="en-GB"/>
        </w:rPr>
        <w:t xml:space="preserve"> (it was conceded by Adv Franck who appeared on behalf of the Applicants that this sentence which is underlined should be deleted from the Applicants Notice of Motion), alternatively, an action to be instituted by the Applicants against the First and Second Respondents within 30 days of the date of this order.</w:t>
      </w:r>
    </w:p>
    <w:p w14:paraId="608BB288"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0BCC7682" w14:textId="156EF23A"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8. </w:t>
      </w:r>
      <w:r w:rsidRPr="00441402">
        <w:rPr>
          <w:rFonts w:ascii="Arial" w:hAnsi="Arial" w:cs="Arial"/>
          <w:bCs/>
          <w:szCs w:val="24"/>
          <w:lang w:val="en-GB"/>
        </w:rPr>
        <w:tab/>
      </w:r>
      <w:r w:rsidR="007765E8" w:rsidRPr="00441402">
        <w:rPr>
          <w:rFonts w:ascii="Arial" w:hAnsi="Arial" w:cs="Arial"/>
          <w:bCs/>
          <w:szCs w:val="24"/>
          <w:lang w:val="en-GB"/>
        </w:rPr>
        <w:t xml:space="preserve">Upon registration of transfer of the property into the names of the Applicants, the Third Respondent shall retain an amount of R115 453,20 in trust (duly invested in an interest-bearing account) pending the final determination of an action to be instituted against the First and Second Respondents, in respect of the latent defects present at </w:t>
      </w:r>
      <w:r w:rsidR="008C1D11" w:rsidRPr="00441402">
        <w:rPr>
          <w:rFonts w:ascii="Arial" w:hAnsi="Arial" w:cs="Arial"/>
          <w:bCs/>
          <w:szCs w:val="24"/>
          <w:lang w:val="en-GB"/>
        </w:rPr>
        <w:t>the property</w:t>
      </w:r>
      <w:r w:rsidR="007765E8" w:rsidRPr="00441402">
        <w:rPr>
          <w:rFonts w:ascii="Arial" w:hAnsi="Arial" w:cs="Arial"/>
          <w:bCs/>
          <w:szCs w:val="24"/>
          <w:lang w:val="en-GB"/>
        </w:rPr>
        <w:t xml:space="preserve"> by deducting the amount of R115 453,20 from the proceeds of sale due to the First and Second Respondents.</w:t>
      </w:r>
    </w:p>
    <w:p w14:paraId="0066C3A2"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6B6C2959" w14:textId="77777777"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9. </w:t>
      </w:r>
      <w:r w:rsidRPr="00441402">
        <w:rPr>
          <w:rFonts w:ascii="Arial" w:hAnsi="Arial" w:cs="Arial"/>
          <w:bCs/>
          <w:szCs w:val="24"/>
          <w:lang w:val="en-GB"/>
        </w:rPr>
        <w:tab/>
      </w:r>
      <w:r w:rsidR="007765E8" w:rsidRPr="00441402">
        <w:rPr>
          <w:rFonts w:ascii="Arial" w:hAnsi="Arial" w:cs="Arial"/>
          <w:bCs/>
          <w:szCs w:val="24"/>
          <w:lang w:val="en-GB"/>
        </w:rPr>
        <w:t>The Fourth Respondent shall file answering papers to declare, whether the First and Second Respondents have complied with Section 14 of the National Building Regulations and Building Standards Act No. 103 of 1997.</w:t>
      </w:r>
    </w:p>
    <w:p w14:paraId="217A78A1"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1C61B139" w14:textId="77777777"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10.</w:t>
      </w:r>
      <w:r w:rsidRPr="00441402">
        <w:rPr>
          <w:rFonts w:ascii="Arial" w:hAnsi="Arial" w:cs="Arial"/>
          <w:bCs/>
          <w:szCs w:val="24"/>
          <w:lang w:val="en-GB"/>
        </w:rPr>
        <w:tab/>
      </w:r>
      <w:r w:rsidR="007765E8" w:rsidRPr="00441402">
        <w:rPr>
          <w:rFonts w:ascii="Arial" w:hAnsi="Arial" w:cs="Arial"/>
          <w:bCs/>
          <w:szCs w:val="24"/>
          <w:lang w:val="en-GB"/>
        </w:rPr>
        <w:t>In the alternative to order 9 above, should the Fourth Respondent fail to file answering papers, timeously or at all, the Fourth Respondent is ordered to disclose the contents of its municipal/building files relating to the property, to the Applicants and to provide the Applicants with copies of the contents of any and all documentation in its possession or under its control relating to the property, and the Applicants are given leave to supplement their affidavit, if necessary.</w:t>
      </w:r>
    </w:p>
    <w:p w14:paraId="128E02A9"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2914145F" w14:textId="1874D9B9" w:rsidR="00CA3B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11. </w:t>
      </w:r>
      <w:r w:rsidRPr="00441402">
        <w:rPr>
          <w:rFonts w:ascii="Arial" w:hAnsi="Arial" w:cs="Arial"/>
          <w:bCs/>
          <w:szCs w:val="24"/>
          <w:lang w:val="en-GB"/>
        </w:rPr>
        <w:tab/>
      </w:r>
      <w:r w:rsidR="007765E8" w:rsidRPr="00441402">
        <w:rPr>
          <w:rFonts w:ascii="Arial" w:hAnsi="Arial" w:cs="Arial"/>
          <w:bCs/>
          <w:szCs w:val="24"/>
          <w:lang w:val="en-GB"/>
        </w:rPr>
        <w:t>The First and Second Respondents shall pay the costs of this application jointly and severally, the one paying the other to be absolved on the scale as between attorney and own client. The Plaintiff will only seek costs against the Third and Fourth Respondents (jointly and severally together with the First and Second Respondents, the one paying the other to be absolved) in the event of opposition to the application.</w:t>
      </w:r>
    </w:p>
    <w:p w14:paraId="7641BCF2" w14:textId="77777777" w:rsidR="00CA3BE8" w:rsidRPr="00441402" w:rsidRDefault="00CA3BE8" w:rsidP="00441402">
      <w:pPr>
        <w:pStyle w:val="ListParagraph"/>
        <w:spacing w:after="0" w:line="276" w:lineRule="auto"/>
        <w:ind w:left="2160" w:hanging="720"/>
        <w:rPr>
          <w:rFonts w:ascii="Arial" w:hAnsi="Arial" w:cs="Arial"/>
          <w:bCs/>
          <w:szCs w:val="24"/>
          <w:lang w:val="en-GB"/>
        </w:rPr>
      </w:pPr>
    </w:p>
    <w:p w14:paraId="7CF07AB5" w14:textId="38B01BBD" w:rsidR="007765E8" w:rsidRPr="00441402" w:rsidRDefault="00CA3BE8" w:rsidP="00441402">
      <w:pPr>
        <w:pStyle w:val="ListParagraph"/>
        <w:spacing w:after="0" w:line="276" w:lineRule="auto"/>
        <w:ind w:left="2160" w:hanging="720"/>
        <w:rPr>
          <w:rFonts w:ascii="Arial" w:hAnsi="Arial" w:cs="Arial"/>
          <w:bCs/>
          <w:szCs w:val="24"/>
          <w:lang w:val="en-GB"/>
        </w:rPr>
      </w:pPr>
      <w:r w:rsidRPr="00441402">
        <w:rPr>
          <w:rFonts w:ascii="Arial" w:hAnsi="Arial" w:cs="Arial"/>
          <w:bCs/>
          <w:szCs w:val="24"/>
          <w:lang w:val="en-GB"/>
        </w:rPr>
        <w:t xml:space="preserve">12. </w:t>
      </w:r>
      <w:r w:rsidRPr="00441402">
        <w:rPr>
          <w:rFonts w:ascii="Arial" w:hAnsi="Arial" w:cs="Arial"/>
          <w:bCs/>
          <w:szCs w:val="24"/>
          <w:lang w:val="en-GB"/>
        </w:rPr>
        <w:tab/>
      </w:r>
      <w:r w:rsidR="007765E8" w:rsidRPr="00441402">
        <w:rPr>
          <w:rFonts w:ascii="Arial" w:hAnsi="Arial" w:cs="Arial"/>
          <w:bCs/>
          <w:szCs w:val="24"/>
          <w:lang w:val="en-GB"/>
        </w:rPr>
        <w:t>Further and/or alternative relief.</w:t>
      </w:r>
      <w:r w:rsidRPr="00441402">
        <w:rPr>
          <w:rFonts w:ascii="Arial" w:hAnsi="Arial" w:cs="Arial"/>
          <w:bCs/>
          <w:szCs w:val="24"/>
          <w:lang w:val="en-GB"/>
        </w:rPr>
        <w:t>”</w:t>
      </w:r>
      <w:r w:rsidR="007765E8" w:rsidRPr="00441402">
        <w:rPr>
          <w:rFonts w:ascii="Arial" w:hAnsi="Arial" w:cs="Arial"/>
          <w:bCs/>
          <w:szCs w:val="24"/>
          <w:lang w:val="en-GB"/>
        </w:rPr>
        <w:t xml:space="preserve">   </w:t>
      </w:r>
    </w:p>
    <w:p w14:paraId="1EA25054" w14:textId="77777777" w:rsidR="007765E8" w:rsidRPr="00441402" w:rsidRDefault="007765E8" w:rsidP="00441402">
      <w:pPr>
        <w:spacing w:after="0" w:line="276" w:lineRule="auto"/>
        <w:ind w:left="0"/>
        <w:rPr>
          <w:rFonts w:ascii="Arial" w:hAnsi="Arial" w:cs="Arial"/>
          <w:bCs/>
          <w:szCs w:val="24"/>
          <w:lang w:val="en-GB"/>
        </w:rPr>
      </w:pPr>
    </w:p>
    <w:p w14:paraId="30A07405" w14:textId="42B16E48"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[7]</w:t>
      </w:r>
      <w:r w:rsidRPr="00441402">
        <w:rPr>
          <w:rFonts w:ascii="Arial" w:hAnsi="Arial" w:cs="Arial"/>
          <w:bCs/>
          <w:szCs w:val="24"/>
          <w:lang w:val="en-GB"/>
        </w:rPr>
        <w:tab/>
      </w:r>
      <w:r w:rsidR="007765E8" w:rsidRPr="00B86202">
        <w:rPr>
          <w:rFonts w:ascii="Arial" w:hAnsi="Arial" w:cs="Arial"/>
          <w:bCs/>
          <w:szCs w:val="24"/>
          <w:lang w:val="en-GB"/>
        </w:rPr>
        <w:t>From the aforegoing, it is immediately apparent that the said relief is probably best described as a “</w:t>
      </w:r>
      <w:r w:rsidR="007765E8" w:rsidRPr="00B86202">
        <w:rPr>
          <w:rFonts w:ascii="Arial" w:hAnsi="Arial" w:cs="Arial"/>
          <w:bCs/>
          <w:i/>
          <w:iCs/>
          <w:szCs w:val="24"/>
          <w:lang w:val="en-GB"/>
        </w:rPr>
        <w:t>hybrid</w:t>
      </w:r>
      <w:r w:rsidR="007765E8" w:rsidRPr="00B86202">
        <w:rPr>
          <w:rFonts w:ascii="Arial" w:hAnsi="Arial" w:cs="Arial"/>
          <w:bCs/>
          <w:szCs w:val="24"/>
          <w:lang w:val="en-GB"/>
        </w:rPr>
        <w:t xml:space="preserve">” of mandatory interdicts and damages claims together with the inevitable costs award on the highest punitive scale. What is interesting are the referrals to trial; the recognition of potential disputes of fact and the anti-dissipation interdicts included therein.  </w:t>
      </w:r>
    </w:p>
    <w:p w14:paraId="08C654E2" w14:textId="77777777" w:rsidR="007765E8" w:rsidRPr="00441402" w:rsidRDefault="007765E8" w:rsidP="00441402">
      <w:pPr>
        <w:spacing w:after="0" w:line="276" w:lineRule="auto"/>
        <w:ind w:left="0"/>
        <w:rPr>
          <w:rFonts w:ascii="Arial" w:hAnsi="Arial" w:cs="Arial"/>
          <w:bCs/>
          <w:szCs w:val="24"/>
          <w:lang w:val="en-GB"/>
        </w:rPr>
      </w:pPr>
    </w:p>
    <w:p w14:paraId="168FA23C" w14:textId="7C489D45" w:rsidR="007765E8" w:rsidRPr="00441402" w:rsidRDefault="007765E8" w:rsidP="00441402">
      <w:pPr>
        <w:spacing w:after="0" w:line="276" w:lineRule="auto"/>
        <w:ind w:left="0"/>
        <w:rPr>
          <w:rFonts w:ascii="Arial" w:hAnsi="Arial" w:cs="Arial"/>
          <w:b/>
          <w:szCs w:val="24"/>
          <w:u w:val="single"/>
          <w:lang w:val="en-GB"/>
        </w:rPr>
      </w:pPr>
      <w:r w:rsidRPr="00441402">
        <w:rPr>
          <w:rFonts w:ascii="Arial" w:hAnsi="Arial" w:cs="Arial"/>
          <w:b/>
          <w:szCs w:val="24"/>
          <w:u w:val="single"/>
          <w:lang w:val="en-GB"/>
        </w:rPr>
        <w:t>The relief sought by the Respondents</w:t>
      </w:r>
    </w:p>
    <w:p w14:paraId="6158148A" w14:textId="77777777" w:rsidR="007765E8" w:rsidRPr="00441402" w:rsidRDefault="007765E8" w:rsidP="00441402">
      <w:pPr>
        <w:spacing w:after="0" w:line="276" w:lineRule="auto"/>
        <w:ind w:left="0"/>
        <w:rPr>
          <w:rFonts w:ascii="Arial" w:hAnsi="Arial" w:cs="Arial"/>
          <w:bCs/>
          <w:szCs w:val="24"/>
          <w:lang w:val="en-GB"/>
        </w:rPr>
      </w:pPr>
    </w:p>
    <w:p w14:paraId="1F4F970A" w14:textId="65DAA05B"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[8]</w:t>
      </w:r>
      <w:r w:rsidRPr="00441402">
        <w:rPr>
          <w:rFonts w:ascii="Arial" w:hAnsi="Arial" w:cs="Arial"/>
          <w:bCs/>
          <w:szCs w:val="24"/>
          <w:lang w:val="en-GB"/>
        </w:rPr>
        <w:tab/>
      </w:r>
      <w:r w:rsidR="007765E8" w:rsidRPr="00B86202">
        <w:rPr>
          <w:rFonts w:ascii="Arial" w:hAnsi="Arial" w:cs="Arial"/>
          <w:bCs/>
          <w:szCs w:val="24"/>
          <w:lang w:val="en-GB"/>
        </w:rPr>
        <w:t xml:space="preserve">In the Respondents’ counter-application the Respondents seek an order declaring that the Applicants’ have repudiated the agreement, together with further orders that the agreement is cancelled and that the Applicants are to vacate the property with 60 days of the order of this Court. Here too a punitive order for costs is sought by the Respondents against the Applicants.  </w:t>
      </w:r>
    </w:p>
    <w:p w14:paraId="5EE25561" w14:textId="77777777" w:rsidR="007765E8" w:rsidRPr="00441402" w:rsidRDefault="007765E8" w:rsidP="00441402">
      <w:pPr>
        <w:spacing w:after="0" w:line="276" w:lineRule="auto"/>
        <w:ind w:left="0"/>
        <w:rPr>
          <w:rFonts w:ascii="Arial" w:hAnsi="Arial" w:cs="Arial"/>
          <w:bCs/>
          <w:szCs w:val="24"/>
          <w:lang w:val="en-GB"/>
        </w:rPr>
      </w:pPr>
    </w:p>
    <w:p w14:paraId="4B6219CC" w14:textId="64AD13ED" w:rsidR="007765E8" w:rsidRPr="00441402" w:rsidRDefault="007765E8" w:rsidP="00441402">
      <w:pPr>
        <w:spacing w:after="0" w:line="276" w:lineRule="auto"/>
        <w:ind w:left="0"/>
        <w:rPr>
          <w:rFonts w:ascii="Arial" w:hAnsi="Arial" w:cs="Arial"/>
          <w:b/>
          <w:szCs w:val="24"/>
          <w:u w:val="single"/>
          <w:lang w:val="en-GB"/>
        </w:rPr>
      </w:pPr>
      <w:r w:rsidRPr="00441402">
        <w:rPr>
          <w:rFonts w:ascii="Arial" w:hAnsi="Arial" w:cs="Arial"/>
          <w:b/>
          <w:szCs w:val="24"/>
          <w:u w:val="single"/>
          <w:lang w:val="en-GB"/>
        </w:rPr>
        <w:t>Opposition and disputes of Fact</w:t>
      </w:r>
    </w:p>
    <w:p w14:paraId="0B609FF4" w14:textId="77777777" w:rsidR="007765E8" w:rsidRPr="00441402" w:rsidRDefault="007765E8" w:rsidP="00441402">
      <w:pPr>
        <w:spacing w:after="0" w:line="276" w:lineRule="auto"/>
        <w:ind w:left="0"/>
        <w:rPr>
          <w:rFonts w:ascii="Arial" w:hAnsi="Arial" w:cs="Arial"/>
          <w:bCs/>
          <w:szCs w:val="24"/>
          <w:lang w:val="en-GB"/>
        </w:rPr>
      </w:pPr>
    </w:p>
    <w:p w14:paraId="499AFC72" w14:textId="722723FF" w:rsidR="00FA7E0B"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[9]</w:t>
      </w:r>
      <w:r w:rsidRPr="00441402">
        <w:rPr>
          <w:rFonts w:ascii="Arial" w:hAnsi="Arial" w:cs="Arial"/>
          <w:bCs/>
          <w:szCs w:val="24"/>
          <w:lang w:val="en-GB"/>
        </w:rPr>
        <w:tab/>
      </w:r>
      <w:r w:rsidR="007765E8" w:rsidRPr="00B86202">
        <w:rPr>
          <w:rFonts w:ascii="Arial" w:hAnsi="Arial" w:cs="Arial"/>
          <w:bCs/>
          <w:szCs w:val="24"/>
          <w:lang w:val="en-GB"/>
        </w:rPr>
        <w:t>In very broad summary:</w:t>
      </w:r>
    </w:p>
    <w:p w14:paraId="23DE1F40" w14:textId="77777777" w:rsidR="00FA7E0B" w:rsidRPr="00441402" w:rsidRDefault="00FA7E0B" w:rsidP="00441402">
      <w:pPr>
        <w:pStyle w:val="ListParagraph"/>
        <w:spacing w:after="0" w:line="276" w:lineRule="auto"/>
        <w:rPr>
          <w:rFonts w:ascii="Arial" w:hAnsi="Arial" w:cs="Arial"/>
          <w:bCs/>
          <w:szCs w:val="24"/>
          <w:lang w:val="en-GB"/>
        </w:rPr>
      </w:pPr>
    </w:p>
    <w:p w14:paraId="47CFA43A" w14:textId="3355A321" w:rsidR="00FA7E0B"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t>9.1</w:t>
      </w:r>
      <w:r w:rsidRPr="00441402">
        <w:rPr>
          <w:rFonts w:ascii="Arial" w:hAnsi="Arial" w:cs="Arial"/>
          <w:bCs/>
          <w:szCs w:val="24"/>
          <w:lang w:val="en-GB"/>
        </w:rPr>
        <w:tab/>
      </w:r>
      <w:r w:rsidR="007765E8" w:rsidRPr="00B86202">
        <w:rPr>
          <w:rFonts w:ascii="Arial" w:hAnsi="Arial" w:cs="Arial"/>
          <w:bCs/>
          <w:szCs w:val="24"/>
          <w:lang w:val="en-GB"/>
        </w:rPr>
        <w:t>The Respondents oppose the relief sought by the Applicants on the existence of a voetstoots clause in the agreement;</w:t>
      </w:r>
    </w:p>
    <w:p w14:paraId="2EDCBF58" w14:textId="77777777" w:rsidR="00FA7E0B" w:rsidRPr="00441402" w:rsidRDefault="00FA7E0B" w:rsidP="00441402">
      <w:pPr>
        <w:pStyle w:val="ListParagraph"/>
        <w:spacing w:after="0" w:line="276" w:lineRule="auto"/>
        <w:ind w:left="1440"/>
        <w:rPr>
          <w:rFonts w:ascii="Arial" w:hAnsi="Arial" w:cs="Arial"/>
          <w:bCs/>
          <w:szCs w:val="24"/>
          <w:lang w:val="en-GB"/>
        </w:rPr>
      </w:pPr>
    </w:p>
    <w:p w14:paraId="28D0C4E8" w14:textId="1A9DEED9" w:rsidR="00FA7E0B"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lastRenderedPageBreak/>
        <w:t>9.2</w:t>
      </w:r>
      <w:r w:rsidRPr="00441402">
        <w:rPr>
          <w:rFonts w:ascii="Arial" w:hAnsi="Arial" w:cs="Arial"/>
          <w:bCs/>
          <w:szCs w:val="24"/>
          <w:lang w:val="en-GB"/>
        </w:rPr>
        <w:tab/>
      </w:r>
      <w:r w:rsidR="007765E8" w:rsidRPr="00B86202">
        <w:rPr>
          <w:rFonts w:ascii="Arial" w:hAnsi="Arial" w:cs="Arial"/>
          <w:bCs/>
          <w:szCs w:val="24"/>
          <w:lang w:val="en-GB"/>
        </w:rPr>
        <w:t>It is also averred by the Respondents that in respect of the various damages claims these are mostly quotations and not proven damages;</w:t>
      </w:r>
    </w:p>
    <w:p w14:paraId="6C1EB5B8" w14:textId="77777777" w:rsidR="00FA7E0B" w:rsidRPr="00441402" w:rsidRDefault="00FA7E0B" w:rsidP="00441402">
      <w:pPr>
        <w:pStyle w:val="ListParagraph"/>
        <w:spacing w:after="0" w:line="276" w:lineRule="auto"/>
        <w:rPr>
          <w:rFonts w:ascii="Arial" w:hAnsi="Arial" w:cs="Arial"/>
          <w:bCs/>
          <w:szCs w:val="24"/>
          <w:lang w:val="en-GB"/>
        </w:rPr>
      </w:pPr>
    </w:p>
    <w:p w14:paraId="303BBEAB" w14:textId="452E5B48" w:rsidR="00FA7E0B"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t>9.3</w:t>
      </w:r>
      <w:r w:rsidRPr="00441402">
        <w:rPr>
          <w:rFonts w:ascii="Arial" w:hAnsi="Arial" w:cs="Arial"/>
          <w:bCs/>
          <w:szCs w:val="24"/>
          <w:lang w:val="en-GB"/>
        </w:rPr>
        <w:tab/>
      </w:r>
      <w:r w:rsidR="007765E8" w:rsidRPr="00B86202">
        <w:rPr>
          <w:rFonts w:ascii="Arial" w:hAnsi="Arial" w:cs="Arial"/>
          <w:bCs/>
          <w:szCs w:val="24"/>
          <w:lang w:val="en-GB"/>
        </w:rPr>
        <w:t>The Respondents also raise the fact that the Applicants have failed to discharge the onus incumbent upon them to prove fraud on their (the Respondents’) behalf (which is a difficult onus to discharge) in order to avoid the voetstoots clause;</w:t>
      </w:r>
    </w:p>
    <w:p w14:paraId="7F0E8427" w14:textId="77777777" w:rsidR="00FA7E0B" w:rsidRPr="00441402" w:rsidRDefault="00FA7E0B" w:rsidP="00441402">
      <w:pPr>
        <w:pStyle w:val="ListParagraph"/>
        <w:spacing w:after="0" w:line="276" w:lineRule="auto"/>
        <w:rPr>
          <w:rFonts w:ascii="Arial" w:hAnsi="Arial" w:cs="Arial"/>
          <w:bCs/>
          <w:szCs w:val="24"/>
          <w:lang w:val="en-GB"/>
        </w:rPr>
      </w:pPr>
    </w:p>
    <w:p w14:paraId="2A7D2CF8" w14:textId="5B0D0BC2" w:rsidR="00FA7E0B"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t>9.4</w:t>
      </w:r>
      <w:r w:rsidRPr="00441402">
        <w:rPr>
          <w:rFonts w:ascii="Arial" w:hAnsi="Arial" w:cs="Arial"/>
          <w:bCs/>
          <w:szCs w:val="24"/>
          <w:lang w:val="en-GB"/>
        </w:rPr>
        <w:tab/>
      </w:r>
      <w:r w:rsidR="007765E8" w:rsidRPr="00B86202">
        <w:rPr>
          <w:rFonts w:ascii="Arial" w:hAnsi="Arial" w:cs="Arial"/>
          <w:bCs/>
          <w:szCs w:val="24"/>
          <w:lang w:val="en-GB"/>
        </w:rPr>
        <w:t>The Respondents also aver there are many factual disputes on the papers, not only in respect of damages claims but in respect of the anti-dissipation interdicts sought; what defects, if proved to be defects, are latent or patent and which are covered by the voetstoots clause and which are not;</w:t>
      </w:r>
    </w:p>
    <w:p w14:paraId="1F32E8DB" w14:textId="77777777" w:rsidR="00FA7E0B" w:rsidRPr="00441402" w:rsidRDefault="00FA7E0B" w:rsidP="00441402">
      <w:pPr>
        <w:pStyle w:val="ListParagraph"/>
        <w:spacing w:after="0" w:line="276" w:lineRule="auto"/>
        <w:rPr>
          <w:rFonts w:ascii="Arial" w:hAnsi="Arial" w:cs="Arial"/>
          <w:bCs/>
          <w:szCs w:val="24"/>
          <w:lang w:val="en-GB"/>
        </w:rPr>
      </w:pPr>
    </w:p>
    <w:p w14:paraId="12E359C9" w14:textId="336AC0A2" w:rsidR="007765E8"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t>9.5</w:t>
      </w:r>
      <w:r w:rsidRPr="00441402">
        <w:rPr>
          <w:rFonts w:ascii="Arial" w:hAnsi="Arial" w:cs="Arial"/>
          <w:bCs/>
          <w:szCs w:val="24"/>
          <w:lang w:val="en-GB"/>
        </w:rPr>
        <w:tab/>
      </w:r>
      <w:r w:rsidR="007765E8" w:rsidRPr="00B86202">
        <w:rPr>
          <w:rFonts w:ascii="Arial" w:hAnsi="Arial" w:cs="Arial"/>
          <w:bCs/>
          <w:szCs w:val="24"/>
          <w:lang w:val="en-GB"/>
        </w:rPr>
        <w:t xml:space="preserve">The Applicants aver that apart from various points </w:t>
      </w:r>
      <w:r w:rsidR="007765E8" w:rsidRPr="00B86202">
        <w:rPr>
          <w:rFonts w:ascii="Arial" w:hAnsi="Arial" w:cs="Arial"/>
          <w:bCs/>
          <w:i/>
          <w:iCs/>
          <w:szCs w:val="24"/>
          <w:lang w:val="en-GB"/>
        </w:rPr>
        <w:t>in limine</w:t>
      </w:r>
      <w:r w:rsidR="007765E8" w:rsidRPr="00B86202">
        <w:rPr>
          <w:rFonts w:ascii="Arial" w:hAnsi="Arial" w:cs="Arial"/>
          <w:bCs/>
          <w:szCs w:val="24"/>
          <w:lang w:val="en-GB"/>
        </w:rPr>
        <w:t xml:space="preserve"> (in respect of the eviction order sought and lack of notice in terms of the Alienation of Land Act) the Respondents have not proven repudiation of the agreement by them in that any failure to transfer the property into their name is solely due to the actions of the Respondents (as set out in the Applicants’ application) and not due to any actions on their behalf.  </w:t>
      </w:r>
    </w:p>
    <w:p w14:paraId="7B07BB1F" w14:textId="77777777" w:rsidR="007765E8" w:rsidRPr="00441402" w:rsidRDefault="007765E8" w:rsidP="00441402">
      <w:pPr>
        <w:spacing w:after="0" w:line="276" w:lineRule="auto"/>
        <w:ind w:left="0"/>
        <w:rPr>
          <w:rFonts w:ascii="Arial" w:hAnsi="Arial" w:cs="Arial"/>
          <w:bCs/>
          <w:szCs w:val="24"/>
          <w:lang w:val="en-GB"/>
        </w:rPr>
      </w:pPr>
    </w:p>
    <w:p w14:paraId="69CADC66" w14:textId="1C92A58D"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[10]</w:t>
      </w:r>
      <w:r w:rsidRPr="00441402">
        <w:rPr>
          <w:rFonts w:ascii="Arial" w:hAnsi="Arial" w:cs="Arial"/>
          <w:bCs/>
          <w:szCs w:val="24"/>
          <w:lang w:val="en-GB"/>
        </w:rPr>
        <w:tab/>
      </w:r>
      <w:r w:rsidR="007765E8" w:rsidRPr="00B86202">
        <w:rPr>
          <w:rFonts w:ascii="Arial" w:hAnsi="Arial" w:cs="Arial"/>
          <w:bCs/>
          <w:szCs w:val="24"/>
          <w:lang w:val="en-GB"/>
        </w:rPr>
        <w:t xml:space="preserve">On behalf of the Applicants, Adv. Franck did an admirable job in taking this Court through the application papers in an attempt not only to convince this Court that there was no actual or </w:t>
      </w:r>
      <w:r w:rsidR="007765E8" w:rsidRPr="00B86202">
        <w:rPr>
          <w:rFonts w:ascii="Arial" w:hAnsi="Arial" w:cs="Arial"/>
          <w:bCs/>
          <w:i/>
          <w:iCs/>
          <w:szCs w:val="24"/>
          <w:lang w:val="en-GB"/>
        </w:rPr>
        <w:t>bona fide</w:t>
      </w:r>
      <w:r w:rsidR="007765E8" w:rsidRPr="00B86202">
        <w:rPr>
          <w:rFonts w:ascii="Arial" w:hAnsi="Arial" w:cs="Arial"/>
          <w:bCs/>
          <w:szCs w:val="24"/>
          <w:lang w:val="en-GB"/>
        </w:rPr>
        <w:t xml:space="preserve"> dispute of fact but also that the Applicants were entitled to the relief sought and that, as a corollary thereof, the Respondents’ counter-application should be dismissed. On behalf of the Respondents, it was submitted that, as a result of, </w:t>
      </w:r>
      <w:r w:rsidR="007765E8" w:rsidRPr="00B86202">
        <w:rPr>
          <w:rFonts w:ascii="Arial" w:hAnsi="Arial" w:cs="Arial"/>
          <w:bCs/>
          <w:i/>
          <w:iCs/>
          <w:szCs w:val="24"/>
          <w:lang w:val="en-GB"/>
        </w:rPr>
        <w:t>inter alia</w:t>
      </w:r>
      <w:r w:rsidR="007765E8" w:rsidRPr="00B86202">
        <w:rPr>
          <w:rFonts w:ascii="Arial" w:hAnsi="Arial" w:cs="Arial"/>
          <w:bCs/>
          <w:szCs w:val="24"/>
          <w:lang w:val="en-GB"/>
        </w:rPr>
        <w:t xml:space="preserve">, the material disputes of fact on the application papers and the election of the Applicants to proceed by way of motion proceedings (a process designed for common cause facts) the application should be dismissed. However, the Respondents nevertheless persisted to seek the relief as set out in their counter-application. Importantly, neither party asked specifically, at any stage of the proceedings, that the matter be referred for the hearing of oral evidence, either in respect of certain issues or to trial.  </w:t>
      </w:r>
    </w:p>
    <w:p w14:paraId="6C63F50D" w14:textId="77777777" w:rsidR="007765E8" w:rsidRPr="00441402" w:rsidRDefault="007765E8" w:rsidP="00441402">
      <w:pPr>
        <w:spacing w:after="0" w:line="276" w:lineRule="auto"/>
        <w:ind w:left="0"/>
        <w:rPr>
          <w:rFonts w:ascii="Arial" w:hAnsi="Arial" w:cs="Arial"/>
          <w:bCs/>
          <w:szCs w:val="24"/>
          <w:lang w:val="en-GB"/>
        </w:rPr>
      </w:pPr>
    </w:p>
    <w:p w14:paraId="2676357C" w14:textId="4186D346" w:rsidR="007765E8" w:rsidRPr="00441402" w:rsidRDefault="007765E8" w:rsidP="00441402">
      <w:pPr>
        <w:spacing w:after="0" w:line="276" w:lineRule="auto"/>
        <w:ind w:left="0"/>
        <w:rPr>
          <w:rFonts w:ascii="Arial" w:hAnsi="Arial" w:cs="Arial"/>
          <w:b/>
          <w:szCs w:val="24"/>
          <w:u w:val="single"/>
          <w:lang w:val="en-GB"/>
        </w:rPr>
      </w:pPr>
      <w:r w:rsidRPr="00441402">
        <w:rPr>
          <w:rFonts w:ascii="Arial" w:hAnsi="Arial" w:cs="Arial"/>
          <w:b/>
          <w:szCs w:val="24"/>
          <w:u w:val="single"/>
          <w:lang w:val="en-GB"/>
        </w:rPr>
        <w:t>The Law</w:t>
      </w:r>
    </w:p>
    <w:p w14:paraId="55B64192" w14:textId="77777777" w:rsidR="007765E8" w:rsidRPr="00441402" w:rsidRDefault="007765E8" w:rsidP="00441402">
      <w:pPr>
        <w:spacing w:after="0" w:line="276" w:lineRule="auto"/>
        <w:ind w:left="0"/>
        <w:rPr>
          <w:rFonts w:ascii="Arial" w:hAnsi="Arial" w:cs="Arial"/>
          <w:bCs/>
          <w:szCs w:val="24"/>
          <w:lang w:val="en-GB"/>
        </w:rPr>
      </w:pPr>
    </w:p>
    <w:p w14:paraId="1FEE9643" w14:textId="09E34128"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[11]</w:t>
      </w:r>
      <w:r w:rsidRPr="00441402">
        <w:rPr>
          <w:rFonts w:ascii="Arial" w:hAnsi="Arial" w:cs="Arial"/>
          <w:bCs/>
          <w:szCs w:val="24"/>
          <w:lang w:val="en-GB"/>
        </w:rPr>
        <w:tab/>
      </w:r>
      <w:r w:rsidR="007765E8" w:rsidRPr="00B86202">
        <w:rPr>
          <w:rFonts w:ascii="Arial" w:hAnsi="Arial" w:cs="Arial"/>
          <w:bCs/>
          <w:szCs w:val="24"/>
          <w:lang w:val="en-GB"/>
        </w:rPr>
        <w:t xml:space="preserve">Most regrettably for both the parties and this Court, as noted by the learned authors in </w:t>
      </w:r>
      <w:r w:rsidR="007765E8" w:rsidRPr="00B86202">
        <w:rPr>
          <w:rFonts w:ascii="Arial" w:hAnsi="Arial" w:cs="Arial"/>
          <w:bCs/>
          <w:i/>
          <w:iCs/>
          <w:szCs w:val="24"/>
          <w:lang w:val="en-GB"/>
        </w:rPr>
        <w:t>Erasmus: Superior Court Practice</w:t>
      </w:r>
      <w:r w:rsidR="007765E8" w:rsidRPr="00B86202">
        <w:rPr>
          <w:rFonts w:ascii="Arial" w:hAnsi="Arial" w:cs="Arial"/>
          <w:bCs/>
          <w:szCs w:val="24"/>
          <w:lang w:val="en-GB"/>
        </w:rPr>
        <w:t xml:space="preserve"> (“</w:t>
      </w:r>
      <w:r w:rsidR="007765E8" w:rsidRPr="00B86202">
        <w:rPr>
          <w:rFonts w:ascii="Arial" w:hAnsi="Arial" w:cs="Arial"/>
          <w:bCs/>
          <w:i/>
          <w:iCs/>
          <w:szCs w:val="24"/>
          <w:lang w:val="en-GB"/>
        </w:rPr>
        <w:t>Erasmus</w:t>
      </w:r>
      <w:r w:rsidR="007765E8" w:rsidRPr="00B86202">
        <w:rPr>
          <w:rFonts w:ascii="Arial" w:hAnsi="Arial" w:cs="Arial"/>
          <w:bCs/>
          <w:szCs w:val="24"/>
          <w:lang w:val="en-GB"/>
        </w:rPr>
        <w:t>”)</w:t>
      </w:r>
      <w:r w:rsidR="00CA3BE8" w:rsidRPr="00441402">
        <w:rPr>
          <w:rStyle w:val="FootnoteReference"/>
          <w:rFonts w:ascii="Arial" w:hAnsi="Arial" w:cs="Arial"/>
          <w:bCs/>
          <w:szCs w:val="24"/>
          <w:lang w:val="en-GB"/>
        </w:rPr>
        <w:footnoteReference w:id="2"/>
      </w:r>
      <w:r w:rsidR="005D0B34" w:rsidRPr="00B86202">
        <w:rPr>
          <w:rFonts w:ascii="Arial" w:hAnsi="Arial" w:cs="Arial"/>
          <w:bCs/>
          <w:szCs w:val="24"/>
          <w:lang w:val="en-GB"/>
        </w:rPr>
        <w:t>:</w:t>
      </w:r>
      <w:r w:rsidR="007765E8" w:rsidRPr="00B86202">
        <w:rPr>
          <w:rFonts w:ascii="Arial" w:hAnsi="Arial" w:cs="Arial"/>
          <w:bCs/>
          <w:szCs w:val="24"/>
          <w:lang w:val="en-GB"/>
        </w:rPr>
        <w:t xml:space="preserve"> </w:t>
      </w:r>
    </w:p>
    <w:p w14:paraId="5857E196" w14:textId="77777777" w:rsidR="00CA3BE8" w:rsidRPr="00441402" w:rsidRDefault="007765E8" w:rsidP="00441402">
      <w:pPr>
        <w:spacing w:after="0" w:line="276" w:lineRule="auto"/>
        <w:ind w:left="1440" w:hanging="1440"/>
        <w:rPr>
          <w:rFonts w:ascii="Arial" w:hAnsi="Arial" w:cs="Arial"/>
          <w:bCs/>
          <w:szCs w:val="24"/>
          <w:lang w:val="en-GB"/>
        </w:rPr>
      </w:pPr>
      <w:r w:rsidRPr="00441402">
        <w:rPr>
          <w:rFonts w:ascii="Arial" w:hAnsi="Arial" w:cs="Arial"/>
          <w:bCs/>
          <w:szCs w:val="24"/>
          <w:lang w:val="en-GB"/>
        </w:rPr>
        <w:lastRenderedPageBreak/>
        <w:t xml:space="preserve"> </w:t>
      </w:r>
      <w:r w:rsidR="00CA3BE8" w:rsidRPr="00441402">
        <w:rPr>
          <w:rFonts w:ascii="Arial" w:hAnsi="Arial" w:cs="Arial"/>
          <w:bCs/>
          <w:szCs w:val="24"/>
          <w:lang w:val="en-GB"/>
        </w:rPr>
        <w:tab/>
      </w:r>
    </w:p>
    <w:p w14:paraId="1F07555E" w14:textId="685A2FFB" w:rsidR="007765E8" w:rsidRPr="00441402" w:rsidRDefault="007765E8" w:rsidP="00441402">
      <w:pPr>
        <w:spacing w:after="0" w:line="276" w:lineRule="auto"/>
        <w:ind w:left="1440"/>
        <w:rPr>
          <w:rFonts w:ascii="Arial" w:hAnsi="Arial" w:cs="Arial"/>
          <w:bCs/>
          <w:i/>
          <w:iCs/>
          <w:szCs w:val="24"/>
          <w:lang w:val="en-GB"/>
        </w:rPr>
      </w:pPr>
      <w:r w:rsidRPr="00441402">
        <w:rPr>
          <w:rFonts w:ascii="Arial" w:hAnsi="Arial" w:cs="Arial"/>
          <w:bCs/>
          <w:i/>
          <w:iCs/>
          <w:szCs w:val="24"/>
          <w:lang w:val="en-GB"/>
        </w:rPr>
        <w:t>“</w:t>
      </w:r>
      <w:r w:rsidR="008C1D11" w:rsidRPr="00441402">
        <w:rPr>
          <w:rFonts w:ascii="Arial" w:hAnsi="Arial" w:cs="Arial"/>
          <w:bCs/>
          <w:i/>
          <w:iCs/>
          <w:szCs w:val="24"/>
          <w:lang w:val="en-GB"/>
        </w:rPr>
        <w:t>The</w:t>
      </w:r>
      <w:r w:rsidRPr="00441402">
        <w:rPr>
          <w:rFonts w:ascii="Arial" w:hAnsi="Arial" w:cs="Arial"/>
          <w:bCs/>
          <w:i/>
          <w:iCs/>
          <w:szCs w:val="24"/>
          <w:lang w:val="en-GB"/>
        </w:rPr>
        <w:t xml:space="preserve"> question whether the Court has the power to order a reference to trial mero motu has been described as “one” not free form difficulty by the Supreme Court of Appeal and has not yet been decided by that Court.”</w:t>
      </w:r>
      <w:r w:rsidR="00CA3BE8" w:rsidRPr="00441402">
        <w:rPr>
          <w:rStyle w:val="FootnoteReference"/>
          <w:rFonts w:ascii="Arial" w:hAnsi="Arial" w:cs="Arial"/>
          <w:bCs/>
          <w:szCs w:val="24"/>
          <w:lang w:val="en-GB"/>
        </w:rPr>
        <w:footnoteReference w:id="3"/>
      </w:r>
      <w:r w:rsidRPr="00441402">
        <w:rPr>
          <w:rFonts w:ascii="Arial" w:hAnsi="Arial" w:cs="Arial"/>
          <w:bCs/>
          <w:i/>
          <w:iCs/>
          <w:szCs w:val="24"/>
          <w:lang w:val="en-GB"/>
        </w:rPr>
        <w:t xml:space="preserve"> </w:t>
      </w:r>
    </w:p>
    <w:p w14:paraId="07C16728" w14:textId="77777777" w:rsidR="007765E8" w:rsidRPr="00441402" w:rsidRDefault="007765E8" w:rsidP="00441402">
      <w:pPr>
        <w:spacing w:after="0" w:line="276" w:lineRule="auto"/>
        <w:ind w:left="0"/>
        <w:rPr>
          <w:rFonts w:ascii="Arial" w:hAnsi="Arial" w:cs="Arial"/>
          <w:bCs/>
          <w:szCs w:val="24"/>
          <w:lang w:val="en-GB"/>
        </w:rPr>
      </w:pPr>
    </w:p>
    <w:p w14:paraId="15F683FA" w14:textId="2815181D" w:rsidR="007765E8" w:rsidRPr="00B86202" w:rsidRDefault="00B86202" w:rsidP="00B86202">
      <w:pPr>
        <w:spacing w:after="0" w:line="276" w:lineRule="auto"/>
        <w:ind w:left="720" w:hanging="686"/>
        <w:rPr>
          <w:rFonts w:ascii="Arial" w:hAnsi="Arial" w:cs="Arial"/>
          <w:bCs/>
          <w:i/>
          <w:iCs/>
          <w:szCs w:val="24"/>
          <w:lang w:val="en-GB"/>
        </w:rPr>
      </w:pPr>
      <w:r w:rsidRPr="00067BF5">
        <w:rPr>
          <w:rFonts w:ascii="Arial" w:hAnsi="Arial" w:cs="Arial"/>
          <w:bCs/>
          <w:i/>
          <w:iCs/>
          <w:szCs w:val="24"/>
          <w:lang w:val="en-GB"/>
        </w:rPr>
        <w:t>[12]</w:t>
      </w:r>
      <w:r w:rsidRPr="00067BF5">
        <w:rPr>
          <w:rFonts w:ascii="Arial" w:hAnsi="Arial" w:cs="Arial"/>
          <w:bCs/>
          <w:i/>
          <w:iCs/>
          <w:szCs w:val="24"/>
          <w:lang w:val="en-GB"/>
        </w:rPr>
        <w:tab/>
      </w:r>
      <w:r w:rsidR="007765E8" w:rsidRPr="00B86202">
        <w:rPr>
          <w:rFonts w:ascii="Arial" w:hAnsi="Arial" w:cs="Arial"/>
          <w:bCs/>
          <w:szCs w:val="24"/>
          <w:lang w:val="en-GB"/>
        </w:rPr>
        <w:t>That said, it must be well-known to the legal representatives of both the Applicants and the Respondents in the present mater that Courts, as a matter of practice, often refer matters to trial when needed and where the parties do not specifically request such a referral. Moreover, it has been held that in certain circumstances (and exceptional cases) the Court may decide that a matter should be referred to oral evidence even where no application for such referral had been made.</w:t>
      </w:r>
      <w:r w:rsidR="00CA3BE8" w:rsidRPr="00441402">
        <w:rPr>
          <w:rStyle w:val="FootnoteReference"/>
          <w:rFonts w:ascii="Arial" w:hAnsi="Arial" w:cs="Arial"/>
          <w:bCs/>
          <w:szCs w:val="24"/>
          <w:lang w:val="en-GB"/>
        </w:rPr>
        <w:footnoteReference w:id="4"/>
      </w:r>
      <w:r w:rsidR="007765E8" w:rsidRPr="00B86202">
        <w:rPr>
          <w:rFonts w:ascii="Arial" w:hAnsi="Arial" w:cs="Arial"/>
          <w:bCs/>
          <w:szCs w:val="24"/>
          <w:lang w:val="en-GB"/>
        </w:rPr>
        <w:t xml:space="preserve"> Also, as noted in </w:t>
      </w:r>
      <w:r w:rsidR="007765E8" w:rsidRPr="00B86202">
        <w:rPr>
          <w:rFonts w:ascii="Arial" w:hAnsi="Arial" w:cs="Arial"/>
          <w:bCs/>
          <w:i/>
          <w:iCs/>
          <w:szCs w:val="24"/>
          <w:lang w:val="en-GB"/>
        </w:rPr>
        <w:t>Ntsala</w:t>
      </w:r>
      <w:r w:rsidR="007765E8" w:rsidRPr="00B86202">
        <w:rPr>
          <w:rFonts w:ascii="Arial" w:hAnsi="Arial" w:cs="Arial"/>
          <w:bCs/>
          <w:szCs w:val="24"/>
          <w:lang w:val="en-GB"/>
        </w:rPr>
        <w:t>,</w:t>
      </w:r>
      <w:r w:rsidR="00CA3BE8" w:rsidRPr="00441402">
        <w:rPr>
          <w:rStyle w:val="FootnoteReference"/>
          <w:rFonts w:ascii="Arial" w:hAnsi="Arial" w:cs="Arial"/>
          <w:bCs/>
          <w:szCs w:val="24"/>
          <w:lang w:val="en-GB"/>
        </w:rPr>
        <w:footnoteReference w:id="5"/>
      </w:r>
      <w:r w:rsidR="007765E8" w:rsidRPr="00B86202">
        <w:rPr>
          <w:rFonts w:ascii="Arial" w:hAnsi="Arial" w:cs="Arial"/>
          <w:bCs/>
          <w:szCs w:val="24"/>
          <w:lang w:val="en-GB"/>
        </w:rPr>
        <w:t xml:space="preserve"> as long ago as 1949, in the locus classicus of </w:t>
      </w:r>
      <w:r w:rsidR="007765E8" w:rsidRPr="00B86202">
        <w:rPr>
          <w:rFonts w:ascii="Arial" w:hAnsi="Arial" w:cs="Arial"/>
          <w:bCs/>
          <w:i/>
          <w:iCs/>
          <w:szCs w:val="24"/>
          <w:lang w:val="en-GB"/>
        </w:rPr>
        <w:t>Room Hire Co (Pty) Ltd v Jeppe Street Mansions (Pty) Ltd</w:t>
      </w:r>
      <w:r w:rsidR="007765E8" w:rsidRPr="00B86202">
        <w:rPr>
          <w:rFonts w:ascii="Arial" w:hAnsi="Arial" w:cs="Arial"/>
          <w:bCs/>
          <w:szCs w:val="24"/>
          <w:lang w:val="en-GB"/>
        </w:rPr>
        <w:t>,</w:t>
      </w:r>
      <w:r w:rsidR="00CA3BE8" w:rsidRPr="00441402">
        <w:rPr>
          <w:rStyle w:val="FootnoteReference"/>
          <w:rFonts w:ascii="Arial" w:hAnsi="Arial" w:cs="Arial"/>
          <w:bCs/>
          <w:szCs w:val="24"/>
          <w:lang w:val="en-GB"/>
        </w:rPr>
        <w:footnoteReference w:id="6"/>
      </w:r>
      <w:r w:rsidR="007765E8" w:rsidRPr="00B86202">
        <w:rPr>
          <w:rFonts w:ascii="Arial" w:hAnsi="Arial" w:cs="Arial"/>
          <w:bCs/>
          <w:szCs w:val="24"/>
          <w:lang w:val="en-GB"/>
        </w:rPr>
        <w:t xml:space="preserve"> it was held that it is undesirable to attempt to settle disputes of facts solely on probabilities disclosed in contradictory affidavits as opposed to </w:t>
      </w:r>
      <w:r w:rsidR="007765E8" w:rsidRPr="00B86202">
        <w:rPr>
          <w:rFonts w:ascii="Arial" w:hAnsi="Arial" w:cs="Arial"/>
          <w:bCs/>
          <w:i/>
          <w:iCs/>
          <w:szCs w:val="24"/>
          <w:lang w:val="en-GB"/>
        </w:rPr>
        <w:t>vi</w:t>
      </w:r>
      <w:r w:rsidR="005D0B34" w:rsidRPr="00B86202">
        <w:rPr>
          <w:rFonts w:ascii="Arial" w:hAnsi="Arial" w:cs="Arial"/>
          <w:bCs/>
          <w:i/>
          <w:iCs/>
          <w:szCs w:val="24"/>
          <w:lang w:val="en-GB"/>
        </w:rPr>
        <w:t>v</w:t>
      </w:r>
      <w:r w:rsidR="007765E8" w:rsidRPr="00B86202">
        <w:rPr>
          <w:rFonts w:ascii="Arial" w:hAnsi="Arial" w:cs="Arial"/>
          <w:bCs/>
          <w:i/>
          <w:iCs/>
          <w:szCs w:val="24"/>
          <w:lang w:val="en-GB"/>
        </w:rPr>
        <w:t>a voce</w:t>
      </w:r>
      <w:r w:rsidR="007765E8" w:rsidRPr="00B86202">
        <w:rPr>
          <w:rFonts w:ascii="Arial" w:hAnsi="Arial" w:cs="Arial"/>
          <w:bCs/>
          <w:szCs w:val="24"/>
          <w:lang w:val="en-GB"/>
        </w:rPr>
        <w:t xml:space="preserve"> evidence. </w:t>
      </w:r>
      <w:r w:rsidR="007765E8" w:rsidRPr="00B86202">
        <w:rPr>
          <w:rFonts w:ascii="Arial" w:hAnsi="Arial" w:cs="Arial"/>
          <w:bCs/>
          <w:i/>
          <w:iCs/>
          <w:szCs w:val="24"/>
          <w:lang w:val="en-GB"/>
        </w:rPr>
        <w:t>See also</w:t>
      </w:r>
      <w:r w:rsidR="007765E8" w:rsidRPr="00B86202">
        <w:rPr>
          <w:rFonts w:ascii="Arial" w:hAnsi="Arial" w:cs="Arial"/>
          <w:bCs/>
          <w:szCs w:val="24"/>
          <w:lang w:val="en-GB"/>
        </w:rPr>
        <w:t xml:space="preserve"> </w:t>
      </w:r>
      <w:r w:rsidR="007765E8" w:rsidRPr="00B86202">
        <w:rPr>
          <w:rFonts w:ascii="Arial" w:hAnsi="Arial" w:cs="Arial"/>
          <w:bCs/>
          <w:i/>
          <w:iCs/>
          <w:szCs w:val="24"/>
          <w:lang w:val="en-GB"/>
        </w:rPr>
        <w:t>National Director of Public Prosecutions v Zuma</w:t>
      </w:r>
      <w:r w:rsidR="007765E8" w:rsidRPr="00B86202">
        <w:rPr>
          <w:rFonts w:ascii="Arial" w:hAnsi="Arial" w:cs="Arial"/>
          <w:bCs/>
          <w:szCs w:val="24"/>
          <w:lang w:val="en-GB"/>
        </w:rPr>
        <w:t xml:space="preserve"> </w:t>
      </w:r>
      <w:r w:rsidR="007765E8" w:rsidRPr="00B86202">
        <w:rPr>
          <w:rFonts w:ascii="Arial" w:hAnsi="Arial" w:cs="Arial"/>
          <w:bCs/>
          <w:i/>
          <w:iCs/>
          <w:szCs w:val="24"/>
          <w:lang w:val="en-GB"/>
        </w:rPr>
        <w:t>2009 (2) SA 277 (SCA) at paragraphs [26] and [27]</w:t>
      </w:r>
    </w:p>
    <w:p w14:paraId="089CD2D4" w14:textId="77777777" w:rsidR="007765E8" w:rsidRPr="00441402" w:rsidRDefault="007765E8" w:rsidP="00441402">
      <w:pPr>
        <w:spacing w:after="0" w:line="276" w:lineRule="auto"/>
        <w:ind w:left="0"/>
        <w:rPr>
          <w:rFonts w:ascii="Arial" w:hAnsi="Arial" w:cs="Arial"/>
          <w:bCs/>
          <w:szCs w:val="24"/>
          <w:lang w:val="en-GB"/>
        </w:rPr>
      </w:pPr>
    </w:p>
    <w:p w14:paraId="2D31DBE6" w14:textId="097B4ED2"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[13]</w:t>
      </w:r>
      <w:r w:rsidRPr="00441402">
        <w:rPr>
          <w:rFonts w:ascii="Arial" w:hAnsi="Arial" w:cs="Arial"/>
          <w:bCs/>
          <w:szCs w:val="24"/>
          <w:lang w:val="en-GB"/>
        </w:rPr>
        <w:tab/>
      </w:r>
      <w:r w:rsidR="007765E8" w:rsidRPr="00B86202">
        <w:rPr>
          <w:rFonts w:ascii="Arial" w:hAnsi="Arial" w:cs="Arial"/>
          <w:bCs/>
          <w:szCs w:val="24"/>
          <w:lang w:val="en-GB"/>
        </w:rPr>
        <w:t xml:space="preserve">In the matter of </w:t>
      </w:r>
      <w:r w:rsidR="007765E8" w:rsidRPr="00B86202">
        <w:rPr>
          <w:rFonts w:ascii="Arial" w:hAnsi="Arial" w:cs="Arial"/>
          <w:bCs/>
          <w:i/>
          <w:iCs/>
          <w:szCs w:val="24"/>
          <w:lang w:val="en-GB"/>
        </w:rPr>
        <w:t>Pahad Shipping CC v the Commissioner for the South African Revenue Service</w:t>
      </w:r>
      <w:r w:rsidR="007765E8" w:rsidRPr="00B86202">
        <w:rPr>
          <w:rFonts w:ascii="Arial" w:hAnsi="Arial" w:cs="Arial"/>
          <w:bCs/>
          <w:szCs w:val="24"/>
          <w:lang w:val="en-GB"/>
        </w:rPr>
        <w:t xml:space="preserve"> </w:t>
      </w:r>
      <w:r w:rsidR="007765E8" w:rsidRPr="00B86202">
        <w:rPr>
          <w:rFonts w:ascii="Arial" w:hAnsi="Arial" w:cs="Arial"/>
          <w:bCs/>
          <w:i/>
          <w:iCs/>
          <w:szCs w:val="24"/>
          <w:lang w:val="en-GB"/>
        </w:rPr>
        <w:t>2009 JDR 1322 (SCA) at paragraph [20]</w:t>
      </w:r>
      <w:r w:rsidR="007765E8" w:rsidRPr="00B86202">
        <w:rPr>
          <w:rFonts w:ascii="Arial" w:hAnsi="Arial" w:cs="Arial"/>
          <w:bCs/>
          <w:szCs w:val="24"/>
          <w:lang w:val="en-GB"/>
        </w:rPr>
        <w:t xml:space="preserve"> the Supreme Court of Appeal </w:t>
      </w:r>
      <w:r w:rsidR="007765E8" w:rsidRPr="00B86202">
        <w:rPr>
          <w:rFonts w:ascii="Arial" w:hAnsi="Arial" w:cs="Arial"/>
          <w:bCs/>
          <w:i/>
          <w:iCs/>
          <w:szCs w:val="24"/>
          <w:lang w:val="en-GB"/>
        </w:rPr>
        <w:t>(“the SCA”)</w:t>
      </w:r>
      <w:r w:rsidR="007765E8" w:rsidRPr="00B86202">
        <w:rPr>
          <w:rFonts w:ascii="Arial" w:hAnsi="Arial" w:cs="Arial"/>
          <w:bCs/>
          <w:szCs w:val="24"/>
          <w:lang w:val="en-GB"/>
        </w:rPr>
        <w:t xml:space="preserve"> held the following; -</w:t>
      </w:r>
    </w:p>
    <w:p w14:paraId="115E55FC" w14:textId="77777777" w:rsidR="00CA3BE8" w:rsidRPr="00441402" w:rsidRDefault="00CA3BE8" w:rsidP="00441402">
      <w:pPr>
        <w:spacing w:after="0" w:line="276" w:lineRule="auto"/>
        <w:ind w:left="0"/>
        <w:rPr>
          <w:rFonts w:ascii="Arial" w:hAnsi="Arial" w:cs="Arial"/>
          <w:bCs/>
          <w:szCs w:val="24"/>
          <w:lang w:val="en-GB"/>
        </w:rPr>
      </w:pPr>
    </w:p>
    <w:p w14:paraId="2CF344BC" w14:textId="6A5CD0AE" w:rsidR="007765E8" w:rsidRPr="00441402" w:rsidRDefault="007765E8" w:rsidP="00441402">
      <w:pPr>
        <w:spacing w:after="0" w:line="276" w:lineRule="auto"/>
        <w:ind w:left="2160" w:hanging="720"/>
        <w:rPr>
          <w:rFonts w:ascii="Arial" w:hAnsi="Arial" w:cs="Arial"/>
          <w:bCs/>
          <w:i/>
          <w:iCs/>
          <w:szCs w:val="24"/>
          <w:lang w:val="en-GB"/>
        </w:rPr>
      </w:pPr>
      <w:r w:rsidRPr="00441402">
        <w:rPr>
          <w:rFonts w:ascii="Arial" w:hAnsi="Arial" w:cs="Arial"/>
          <w:bCs/>
          <w:i/>
          <w:iCs/>
          <w:szCs w:val="24"/>
          <w:lang w:val="en-GB"/>
        </w:rPr>
        <w:t>“[20]</w:t>
      </w:r>
      <w:r w:rsidRPr="00441402">
        <w:rPr>
          <w:rFonts w:ascii="Arial" w:hAnsi="Arial" w:cs="Arial"/>
          <w:bCs/>
          <w:i/>
          <w:iCs/>
          <w:szCs w:val="24"/>
          <w:lang w:val="en-GB"/>
        </w:rPr>
        <w:tab/>
        <w:t xml:space="preserve">However, it has been held in a number of cases that an application to refer a matter to evidence should be made at the outset and not after argument on the merits (see Kalili versus Decotex (Pty) Ltd and another 1988 (1) SA 943 (A) at 981 D-F).  As was stated by Corbett JA in Kalili at 981 E-F the rule is a salutary general rule. Unnecessary costs and delay can be avoided by following the general rule.  But Corbett JA also stated that the rule is not inflexible. In Du Plessis and another NNO versus Rolfes Ltd 1997 (2) SA 354 (A) at 366 G-367A this court dealt with an application which was made for the first-time during argument in this court.  The application was dismissed but it is implicit in the judgment that, in appropriate circumstances, this Court may decide that a matter should be referred to evidence even where no application for such referral had been made in the court below. It would naturally be in exceptional cases only that a court will depart from the general rule </w:t>
      </w:r>
      <w:r w:rsidRPr="00441402">
        <w:rPr>
          <w:rFonts w:ascii="Arial" w:hAnsi="Arial" w:cs="Arial"/>
          <w:bCs/>
          <w:i/>
          <w:iCs/>
          <w:szCs w:val="24"/>
          <w:lang w:val="en-GB"/>
        </w:rPr>
        <w:lastRenderedPageBreak/>
        <w:t>(Bocimar NV versus Kotor Oversees Shipping Ltd 1994 (2) SA 563 (A) at 587 C-D). In my view this is such a case.”</w:t>
      </w:r>
    </w:p>
    <w:p w14:paraId="54415B51" w14:textId="77777777" w:rsidR="007765E8" w:rsidRPr="00441402" w:rsidRDefault="007765E8" w:rsidP="00441402">
      <w:pPr>
        <w:spacing w:after="0" w:line="276" w:lineRule="auto"/>
        <w:ind w:left="0"/>
        <w:rPr>
          <w:rFonts w:ascii="Arial" w:hAnsi="Arial" w:cs="Arial"/>
          <w:bCs/>
          <w:szCs w:val="24"/>
          <w:lang w:val="en-GB"/>
        </w:rPr>
      </w:pPr>
    </w:p>
    <w:p w14:paraId="0BA09A12" w14:textId="1BDB5559"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[14]</w:t>
      </w:r>
      <w:r w:rsidRPr="00441402">
        <w:rPr>
          <w:rFonts w:ascii="Arial" w:hAnsi="Arial" w:cs="Arial"/>
          <w:bCs/>
          <w:szCs w:val="24"/>
          <w:lang w:val="en-GB"/>
        </w:rPr>
        <w:tab/>
      </w:r>
      <w:r w:rsidR="007765E8" w:rsidRPr="00B86202">
        <w:rPr>
          <w:rFonts w:ascii="Arial" w:hAnsi="Arial" w:cs="Arial"/>
          <w:bCs/>
          <w:szCs w:val="24"/>
          <w:lang w:val="en-GB"/>
        </w:rPr>
        <w:t xml:space="preserve">Also, in the case of </w:t>
      </w:r>
      <w:r w:rsidR="007765E8" w:rsidRPr="00B86202">
        <w:rPr>
          <w:rFonts w:ascii="Arial" w:hAnsi="Arial" w:cs="Arial"/>
          <w:bCs/>
          <w:i/>
          <w:iCs/>
          <w:szCs w:val="24"/>
          <w:lang w:val="en-GB"/>
        </w:rPr>
        <w:t>Tryzone Fourteen (Pty) Ltd versus Batchelor N.O. and Others</w:t>
      </w:r>
      <w:r w:rsidR="007765E8" w:rsidRPr="00B86202">
        <w:rPr>
          <w:rFonts w:ascii="Arial" w:hAnsi="Arial" w:cs="Arial"/>
          <w:bCs/>
          <w:szCs w:val="24"/>
          <w:lang w:val="en-GB"/>
        </w:rPr>
        <w:t xml:space="preserve"> </w:t>
      </w:r>
      <w:r w:rsidR="007765E8" w:rsidRPr="00B86202">
        <w:rPr>
          <w:rFonts w:ascii="Arial" w:hAnsi="Arial" w:cs="Arial"/>
          <w:bCs/>
          <w:i/>
          <w:iCs/>
          <w:szCs w:val="24"/>
          <w:lang w:val="en-GB"/>
        </w:rPr>
        <w:t>2016 JDR</w:t>
      </w:r>
      <w:r w:rsidR="00DC7414" w:rsidRPr="00B86202">
        <w:rPr>
          <w:rFonts w:ascii="Arial" w:hAnsi="Arial" w:cs="Arial"/>
          <w:bCs/>
          <w:i/>
          <w:iCs/>
          <w:szCs w:val="24"/>
          <w:lang w:val="en-GB"/>
        </w:rPr>
        <w:t xml:space="preserve"> </w:t>
      </w:r>
      <w:r w:rsidR="007765E8" w:rsidRPr="00B86202">
        <w:rPr>
          <w:rFonts w:ascii="Arial" w:hAnsi="Arial" w:cs="Arial"/>
          <w:bCs/>
          <w:i/>
          <w:iCs/>
          <w:szCs w:val="24"/>
          <w:lang w:val="en-GB"/>
        </w:rPr>
        <w:t>0531 (ECP) at paragraphs [38] and [39]</w:t>
      </w:r>
      <w:r w:rsidR="007765E8" w:rsidRPr="00B86202">
        <w:rPr>
          <w:rFonts w:ascii="Arial" w:hAnsi="Arial" w:cs="Arial"/>
          <w:bCs/>
          <w:szCs w:val="24"/>
          <w:lang w:val="en-GB"/>
        </w:rPr>
        <w:t xml:space="preserve"> the court held: </w:t>
      </w:r>
    </w:p>
    <w:p w14:paraId="2B4359BD" w14:textId="77777777" w:rsidR="007765E8" w:rsidRPr="00441402" w:rsidRDefault="007765E8" w:rsidP="00441402">
      <w:pPr>
        <w:spacing w:after="0" w:line="276" w:lineRule="auto"/>
        <w:ind w:left="0"/>
        <w:rPr>
          <w:rFonts w:ascii="Arial" w:hAnsi="Arial" w:cs="Arial"/>
          <w:bCs/>
          <w:szCs w:val="24"/>
          <w:lang w:val="en-GB"/>
        </w:rPr>
      </w:pPr>
    </w:p>
    <w:p w14:paraId="2CFF1F80" w14:textId="2D24852C" w:rsidR="007765E8" w:rsidRPr="00441402" w:rsidRDefault="007765E8" w:rsidP="00441402">
      <w:pPr>
        <w:spacing w:after="0" w:line="276" w:lineRule="auto"/>
        <w:ind w:left="2160" w:hanging="720"/>
        <w:rPr>
          <w:rFonts w:ascii="Arial" w:hAnsi="Arial" w:cs="Arial"/>
          <w:bCs/>
          <w:i/>
          <w:iCs/>
          <w:szCs w:val="24"/>
          <w:lang w:val="en-GB"/>
        </w:rPr>
      </w:pPr>
      <w:r w:rsidRPr="00441402">
        <w:rPr>
          <w:rFonts w:ascii="Arial" w:hAnsi="Arial" w:cs="Arial"/>
          <w:bCs/>
          <w:i/>
          <w:iCs/>
          <w:szCs w:val="24"/>
          <w:lang w:val="en-GB"/>
        </w:rPr>
        <w:t xml:space="preserve">“[38] </w:t>
      </w:r>
      <w:r w:rsidR="00CA3BE8" w:rsidRPr="00441402">
        <w:rPr>
          <w:rFonts w:ascii="Arial" w:hAnsi="Arial" w:cs="Arial"/>
          <w:bCs/>
          <w:i/>
          <w:iCs/>
          <w:szCs w:val="24"/>
          <w:lang w:val="en-GB"/>
        </w:rPr>
        <w:tab/>
      </w:r>
      <w:r w:rsidRPr="00441402">
        <w:rPr>
          <w:rFonts w:ascii="Arial" w:hAnsi="Arial" w:cs="Arial"/>
          <w:bCs/>
          <w:i/>
          <w:iCs/>
          <w:szCs w:val="24"/>
          <w:lang w:val="en-GB"/>
        </w:rPr>
        <w:t>Dismissing the application instead of referring it to oral evidence shall not</w:t>
      </w:r>
      <w:r w:rsidR="00CA3BE8" w:rsidRPr="00441402">
        <w:rPr>
          <w:rFonts w:ascii="Arial" w:hAnsi="Arial" w:cs="Arial"/>
          <w:bCs/>
          <w:i/>
          <w:iCs/>
          <w:szCs w:val="24"/>
          <w:lang w:val="en-GB"/>
        </w:rPr>
        <w:t xml:space="preserve"> </w:t>
      </w:r>
      <w:r w:rsidRPr="00441402">
        <w:rPr>
          <w:rFonts w:ascii="Arial" w:hAnsi="Arial" w:cs="Arial"/>
          <w:bCs/>
          <w:i/>
          <w:iCs/>
          <w:szCs w:val="24"/>
          <w:lang w:val="en-GB"/>
        </w:rPr>
        <w:t>be a solution.  That shall necessitate the applicant perusing action proceedings. In terms of Rule 6(5)(g) of the Uniform Rules, a court has a wide discretion with regard to referring matters to oral evidence where application proceeds cannot be properly decided by way of affidavit.  An application to refer a matter to evidence should be made at the outset and not after argument on the merits.  However, in certain circumstances (and exceptional cases), the court may decide that a matter should be referred to oral evidence even when no application for such referral had been made in the court below.</w:t>
      </w:r>
      <w:r w:rsidR="00DC7414">
        <w:rPr>
          <w:rFonts w:ascii="Arial" w:hAnsi="Arial" w:cs="Arial"/>
          <w:bCs/>
          <w:i/>
          <w:iCs/>
          <w:szCs w:val="24"/>
          <w:lang w:val="en-GB"/>
        </w:rPr>
        <w:t>”</w:t>
      </w:r>
      <w:r w:rsidRPr="00441402">
        <w:rPr>
          <w:rFonts w:ascii="Arial" w:hAnsi="Arial" w:cs="Arial"/>
          <w:bCs/>
          <w:i/>
          <w:iCs/>
          <w:szCs w:val="24"/>
          <w:lang w:val="en-GB"/>
        </w:rPr>
        <w:t xml:space="preserve">  </w:t>
      </w:r>
    </w:p>
    <w:p w14:paraId="64D668D8" w14:textId="77777777" w:rsidR="00CA3BE8" w:rsidRPr="00441402" w:rsidRDefault="007765E8" w:rsidP="00441402">
      <w:pPr>
        <w:spacing w:after="0" w:line="276" w:lineRule="auto"/>
        <w:ind w:left="0"/>
        <w:rPr>
          <w:rFonts w:ascii="Arial" w:hAnsi="Arial" w:cs="Arial"/>
          <w:bCs/>
          <w:szCs w:val="24"/>
          <w:lang w:val="en-GB"/>
        </w:rPr>
      </w:pPr>
      <w:r w:rsidRPr="00441402">
        <w:rPr>
          <w:rFonts w:ascii="Arial" w:hAnsi="Arial" w:cs="Arial"/>
          <w:bCs/>
          <w:szCs w:val="24"/>
          <w:lang w:val="en-GB"/>
        </w:rPr>
        <w:tab/>
      </w:r>
    </w:p>
    <w:p w14:paraId="52684857" w14:textId="72B29A6E" w:rsidR="007765E8" w:rsidRPr="00441402" w:rsidRDefault="007765E8" w:rsidP="00441402">
      <w:pPr>
        <w:spacing w:after="0" w:line="276" w:lineRule="auto"/>
        <w:ind w:left="720" w:firstLine="720"/>
        <w:rPr>
          <w:rFonts w:ascii="Arial" w:hAnsi="Arial" w:cs="Arial"/>
          <w:bCs/>
          <w:szCs w:val="24"/>
          <w:lang w:val="en-GB"/>
        </w:rPr>
      </w:pPr>
      <w:r w:rsidRPr="00441402">
        <w:rPr>
          <w:rFonts w:ascii="Arial" w:hAnsi="Arial" w:cs="Arial"/>
          <w:bCs/>
          <w:szCs w:val="24"/>
          <w:lang w:val="en-GB"/>
        </w:rPr>
        <w:t xml:space="preserve">The court then cited the matter of </w:t>
      </w:r>
      <w:r w:rsidRPr="00441402">
        <w:rPr>
          <w:rFonts w:ascii="Arial" w:hAnsi="Arial" w:cs="Arial"/>
          <w:bCs/>
          <w:i/>
          <w:iCs/>
          <w:szCs w:val="24"/>
          <w:lang w:val="en-GB"/>
        </w:rPr>
        <w:t>Pahad</w:t>
      </w:r>
      <w:r w:rsidRPr="00441402">
        <w:rPr>
          <w:rFonts w:ascii="Arial" w:hAnsi="Arial" w:cs="Arial"/>
          <w:bCs/>
          <w:szCs w:val="24"/>
          <w:lang w:val="en-GB"/>
        </w:rPr>
        <w:t xml:space="preserve"> (supra)</w:t>
      </w:r>
      <w:r w:rsidR="00DC7414">
        <w:rPr>
          <w:rFonts w:ascii="Arial" w:hAnsi="Arial" w:cs="Arial"/>
          <w:bCs/>
          <w:szCs w:val="24"/>
          <w:lang w:val="en-GB"/>
        </w:rPr>
        <w:t>.</w:t>
      </w:r>
    </w:p>
    <w:p w14:paraId="41D892A5" w14:textId="77777777" w:rsidR="00CA3BE8" w:rsidRPr="00441402" w:rsidRDefault="007765E8" w:rsidP="00441402">
      <w:pPr>
        <w:spacing w:after="0" w:line="276" w:lineRule="auto"/>
        <w:ind w:left="0"/>
        <w:rPr>
          <w:rFonts w:ascii="Arial" w:hAnsi="Arial" w:cs="Arial"/>
          <w:bCs/>
          <w:szCs w:val="24"/>
          <w:lang w:val="en-GB"/>
        </w:rPr>
      </w:pPr>
      <w:r w:rsidRPr="00441402">
        <w:rPr>
          <w:rFonts w:ascii="Arial" w:hAnsi="Arial" w:cs="Arial"/>
          <w:bCs/>
          <w:szCs w:val="24"/>
          <w:lang w:val="en-GB"/>
        </w:rPr>
        <w:tab/>
      </w:r>
    </w:p>
    <w:p w14:paraId="05AC1F74" w14:textId="6017D4B3" w:rsidR="007765E8" w:rsidRPr="00441402" w:rsidRDefault="007765E8" w:rsidP="00441402">
      <w:pPr>
        <w:spacing w:after="0" w:line="276" w:lineRule="auto"/>
        <w:ind w:left="2160" w:hanging="720"/>
        <w:rPr>
          <w:rFonts w:ascii="Arial" w:hAnsi="Arial" w:cs="Arial"/>
          <w:bCs/>
          <w:i/>
          <w:iCs/>
          <w:szCs w:val="24"/>
          <w:lang w:val="en-GB"/>
        </w:rPr>
      </w:pPr>
      <w:r w:rsidRPr="00441402">
        <w:rPr>
          <w:rFonts w:ascii="Arial" w:hAnsi="Arial" w:cs="Arial"/>
          <w:bCs/>
          <w:i/>
          <w:iCs/>
          <w:szCs w:val="24"/>
          <w:lang w:val="en-GB"/>
        </w:rPr>
        <w:t>“[39]</w:t>
      </w:r>
      <w:r w:rsidRPr="00441402">
        <w:rPr>
          <w:rFonts w:ascii="Arial" w:hAnsi="Arial" w:cs="Arial"/>
          <w:bCs/>
          <w:i/>
          <w:iCs/>
          <w:szCs w:val="24"/>
          <w:lang w:val="en-GB"/>
        </w:rPr>
        <w:tab/>
        <w:t>I am satisfied that this is an appropriate case for this Court to refer the matter for hearing. The dispute is massive and insurmountable to be resolved on the papers. The dispute of facts goes to the heart of the issues between the parties. I am further of the view that the applicant has not established the allegations of fraud on the papers the matter should be referred to oral evidence.”</w:t>
      </w:r>
    </w:p>
    <w:p w14:paraId="1F541CA5" w14:textId="77777777" w:rsidR="007765E8" w:rsidRPr="00441402" w:rsidRDefault="007765E8" w:rsidP="00441402">
      <w:pPr>
        <w:spacing w:after="0" w:line="276" w:lineRule="auto"/>
        <w:ind w:left="0"/>
        <w:rPr>
          <w:rFonts w:ascii="Arial" w:hAnsi="Arial" w:cs="Arial"/>
          <w:bCs/>
          <w:szCs w:val="24"/>
          <w:lang w:val="en-GB"/>
        </w:rPr>
      </w:pPr>
    </w:p>
    <w:p w14:paraId="13082AF8" w14:textId="77B9E8BA"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[15]</w:t>
      </w:r>
      <w:r w:rsidRPr="00441402">
        <w:rPr>
          <w:rFonts w:ascii="Arial" w:hAnsi="Arial" w:cs="Arial"/>
          <w:bCs/>
          <w:szCs w:val="24"/>
          <w:lang w:val="en-GB"/>
        </w:rPr>
        <w:tab/>
      </w:r>
      <w:r w:rsidR="007765E8" w:rsidRPr="00B86202">
        <w:rPr>
          <w:rFonts w:ascii="Arial" w:hAnsi="Arial" w:cs="Arial"/>
          <w:bCs/>
          <w:szCs w:val="24"/>
          <w:lang w:val="en-GB"/>
        </w:rPr>
        <w:t xml:space="preserve">These matters are useful in respect of the present matter since obviously in the present matter no application was made, as set out earlier in this judgment, to refer the matter to oral evidence. But more so, as decided in the matter of </w:t>
      </w:r>
      <w:r w:rsidR="007765E8" w:rsidRPr="00B86202">
        <w:rPr>
          <w:rFonts w:ascii="Arial" w:hAnsi="Arial" w:cs="Arial"/>
          <w:bCs/>
          <w:i/>
          <w:iCs/>
          <w:szCs w:val="24"/>
          <w:lang w:val="en-GB"/>
        </w:rPr>
        <w:t>Tryzone</w:t>
      </w:r>
      <w:r w:rsidR="007765E8" w:rsidRPr="00B86202">
        <w:rPr>
          <w:rFonts w:ascii="Arial" w:hAnsi="Arial" w:cs="Arial"/>
          <w:bCs/>
          <w:szCs w:val="24"/>
          <w:lang w:val="en-GB"/>
        </w:rPr>
        <w:t xml:space="preserve"> and as will be dealt with later in this judgment, it is, in the opinion of this Court, that the disputes of fact in the present matter are insurmountable and numerous.</w:t>
      </w:r>
      <w:r w:rsidR="002A2D8B" w:rsidRPr="00B86202">
        <w:rPr>
          <w:rFonts w:ascii="Arial" w:hAnsi="Arial" w:cs="Arial"/>
          <w:bCs/>
          <w:szCs w:val="24"/>
          <w:lang w:val="en-GB"/>
        </w:rPr>
        <w:t xml:space="preserve"> </w:t>
      </w:r>
      <w:r w:rsidR="007765E8" w:rsidRPr="00B86202">
        <w:rPr>
          <w:rFonts w:ascii="Arial" w:hAnsi="Arial" w:cs="Arial"/>
          <w:bCs/>
          <w:szCs w:val="24"/>
          <w:lang w:val="en-GB"/>
        </w:rPr>
        <w:t xml:space="preserve">Furthermore, the reference to the allegation of fraud in the matter of </w:t>
      </w:r>
      <w:r w:rsidR="007765E8" w:rsidRPr="00B86202">
        <w:rPr>
          <w:rFonts w:ascii="Arial" w:hAnsi="Arial" w:cs="Arial"/>
          <w:bCs/>
          <w:i/>
          <w:iCs/>
          <w:szCs w:val="24"/>
          <w:lang w:val="en-GB"/>
        </w:rPr>
        <w:t>Tryzone</w:t>
      </w:r>
      <w:r w:rsidR="007765E8" w:rsidRPr="00B86202">
        <w:rPr>
          <w:rFonts w:ascii="Arial" w:hAnsi="Arial" w:cs="Arial"/>
          <w:bCs/>
          <w:szCs w:val="24"/>
          <w:lang w:val="en-GB"/>
        </w:rPr>
        <w:t xml:space="preserve"> is particular appropriate with regard to the present matter and the opposition of the Applicants to the voetstoots clause as raised by the Respondents.  </w:t>
      </w:r>
    </w:p>
    <w:p w14:paraId="3E9CB239" w14:textId="77777777" w:rsidR="007765E8" w:rsidRPr="00441402" w:rsidRDefault="007765E8" w:rsidP="00441402">
      <w:pPr>
        <w:spacing w:after="0" w:line="276" w:lineRule="auto"/>
        <w:ind w:left="0"/>
        <w:rPr>
          <w:rFonts w:ascii="Arial" w:hAnsi="Arial" w:cs="Arial"/>
          <w:bCs/>
          <w:szCs w:val="24"/>
          <w:lang w:val="en-GB"/>
        </w:rPr>
      </w:pPr>
    </w:p>
    <w:p w14:paraId="3B65244A" w14:textId="16243DE8"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[16]</w:t>
      </w:r>
      <w:r w:rsidRPr="00441402">
        <w:rPr>
          <w:rFonts w:ascii="Arial" w:hAnsi="Arial" w:cs="Arial"/>
          <w:bCs/>
          <w:szCs w:val="24"/>
          <w:lang w:val="en-GB"/>
        </w:rPr>
        <w:tab/>
      </w:r>
      <w:r w:rsidR="007765E8" w:rsidRPr="00B86202">
        <w:rPr>
          <w:rFonts w:ascii="Arial" w:hAnsi="Arial" w:cs="Arial"/>
          <w:bCs/>
          <w:szCs w:val="24"/>
          <w:lang w:val="en-GB"/>
        </w:rPr>
        <w:t xml:space="preserve">Finally, it is fairly trite that subrule 6(5)(g) gives a Court a fairly wide discretion to refer a matter, where there is a dispute of fact, to either oral evidence or trial, depending on the nature of that dispute.  </w:t>
      </w:r>
    </w:p>
    <w:p w14:paraId="6FD211DB" w14:textId="77777777" w:rsidR="007765E8" w:rsidRPr="00441402" w:rsidRDefault="007765E8" w:rsidP="00441402">
      <w:pPr>
        <w:spacing w:after="0" w:line="276" w:lineRule="auto"/>
        <w:ind w:left="0"/>
        <w:rPr>
          <w:rFonts w:ascii="Arial" w:hAnsi="Arial" w:cs="Arial"/>
          <w:bCs/>
          <w:szCs w:val="24"/>
          <w:lang w:val="en-GB"/>
        </w:rPr>
      </w:pPr>
    </w:p>
    <w:p w14:paraId="322E0D91" w14:textId="36A194B1" w:rsidR="007765E8" w:rsidRPr="00441402" w:rsidRDefault="007765E8" w:rsidP="00441402">
      <w:pPr>
        <w:spacing w:after="0" w:line="276" w:lineRule="auto"/>
        <w:ind w:left="0"/>
        <w:rPr>
          <w:rFonts w:ascii="Arial" w:hAnsi="Arial" w:cs="Arial"/>
          <w:b/>
          <w:szCs w:val="24"/>
          <w:u w:val="single"/>
          <w:lang w:val="en-GB"/>
        </w:rPr>
      </w:pPr>
      <w:r w:rsidRPr="00441402">
        <w:rPr>
          <w:rFonts w:ascii="Arial" w:hAnsi="Arial" w:cs="Arial"/>
          <w:b/>
          <w:szCs w:val="24"/>
          <w:u w:val="single"/>
          <w:lang w:val="en-GB"/>
        </w:rPr>
        <w:lastRenderedPageBreak/>
        <w:t>Conclusion</w:t>
      </w:r>
    </w:p>
    <w:p w14:paraId="10219736" w14:textId="77777777" w:rsidR="00CA3BE8" w:rsidRPr="00441402" w:rsidRDefault="00CA3BE8" w:rsidP="00441402">
      <w:pPr>
        <w:pStyle w:val="ListParagraph"/>
        <w:spacing w:after="0" w:line="276" w:lineRule="auto"/>
        <w:rPr>
          <w:rFonts w:ascii="Arial" w:hAnsi="Arial" w:cs="Arial"/>
          <w:bCs/>
          <w:szCs w:val="24"/>
          <w:lang w:val="en-GB"/>
        </w:rPr>
      </w:pPr>
    </w:p>
    <w:p w14:paraId="2CEEA63A" w14:textId="441F6F75"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[17]</w:t>
      </w:r>
      <w:r w:rsidRPr="00441402">
        <w:rPr>
          <w:rFonts w:ascii="Arial" w:hAnsi="Arial" w:cs="Arial"/>
          <w:bCs/>
          <w:szCs w:val="24"/>
          <w:lang w:val="en-GB"/>
        </w:rPr>
        <w:tab/>
      </w:r>
      <w:r w:rsidR="007765E8" w:rsidRPr="00B86202">
        <w:rPr>
          <w:rFonts w:ascii="Arial" w:hAnsi="Arial" w:cs="Arial"/>
          <w:bCs/>
          <w:szCs w:val="24"/>
          <w:lang w:val="en-GB"/>
        </w:rPr>
        <w:t xml:space="preserve">Having carefully considered all of the well-prepared arguments placed before this Court by both Counsel; the application papers before this Court and the legal principles in respect of all of the issues involved, it is the opinion of this Court that there are numerous material disputes of fact which have arisen in respect of both the application and counter-application in the present matter.  As set out earlier in this judgment these disputes of fact are fundamentally linked to the nature of the relief sought.  Furthermore, whilst they may not, at first, be strikingly apparent, they become more so when one realises that, once again by virtue of, </w:t>
      </w:r>
      <w:r w:rsidR="007765E8" w:rsidRPr="00B86202">
        <w:rPr>
          <w:rFonts w:ascii="Arial" w:hAnsi="Arial" w:cs="Arial"/>
          <w:bCs/>
          <w:i/>
          <w:iCs/>
          <w:szCs w:val="24"/>
          <w:lang w:val="en-GB"/>
        </w:rPr>
        <w:t>inter alia</w:t>
      </w:r>
      <w:r w:rsidR="007765E8" w:rsidRPr="00B86202">
        <w:rPr>
          <w:rFonts w:ascii="Arial" w:hAnsi="Arial" w:cs="Arial"/>
          <w:bCs/>
          <w:szCs w:val="24"/>
          <w:lang w:val="en-GB"/>
        </w:rPr>
        <w:t>, the nature of the relief sought, one dispute of fact is often related to another.  Just one example of this is the following.</w:t>
      </w:r>
      <w:r w:rsidR="003C12D4" w:rsidRPr="00B86202">
        <w:rPr>
          <w:rFonts w:ascii="Arial" w:hAnsi="Arial" w:cs="Arial"/>
          <w:bCs/>
          <w:szCs w:val="24"/>
          <w:lang w:val="en-GB"/>
        </w:rPr>
        <w:t xml:space="preserve"> </w:t>
      </w:r>
      <w:r w:rsidR="007765E8" w:rsidRPr="00B86202">
        <w:rPr>
          <w:rFonts w:ascii="Arial" w:hAnsi="Arial" w:cs="Arial"/>
          <w:bCs/>
          <w:szCs w:val="24"/>
          <w:lang w:val="en-GB"/>
        </w:rPr>
        <w:t xml:space="preserve">The alleged failure or the Respondents to comply with the obligation to provide the relevant electrical compliance certificate is related to the claim for damages in respect of the penalty clause which, in turn, is related to the basis for the Respondents’ counter-application, namely the repudiation of the agreement. This, of course, is putting aside, for present purposes, the precise nature of the relief sought in paragraph 1 of the Applicants’ Notice of Motion.  </w:t>
      </w:r>
    </w:p>
    <w:p w14:paraId="6D04EBB8" w14:textId="77777777" w:rsidR="007765E8" w:rsidRPr="00441402" w:rsidRDefault="007765E8" w:rsidP="00441402">
      <w:pPr>
        <w:spacing w:after="0" w:line="276" w:lineRule="auto"/>
        <w:ind w:left="0"/>
        <w:rPr>
          <w:rFonts w:ascii="Arial" w:hAnsi="Arial" w:cs="Arial"/>
          <w:bCs/>
          <w:szCs w:val="24"/>
          <w:lang w:val="en-GB"/>
        </w:rPr>
      </w:pPr>
    </w:p>
    <w:p w14:paraId="5A6BD323" w14:textId="7B9DCC8F"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[18]</w:t>
      </w:r>
      <w:r w:rsidRPr="00441402">
        <w:rPr>
          <w:rFonts w:ascii="Arial" w:hAnsi="Arial" w:cs="Arial"/>
          <w:bCs/>
          <w:szCs w:val="24"/>
          <w:lang w:val="en-GB"/>
        </w:rPr>
        <w:tab/>
      </w:r>
      <w:r w:rsidR="007765E8" w:rsidRPr="00B86202">
        <w:rPr>
          <w:rFonts w:ascii="Arial" w:hAnsi="Arial" w:cs="Arial"/>
          <w:bCs/>
          <w:szCs w:val="24"/>
          <w:lang w:val="en-GB"/>
        </w:rPr>
        <w:t>The alternative to referring this matter to oral evidence or trial would be to dismiss both the application and counter-application and to order each party to pay their own costs.  This would not, in the opinion of this Court, be in the best interests of either of the parties.  It would certainly not be in the interests of justice.  In the opinion of this Court the present matter is an “exceptional one” as envisaged by the authorities referred to earlier in this judgment and which justifies this Court making an appropriate order in terms of subrule 6(5)(g).</w:t>
      </w:r>
    </w:p>
    <w:p w14:paraId="7B5CF691" w14:textId="77777777" w:rsidR="007765E8" w:rsidRPr="00441402" w:rsidRDefault="007765E8" w:rsidP="00441402">
      <w:pPr>
        <w:spacing w:after="0" w:line="276" w:lineRule="auto"/>
        <w:ind w:left="0"/>
        <w:rPr>
          <w:rFonts w:ascii="Arial" w:hAnsi="Arial" w:cs="Arial"/>
          <w:bCs/>
          <w:szCs w:val="24"/>
          <w:lang w:val="en-GB"/>
        </w:rPr>
      </w:pPr>
    </w:p>
    <w:p w14:paraId="2B4F073C" w14:textId="0874E15B"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[19]</w:t>
      </w:r>
      <w:r w:rsidRPr="00441402">
        <w:rPr>
          <w:rFonts w:ascii="Arial" w:hAnsi="Arial" w:cs="Arial"/>
          <w:bCs/>
          <w:szCs w:val="24"/>
          <w:lang w:val="en-GB"/>
        </w:rPr>
        <w:tab/>
      </w:r>
      <w:r w:rsidR="007765E8" w:rsidRPr="00B86202">
        <w:rPr>
          <w:rFonts w:ascii="Arial" w:hAnsi="Arial" w:cs="Arial"/>
          <w:bCs/>
          <w:szCs w:val="24"/>
          <w:lang w:val="en-GB"/>
        </w:rPr>
        <w:t>At this stage, it is appropriate to set out the provisions of that subrule.</w:t>
      </w:r>
      <w:r w:rsidR="00CA3BE8" w:rsidRPr="00B86202">
        <w:rPr>
          <w:rFonts w:ascii="Arial" w:hAnsi="Arial" w:cs="Arial"/>
          <w:bCs/>
          <w:szCs w:val="24"/>
          <w:lang w:val="en-GB"/>
        </w:rPr>
        <w:t xml:space="preserve"> </w:t>
      </w:r>
      <w:r w:rsidR="007765E8" w:rsidRPr="00B86202">
        <w:rPr>
          <w:rFonts w:ascii="Arial" w:hAnsi="Arial" w:cs="Arial"/>
          <w:bCs/>
          <w:szCs w:val="24"/>
          <w:lang w:val="en-GB"/>
        </w:rPr>
        <w:t>Sub</w:t>
      </w:r>
      <w:r w:rsidR="00DC7414" w:rsidRPr="00B86202">
        <w:rPr>
          <w:rFonts w:ascii="Arial" w:hAnsi="Arial" w:cs="Arial"/>
          <w:bCs/>
          <w:szCs w:val="24"/>
          <w:lang w:val="en-GB"/>
        </w:rPr>
        <w:t>r</w:t>
      </w:r>
      <w:r w:rsidR="007765E8" w:rsidRPr="00B86202">
        <w:rPr>
          <w:rFonts w:ascii="Arial" w:hAnsi="Arial" w:cs="Arial"/>
          <w:bCs/>
          <w:szCs w:val="24"/>
          <w:lang w:val="en-GB"/>
        </w:rPr>
        <w:t>ule 6(5)(g) states that:</w:t>
      </w:r>
    </w:p>
    <w:p w14:paraId="5E7D9ABB" w14:textId="77777777" w:rsidR="00CA3BE8" w:rsidRPr="00441402" w:rsidRDefault="00CA3BE8" w:rsidP="00441402">
      <w:pPr>
        <w:spacing w:after="0" w:line="276" w:lineRule="auto"/>
        <w:ind w:left="0"/>
        <w:rPr>
          <w:rFonts w:ascii="Arial" w:hAnsi="Arial" w:cs="Arial"/>
          <w:bCs/>
          <w:szCs w:val="24"/>
          <w:lang w:val="en-GB"/>
        </w:rPr>
      </w:pPr>
    </w:p>
    <w:p w14:paraId="41E55C82" w14:textId="6CB70680" w:rsidR="007765E8" w:rsidRPr="00441402" w:rsidRDefault="007765E8" w:rsidP="00441402">
      <w:pPr>
        <w:spacing w:after="0" w:line="276" w:lineRule="auto"/>
        <w:ind w:left="1440"/>
        <w:rPr>
          <w:rFonts w:ascii="Arial" w:hAnsi="Arial" w:cs="Arial"/>
          <w:bCs/>
          <w:i/>
          <w:iCs/>
          <w:szCs w:val="24"/>
          <w:lang w:val="en-GB"/>
        </w:rPr>
      </w:pPr>
      <w:r w:rsidRPr="00441402">
        <w:rPr>
          <w:rFonts w:ascii="Arial" w:hAnsi="Arial" w:cs="Arial"/>
          <w:bCs/>
          <w:i/>
          <w:iCs/>
          <w:szCs w:val="24"/>
          <w:lang w:val="en-GB"/>
        </w:rPr>
        <w:t xml:space="preserve"> “Where an application cannot properly be decided on affidavit the court may dismiss the application or make such order as it deems fit with a view to ensuring a just and expeditious decision.  In particular, but without effecting the generality of the aforegoing, it may direct that oral evidence be heard on specified issues with a view to resolving any dispute of 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w:t>
      </w:r>
    </w:p>
    <w:p w14:paraId="20938D4E" w14:textId="77777777" w:rsidR="007765E8" w:rsidRPr="00441402" w:rsidRDefault="007765E8" w:rsidP="00441402">
      <w:pPr>
        <w:spacing w:after="0" w:line="276" w:lineRule="auto"/>
        <w:ind w:left="0"/>
        <w:rPr>
          <w:rFonts w:ascii="Arial" w:hAnsi="Arial" w:cs="Arial"/>
          <w:bCs/>
          <w:szCs w:val="24"/>
          <w:lang w:val="en-GB"/>
        </w:rPr>
      </w:pPr>
    </w:p>
    <w:p w14:paraId="171AC0EB" w14:textId="76486968"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lastRenderedPageBreak/>
        <w:t>[20]</w:t>
      </w:r>
      <w:r w:rsidRPr="00441402">
        <w:rPr>
          <w:rFonts w:ascii="Arial" w:hAnsi="Arial" w:cs="Arial"/>
          <w:bCs/>
          <w:szCs w:val="24"/>
          <w:lang w:val="en-GB"/>
        </w:rPr>
        <w:tab/>
      </w:r>
      <w:r w:rsidR="007765E8" w:rsidRPr="00B86202">
        <w:rPr>
          <w:rFonts w:ascii="Arial" w:hAnsi="Arial" w:cs="Arial"/>
          <w:bCs/>
          <w:szCs w:val="24"/>
          <w:lang w:val="en-GB"/>
        </w:rPr>
        <w:t xml:space="preserve">It is clear that the issues in the present matter are far too numerous to warrant a referral to oral evidence on specific issues.  In the premises, this matter must be referred to trial.  With regard thereto, this Court is acutely aware that the parties have, regrettably, gone to considerable expense in the preparation of extensive affidavits in the matter.  Normally, it is desirable to include the affidavits as part of the pleadings. In this particular matter, due, </w:t>
      </w:r>
      <w:r w:rsidR="007765E8" w:rsidRPr="00B86202">
        <w:rPr>
          <w:rFonts w:ascii="Arial" w:hAnsi="Arial" w:cs="Arial"/>
          <w:bCs/>
          <w:i/>
          <w:iCs/>
          <w:szCs w:val="24"/>
          <w:lang w:val="en-GB"/>
        </w:rPr>
        <w:t>inter alia</w:t>
      </w:r>
      <w:r w:rsidR="007765E8" w:rsidRPr="00B86202">
        <w:rPr>
          <w:rFonts w:ascii="Arial" w:hAnsi="Arial" w:cs="Arial"/>
          <w:bCs/>
          <w:szCs w:val="24"/>
          <w:lang w:val="en-GB"/>
        </w:rPr>
        <w:t xml:space="preserve">, to the volume and nature of the relief sought, this is not really possible. This Court is also well aware that the parties will probably have the need, </w:t>
      </w:r>
      <w:r w:rsidR="007765E8" w:rsidRPr="00B86202">
        <w:rPr>
          <w:rFonts w:ascii="Arial" w:hAnsi="Arial" w:cs="Arial"/>
          <w:bCs/>
          <w:i/>
          <w:iCs/>
          <w:szCs w:val="24"/>
          <w:lang w:val="en-GB"/>
        </w:rPr>
        <w:t>inter alia</w:t>
      </w:r>
      <w:r w:rsidR="007765E8" w:rsidRPr="00B86202">
        <w:rPr>
          <w:rFonts w:ascii="Arial" w:hAnsi="Arial" w:cs="Arial"/>
          <w:bCs/>
          <w:szCs w:val="24"/>
          <w:lang w:val="en-GB"/>
        </w:rPr>
        <w:t xml:space="preserve">, to call expert evidence.  Having regard to all of the aforegoing, it is the opinion of this Court that the order that this Court should make should be left as wide as possible. The affidavits will, of course, remain as part of the evidence to be used, where appliable, at the trial.   </w:t>
      </w:r>
    </w:p>
    <w:p w14:paraId="0BC7714F" w14:textId="77777777" w:rsidR="007765E8" w:rsidRPr="00441402" w:rsidRDefault="007765E8" w:rsidP="00441402">
      <w:pPr>
        <w:spacing w:after="0" w:line="276" w:lineRule="auto"/>
        <w:ind w:left="0"/>
        <w:rPr>
          <w:rFonts w:ascii="Arial" w:hAnsi="Arial" w:cs="Arial"/>
          <w:bCs/>
          <w:szCs w:val="24"/>
          <w:lang w:val="en-GB"/>
        </w:rPr>
      </w:pPr>
    </w:p>
    <w:p w14:paraId="7867BB1A" w14:textId="44DFE210"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[21]</w:t>
      </w:r>
      <w:r w:rsidRPr="00441402">
        <w:rPr>
          <w:rFonts w:ascii="Arial" w:hAnsi="Arial" w:cs="Arial"/>
          <w:bCs/>
          <w:szCs w:val="24"/>
          <w:lang w:val="en-GB"/>
        </w:rPr>
        <w:tab/>
      </w:r>
      <w:r w:rsidR="007765E8" w:rsidRPr="00B86202">
        <w:rPr>
          <w:rFonts w:ascii="Arial" w:hAnsi="Arial" w:cs="Arial"/>
          <w:bCs/>
          <w:szCs w:val="24"/>
          <w:lang w:val="en-GB"/>
        </w:rPr>
        <w:t>With regard to the issue of costs, it is of course trite that costs fall within the general discretion of the Court. In this particular matter, whilst costs normally follow the result there has been no victor and it would be appropriate that the costs of this matter be reserved for decision of the court finally determining the trial</w:t>
      </w:r>
      <w:r w:rsidR="00441402" w:rsidRPr="00B86202">
        <w:rPr>
          <w:rFonts w:ascii="Arial" w:hAnsi="Arial" w:cs="Arial"/>
          <w:bCs/>
          <w:szCs w:val="24"/>
          <w:lang w:val="en-GB"/>
        </w:rPr>
        <w:t>.</w:t>
      </w:r>
      <w:r w:rsidR="007765E8" w:rsidRPr="00B86202">
        <w:rPr>
          <w:rFonts w:ascii="Arial" w:hAnsi="Arial" w:cs="Arial"/>
          <w:bCs/>
          <w:szCs w:val="24"/>
          <w:lang w:val="en-GB"/>
        </w:rPr>
        <w:t xml:space="preserve"> That court will be in a far better position at the end of that trial to make a decision as to who should ultimately pay the costs.  </w:t>
      </w:r>
    </w:p>
    <w:p w14:paraId="5E7AAA58" w14:textId="77777777" w:rsidR="007765E8" w:rsidRPr="00441402" w:rsidRDefault="007765E8" w:rsidP="00441402">
      <w:pPr>
        <w:spacing w:after="0" w:line="276" w:lineRule="auto"/>
        <w:ind w:left="0"/>
        <w:rPr>
          <w:rFonts w:ascii="Arial" w:hAnsi="Arial" w:cs="Arial"/>
          <w:bCs/>
          <w:szCs w:val="24"/>
          <w:lang w:val="en-GB"/>
        </w:rPr>
      </w:pPr>
    </w:p>
    <w:p w14:paraId="3E81DC71" w14:textId="33F52434" w:rsidR="007765E8" w:rsidRPr="00441402" w:rsidRDefault="007765E8" w:rsidP="00441402">
      <w:pPr>
        <w:spacing w:after="0" w:line="276" w:lineRule="auto"/>
        <w:ind w:left="0"/>
        <w:rPr>
          <w:rFonts w:ascii="Arial" w:hAnsi="Arial" w:cs="Arial"/>
          <w:b/>
          <w:szCs w:val="24"/>
          <w:u w:val="single"/>
          <w:lang w:val="en-GB"/>
        </w:rPr>
      </w:pPr>
      <w:r w:rsidRPr="00441402">
        <w:rPr>
          <w:rFonts w:ascii="Arial" w:hAnsi="Arial" w:cs="Arial"/>
          <w:b/>
          <w:szCs w:val="24"/>
          <w:u w:val="single"/>
          <w:lang w:val="en-GB"/>
        </w:rPr>
        <w:t>Order</w:t>
      </w:r>
    </w:p>
    <w:p w14:paraId="64473BB0" w14:textId="77777777" w:rsidR="007765E8" w:rsidRPr="00441402" w:rsidRDefault="007765E8" w:rsidP="00441402">
      <w:pPr>
        <w:spacing w:after="0" w:line="276" w:lineRule="auto"/>
        <w:ind w:left="0"/>
        <w:rPr>
          <w:rFonts w:ascii="Arial" w:hAnsi="Arial" w:cs="Arial"/>
          <w:bCs/>
          <w:szCs w:val="24"/>
          <w:lang w:val="en-GB"/>
        </w:rPr>
      </w:pPr>
    </w:p>
    <w:p w14:paraId="16F2A89B" w14:textId="1BFFD224" w:rsidR="007765E8" w:rsidRPr="00B86202" w:rsidRDefault="00B86202" w:rsidP="00B86202">
      <w:pPr>
        <w:spacing w:after="0" w:line="276" w:lineRule="auto"/>
        <w:ind w:left="720" w:hanging="686"/>
        <w:rPr>
          <w:rFonts w:ascii="Arial" w:hAnsi="Arial" w:cs="Arial"/>
          <w:bCs/>
          <w:szCs w:val="24"/>
          <w:lang w:val="en-GB"/>
        </w:rPr>
      </w:pPr>
      <w:r w:rsidRPr="00441402">
        <w:rPr>
          <w:rFonts w:ascii="Arial" w:hAnsi="Arial" w:cs="Arial"/>
          <w:bCs/>
          <w:szCs w:val="24"/>
          <w:lang w:val="en-GB"/>
        </w:rPr>
        <w:t>[22]</w:t>
      </w:r>
      <w:r w:rsidRPr="00441402">
        <w:rPr>
          <w:rFonts w:ascii="Arial" w:hAnsi="Arial" w:cs="Arial"/>
          <w:bCs/>
          <w:szCs w:val="24"/>
          <w:lang w:val="en-GB"/>
        </w:rPr>
        <w:tab/>
      </w:r>
      <w:r w:rsidR="007765E8" w:rsidRPr="00B86202">
        <w:rPr>
          <w:rFonts w:ascii="Arial" w:hAnsi="Arial" w:cs="Arial"/>
          <w:bCs/>
          <w:szCs w:val="24"/>
          <w:lang w:val="en-GB"/>
        </w:rPr>
        <w:t>This Court makes the following order:</w:t>
      </w:r>
    </w:p>
    <w:p w14:paraId="76707121" w14:textId="77777777" w:rsidR="00FA7E0B" w:rsidRPr="00441402" w:rsidRDefault="00FA7E0B" w:rsidP="00441402">
      <w:pPr>
        <w:spacing w:after="0" w:line="276" w:lineRule="auto"/>
        <w:ind w:left="0"/>
        <w:rPr>
          <w:rFonts w:ascii="Arial" w:hAnsi="Arial" w:cs="Arial"/>
          <w:bCs/>
          <w:szCs w:val="24"/>
          <w:lang w:val="en-GB"/>
        </w:rPr>
      </w:pPr>
    </w:p>
    <w:p w14:paraId="1164659B" w14:textId="521D0027" w:rsidR="00FA7E0B"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t>1.</w:t>
      </w:r>
      <w:r w:rsidRPr="00441402">
        <w:rPr>
          <w:rFonts w:ascii="Arial" w:hAnsi="Arial" w:cs="Arial"/>
          <w:bCs/>
          <w:szCs w:val="24"/>
          <w:lang w:val="en-GB"/>
        </w:rPr>
        <w:tab/>
      </w:r>
      <w:r w:rsidR="00FA7E0B" w:rsidRPr="00B86202">
        <w:rPr>
          <w:rFonts w:ascii="Arial" w:hAnsi="Arial" w:cs="Arial"/>
          <w:bCs/>
          <w:szCs w:val="24"/>
          <w:lang w:val="en-GB"/>
        </w:rPr>
        <w:t>The application and counter-application under case number: 2022/20584 are referred to trial in terms of subrule 6(5)(g);</w:t>
      </w:r>
    </w:p>
    <w:p w14:paraId="6F5FA474" w14:textId="77777777" w:rsidR="00FA7E0B" w:rsidRPr="00441402" w:rsidRDefault="00FA7E0B" w:rsidP="00441402">
      <w:pPr>
        <w:pStyle w:val="ListParagraph"/>
        <w:spacing w:after="0" w:line="276" w:lineRule="auto"/>
        <w:ind w:left="1440"/>
        <w:rPr>
          <w:rFonts w:ascii="Arial" w:hAnsi="Arial" w:cs="Arial"/>
          <w:bCs/>
          <w:szCs w:val="24"/>
          <w:lang w:val="en-GB"/>
        </w:rPr>
      </w:pPr>
    </w:p>
    <w:p w14:paraId="32CC92AB" w14:textId="779B3686" w:rsidR="00FA7E0B"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t>2.</w:t>
      </w:r>
      <w:r w:rsidRPr="00441402">
        <w:rPr>
          <w:rFonts w:ascii="Arial" w:hAnsi="Arial" w:cs="Arial"/>
          <w:bCs/>
          <w:szCs w:val="24"/>
          <w:lang w:val="en-GB"/>
        </w:rPr>
        <w:tab/>
      </w:r>
      <w:r w:rsidR="00FA7E0B" w:rsidRPr="00B86202">
        <w:rPr>
          <w:rFonts w:ascii="Arial" w:hAnsi="Arial" w:cs="Arial"/>
          <w:bCs/>
          <w:szCs w:val="24"/>
          <w:lang w:val="en-GB"/>
        </w:rPr>
        <w:t>The First and Second Applicants are to serve and file their Particulars of Claim within thirty (30) days of this order;</w:t>
      </w:r>
    </w:p>
    <w:p w14:paraId="6D2369A8" w14:textId="77777777" w:rsidR="00FA7E0B" w:rsidRPr="00441402" w:rsidRDefault="00FA7E0B" w:rsidP="00441402">
      <w:pPr>
        <w:pStyle w:val="ListParagraph"/>
        <w:spacing w:after="0" w:line="276" w:lineRule="auto"/>
        <w:rPr>
          <w:rFonts w:ascii="Arial" w:hAnsi="Arial" w:cs="Arial"/>
          <w:bCs/>
          <w:szCs w:val="24"/>
          <w:lang w:val="en-GB"/>
        </w:rPr>
      </w:pPr>
    </w:p>
    <w:p w14:paraId="44474E15" w14:textId="7CA9DFBD" w:rsidR="00FA7E0B"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t>3.</w:t>
      </w:r>
      <w:r w:rsidRPr="00441402">
        <w:rPr>
          <w:rFonts w:ascii="Arial" w:hAnsi="Arial" w:cs="Arial"/>
          <w:bCs/>
          <w:szCs w:val="24"/>
          <w:lang w:val="en-GB"/>
        </w:rPr>
        <w:tab/>
      </w:r>
      <w:r w:rsidR="00FA7E0B" w:rsidRPr="00B86202">
        <w:rPr>
          <w:rFonts w:ascii="Arial" w:hAnsi="Arial" w:cs="Arial"/>
          <w:bCs/>
          <w:szCs w:val="24"/>
          <w:lang w:val="en-GB"/>
        </w:rPr>
        <w:t>Thereafter, the Uniform Rules of Court will apply to the action under case number: 2022/20584;</w:t>
      </w:r>
    </w:p>
    <w:p w14:paraId="7E8B60A1" w14:textId="77777777" w:rsidR="00FA7E0B" w:rsidRPr="00441402" w:rsidRDefault="00FA7E0B" w:rsidP="00441402">
      <w:pPr>
        <w:pStyle w:val="ListParagraph"/>
        <w:spacing w:after="0" w:line="276" w:lineRule="auto"/>
        <w:rPr>
          <w:rFonts w:ascii="Arial" w:hAnsi="Arial" w:cs="Arial"/>
          <w:bCs/>
          <w:szCs w:val="24"/>
          <w:lang w:val="en-GB"/>
        </w:rPr>
      </w:pPr>
    </w:p>
    <w:p w14:paraId="0AE87CE4" w14:textId="1B6ECE89" w:rsidR="00FA7E0B" w:rsidRPr="00B86202" w:rsidRDefault="00B86202" w:rsidP="00B86202">
      <w:pPr>
        <w:spacing w:after="0" w:line="276" w:lineRule="auto"/>
        <w:ind w:left="1440" w:hanging="720"/>
        <w:rPr>
          <w:rFonts w:ascii="Arial" w:hAnsi="Arial" w:cs="Arial"/>
          <w:bCs/>
          <w:szCs w:val="24"/>
          <w:lang w:val="en-GB"/>
        </w:rPr>
      </w:pPr>
      <w:r w:rsidRPr="00441402">
        <w:rPr>
          <w:rFonts w:ascii="Arial" w:hAnsi="Arial" w:cs="Arial"/>
          <w:bCs/>
          <w:szCs w:val="24"/>
          <w:lang w:val="en-GB"/>
        </w:rPr>
        <w:t>4.</w:t>
      </w:r>
      <w:r w:rsidRPr="00441402">
        <w:rPr>
          <w:rFonts w:ascii="Arial" w:hAnsi="Arial" w:cs="Arial"/>
          <w:bCs/>
          <w:szCs w:val="24"/>
          <w:lang w:val="en-GB"/>
        </w:rPr>
        <w:tab/>
      </w:r>
      <w:r w:rsidR="00FA7E0B" w:rsidRPr="00B86202">
        <w:rPr>
          <w:rFonts w:ascii="Arial" w:hAnsi="Arial" w:cs="Arial"/>
          <w:bCs/>
          <w:szCs w:val="24"/>
          <w:lang w:val="en-GB"/>
        </w:rPr>
        <w:t>The costs of the application and counter-application under case number: 2022/20584 are reserved for the decision of the court determining the action under case number: 2022/20584.</w:t>
      </w:r>
    </w:p>
    <w:p w14:paraId="74769381" w14:textId="77777777" w:rsidR="00D54B4F" w:rsidRPr="00441402" w:rsidRDefault="00D54B4F" w:rsidP="00441402">
      <w:pPr>
        <w:spacing w:after="0" w:line="276" w:lineRule="auto"/>
        <w:ind w:left="0"/>
        <w:rPr>
          <w:rFonts w:ascii="Arial" w:hAnsi="Arial" w:cs="Arial"/>
          <w:bCs/>
          <w:szCs w:val="24"/>
          <w:lang w:val="en-GB"/>
        </w:rPr>
      </w:pPr>
    </w:p>
    <w:p w14:paraId="754EF701" w14:textId="77777777" w:rsidR="00DD4A7D" w:rsidRPr="00441402" w:rsidRDefault="00DD4A7D" w:rsidP="00441402">
      <w:pPr>
        <w:spacing w:after="0" w:line="276" w:lineRule="auto"/>
        <w:rPr>
          <w:rFonts w:ascii="Arial" w:hAnsi="Arial" w:cs="Arial"/>
          <w:bCs/>
          <w:szCs w:val="24"/>
          <w:lang w:val="en-GB"/>
        </w:rPr>
      </w:pPr>
    </w:p>
    <w:p w14:paraId="50AFDA9B" w14:textId="77777777" w:rsidR="00370F5E" w:rsidRPr="00441402" w:rsidRDefault="00370F5E" w:rsidP="00441402">
      <w:pPr>
        <w:spacing w:after="0" w:line="276" w:lineRule="auto"/>
        <w:ind w:left="0"/>
        <w:rPr>
          <w:rFonts w:ascii="Arial" w:hAnsi="Arial" w:cs="Arial"/>
          <w:b/>
          <w:szCs w:val="24"/>
          <w:u w:val="single"/>
        </w:rPr>
      </w:pPr>
    </w:p>
    <w:p w14:paraId="7234E10B" w14:textId="77777777" w:rsidR="006012FD" w:rsidRPr="00441402" w:rsidRDefault="006012FD" w:rsidP="00441402">
      <w:pPr>
        <w:spacing w:after="0" w:line="276" w:lineRule="auto"/>
        <w:ind w:left="0"/>
        <w:rPr>
          <w:rFonts w:ascii="Arial" w:hAnsi="Arial" w:cs="Arial"/>
          <w:b/>
          <w:szCs w:val="24"/>
          <w:u w:val="single"/>
        </w:rPr>
      </w:pPr>
    </w:p>
    <w:p w14:paraId="2ED7E248" w14:textId="77777777" w:rsidR="006012FD" w:rsidRPr="00441402" w:rsidRDefault="006012FD" w:rsidP="00441402">
      <w:pPr>
        <w:spacing w:after="0" w:line="276" w:lineRule="auto"/>
        <w:ind w:left="0"/>
        <w:rPr>
          <w:rFonts w:ascii="Arial" w:hAnsi="Arial" w:cs="Arial"/>
          <w:b/>
          <w:szCs w:val="24"/>
          <w:u w:val="single"/>
        </w:rPr>
      </w:pPr>
    </w:p>
    <w:p w14:paraId="6BCB93AF" w14:textId="7B818F00" w:rsidR="00394ED7" w:rsidRPr="00441402" w:rsidRDefault="00394ED7" w:rsidP="00441402">
      <w:pPr>
        <w:spacing w:after="0" w:line="276" w:lineRule="auto"/>
        <w:ind w:left="0" w:right="-42" w:firstLine="720"/>
        <w:jc w:val="right"/>
        <w:rPr>
          <w:rFonts w:ascii="Arial" w:eastAsiaTheme="minorHAnsi" w:hAnsi="Arial" w:cs="Arial"/>
          <w:color w:val="auto"/>
          <w:szCs w:val="24"/>
          <w:lang w:eastAsia="en-US"/>
        </w:rPr>
      </w:pP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004A6C67" w:rsidRPr="00441402">
        <w:rPr>
          <w:rFonts w:ascii="Arial" w:eastAsiaTheme="minorHAnsi" w:hAnsi="Arial" w:cs="Arial"/>
          <w:color w:val="auto"/>
          <w:szCs w:val="24"/>
          <w:lang w:eastAsia="en-US"/>
        </w:rPr>
        <w:t>_</w:t>
      </w:r>
      <w:r w:rsidR="007B109C" w:rsidRPr="00441402">
        <w:rPr>
          <w:rFonts w:ascii="Arial" w:eastAsiaTheme="minorHAnsi" w:hAnsi="Arial" w:cs="Arial"/>
          <w:color w:val="auto"/>
          <w:szCs w:val="24"/>
          <w:lang w:eastAsia="en-US"/>
        </w:rPr>
        <w:t>____</w:t>
      </w:r>
      <w:r w:rsidR="004A6C67" w:rsidRPr="00441402">
        <w:rPr>
          <w:rFonts w:ascii="Arial" w:eastAsiaTheme="minorHAnsi" w:hAnsi="Arial" w:cs="Arial"/>
          <w:color w:val="auto"/>
          <w:szCs w:val="24"/>
          <w:lang w:eastAsia="en-US"/>
        </w:rPr>
        <w:t>_</w:t>
      </w:r>
      <w:r w:rsidRPr="00441402">
        <w:rPr>
          <w:rFonts w:ascii="Arial" w:eastAsiaTheme="minorHAnsi" w:hAnsi="Arial" w:cs="Arial"/>
          <w:color w:val="auto"/>
          <w:szCs w:val="24"/>
          <w:lang w:eastAsia="en-US"/>
        </w:rPr>
        <w:t>_______________________</w:t>
      </w:r>
    </w:p>
    <w:p w14:paraId="7BED9695" w14:textId="5A02885B" w:rsidR="00394ED7" w:rsidRPr="00441402" w:rsidRDefault="00394ED7" w:rsidP="00441402">
      <w:pPr>
        <w:spacing w:after="0" w:line="276" w:lineRule="auto"/>
        <w:ind w:left="0" w:right="-42" w:firstLine="720"/>
        <w:jc w:val="right"/>
        <w:rPr>
          <w:rFonts w:ascii="Arial" w:eastAsiaTheme="minorHAnsi" w:hAnsi="Arial" w:cs="Arial"/>
          <w:b/>
          <w:color w:val="auto"/>
          <w:szCs w:val="24"/>
          <w:lang w:eastAsia="en-US"/>
        </w:rPr>
      </w:pP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001D42EA" w:rsidRPr="00441402">
        <w:rPr>
          <w:rFonts w:ascii="Arial" w:eastAsiaTheme="minorHAnsi" w:hAnsi="Arial" w:cs="Arial"/>
          <w:b/>
          <w:color w:val="auto"/>
          <w:szCs w:val="24"/>
          <w:lang w:eastAsia="en-US"/>
        </w:rPr>
        <w:t>B</w:t>
      </w:r>
      <w:r w:rsidR="00F84133" w:rsidRPr="00441402">
        <w:rPr>
          <w:rFonts w:ascii="Arial" w:eastAsiaTheme="minorHAnsi" w:hAnsi="Arial" w:cs="Arial"/>
          <w:b/>
          <w:color w:val="auto"/>
          <w:szCs w:val="24"/>
          <w:lang w:eastAsia="en-US"/>
        </w:rPr>
        <w:t>.</w:t>
      </w:r>
      <w:r w:rsidR="001D42EA" w:rsidRPr="00441402">
        <w:rPr>
          <w:rFonts w:ascii="Arial" w:eastAsiaTheme="minorHAnsi" w:hAnsi="Arial" w:cs="Arial"/>
          <w:b/>
          <w:color w:val="auto"/>
          <w:szCs w:val="24"/>
          <w:lang w:eastAsia="en-US"/>
        </w:rPr>
        <w:t>C</w:t>
      </w:r>
      <w:r w:rsidR="00F84133" w:rsidRPr="00441402">
        <w:rPr>
          <w:rFonts w:ascii="Arial" w:eastAsiaTheme="minorHAnsi" w:hAnsi="Arial" w:cs="Arial"/>
          <w:b/>
          <w:color w:val="auto"/>
          <w:szCs w:val="24"/>
          <w:lang w:eastAsia="en-US"/>
        </w:rPr>
        <w:t>.</w:t>
      </w:r>
      <w:r w:rsidR="001D42EA" w:rsidRPr="00441402">
        <w:rPr>
          <w:rFonts w:ascii="Arial" w:eastAsiaTheme="minorHAnsi" w:hAnsi="Arial" w:cs="Arial"/>
          <w:b/>
          <w:color w:val="auto"/>
          <w:szCs w:val="24"/>
          <w:lang w:eastAsia="en-US"/>
        </w:rPr>
        <w:t xml:space="preserve"> WANLESS</w:t>
      </w:r>
    </w:p>
    <w:p w14:paraId="64B6D5A0" w14:textId="14A2BEA3" w:rsidR="00394ED7" w:rsidRPr="00441402" w:rsidRDefault="00394ED7" w:rsidP="00441402">
      <w:pPr>
        <w:spacing w:after="0" w:line="276" w:lineRule="auto"/>
        <w:ind w:left="0" w:right="-42" w:firstLine="720"/>
        <w:jc w:val="right"/>
        <w:rPr>
          <w:rFonts w:ascii="Arial" w:eastAsiaTheme="minorHAnsi" w:hAnsi="Arial" w:cs="Arial"/>
          <w:color w:val="auto"/>
          <w:szCs w:val="24"/>
          <w:lang w:eastAsia="en-US"/>
        </w:rPr>
      </w:pP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002F145F" w:rsidRPr="00441402">
        <w:rPr>
          <w:rFonts w:ascii="Arial" w:eastAsiaTheme="minorHAnsi" w:hAnsi="Arial" w:cs="Arial"/>
          <w:color w:val="auto"/>
          <w:szCs w:val="24"/>
          <w:lang w:eastAsia="en-US"/>
        </w:rPr>
        <w:t>Acting</w:t>
      </w:r>
      <w:r w:rsidRPr="00441402">
        <w:rPr>
          <w:rFonts w:ascii="Arial" w:eastAsiaTheme="minorHAnsi" w:hAnsi="Arial" w:cs="Arial"/>
          <w:color w:val="auto"/>
          <w:szCs w:val="24"/>
          <w:lang w:eastAsia="en-US"/>
        </w:rPr>
        <w:tab/>
      </w:r>
      <w:r w:rsidR="00D20A49" w:rsidRPr="00441402">
        <w:rPr>
          <w:rFonts w:ascii="Arial" w:eastAsiaTheme="minorHAnsi" w:hAnsi="Arial" w:cs="Arial"/>
          <w:color w:val="auto"/>
          <w:szCs w:val="24"/>
          <w:lang w:eastAsia="en-US"/>
        </w:rPr>
        <w:t>Judge o</w:t>
      </w:r>
      <w:r w:rsidR="005866AD" w:rsidRPr="00441402">
        <w:rPr>
          <w:rFonts w:ascii="Arial" w:eastAsiaTheme="minorHAnsi" w:hAnsi="Arial" w:cs="Arial"/>
          <w:color w:val="auto"/>
          <w:szCs w:val="24"/>
          <w:lang w:eastAsia="en-US"/>
        </w:rPr>
        <w:t>f t</w:t>
      </w:r>
      <w:r w:rsidR="00D20A49" w:rsidRPr="00441402">
        <w:rPr>
          <w:rFonts w:ascii="Arial" w:eastAsiaTheme="minorHAnsi" w:hAnsi="Arial" w:cs="Arial"/>
          <w:color w:val="auto"/>
          <w:szCs w:val="24"/>
          <w:lang w:eastAsia="en-US"/>
        </w:rPr>
        <w:t>he High Court</w:t>
      </w:r>
    </w:p>
    <w:p w14:paraId="0A31A97F" w14:textId="7E72F860" w:rsidR="00F72339" w:rsidRPr="00441402" w:rsidRDefault="00D20A49" w:rsidP="00441402">
      <w:pPr>
        <w:spacing w:after="0" w:line="276" w:lineRule="auto"/>
        <w:ind w:left="0" w:right="-42" w:firstLine="720"/>
        <w:jc w:val="right"/>
        <w:rPr>
          <w:rFonts w:ascii="Arial" w:eastAsiaTheme="minorHAnsi" w:hAnsi="Arial" w:cs="Arial"/>
          <w:color w:val="auto"/>
          <w:szCs w:val="24"/>
          <w:lang w:eastAsia="en-US"/>
        </w:rPr>
      </w:pP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Pr="00441402">
        <w:rPr>
          <w:rFonts w:ascii="Arial" w:eastAsiaTheme="minorHAnsi" w:hAnsi="Arial" w:cs="Arial"/>
          <w:color w:val="auto"/>
          <w:szCs w:val="24"/>
          <w:lang w:eastAsia="en-US"/>
        </w:rPr>
        <w:tab/>
      </w:r>
      <w:r w:rsidR="007B109C" w:rsidRPr="00441402">
        <w:rPr>
          <w:rFonts w:ascii="Arial" w:eastAsiaTheme="minorHAnsi" w:hAnsi="Arial" w:cs="Arial"/>
          <w:color w:val="auto"/>
          <w:szCs w:val="24"/>
          <w:lang w:eastAsia="en-US"/>
        </w:rPr>
        <w:t xml:space="preserve">Gauteng Division, </w:t>
      </w:r>
      <w:r w:rsidRPr="00441402">
        <w:rPr>
          <w:rFonts w:ascii="Arial" w:eastAsiaTheme="minorHAnsi" w:hAnsi="Arial" w:cs="Arial"/>
          <w:color w:val="auto"/>
          <w:szCs w:val="24"/>
          <w:lang w:eastAsia="en-US"/>
        </w:rPr>
        <w:t xml:space="preserve">Johannesburg </w:t>
      </w:r>
    </w:p>
    <w:p w14:paraId="1A57191D" w14:textId="77777777" w:rsidR="00903975" w:rsidRPr="00441402" w:rsidRDefault="00903975" w:rsidP="00441402">
      <w:pPr>
        <w:spacing w:after="0" w:line="276" w:lineRule="auto"/>
        <w:ind w:left="0"/>
        <w:rPr>
          <w:rFonts w:ascii="Arial" w:hAnsi="Arial" w:cs="Arial"/>
          <w:b/>
          <w:bCs/>
          <w:szCs w:val="24"/>
        </w:rPr>
      </w:pPr>
    </w:p>
    <w:p w14:paraId="1ED2143E" w14:textId="77777777" w:rsidR="00903975" w:rsidRPr="00441402" w:rsidRDefault="00903975" w:rsidP="00441402">
      <w:pPr>
        <w:spacing w:after="0" w:line="276" w:lineRule="auto"/>
        <w:ind w:left="0"/>
        <w:rPr>
          <w:rFonts w:ascii="Arial" w:hAnsi="Arial" w:cs="Arial"/>
          <w:b/>
          <w:bCs/>
          <w:szCs w:val="24"/>
        </w:rPr>
      </w:pPr>
    </w:p>
    <w:p w14:paraId="6E768008" w14:textId="77777777" w:rsidR="00903975" w:rsidRPr="00441402" w:rsidRDefault="00903975" w:rsidP="00441402">
      <w:pPr>
        <w:spacing w:after="0" w:line="276" w:lineRule="auto"/>
        <w:ind w:left="0"/>
        <w:rPr>
          <w:rFonts w:ascii="Arial" w:hAnsi="Arial" w:cs="Arial"/>
          <w:b/>
          <w:bCs/>
          <w:szCs w:val="24"/>
        </w:rPr>
      </w:pPr>
    </w:p>
    <w:p w14:paraId="3E6DB7ED" w14:textId="77777777" w:rsidR="00903975" w:rsidRPr="00441402" w:rsidRDefault="00903975" w:rsidP="00441402">
      <w:pPr>
        <w:spacing w:after="0" w:line="276" w:lineRule="auto"/>
        <w:ind w:left="0"/>
        <w:rPr>
          <w:rFonts w:ascii="Arial" w:hAnsi="Arial" w:cs="Arial"/>
          <w:b/>
          <w:bCs/>
          <w:szCs w:val="24"/>
        </w:rPr>
      </w:pPr>
    </w:p>
    <w:p w14:paraId="3975D26B" w14:textId="77777777" w:rsidR="006012FD" w:rsidRPr="00441402" w:rsidRDefault="006012FD" w:rsidP="00441402">
      <w:pPr>
        <w:spacing w:after="0" w:line="276" w:lineRule="auto"/>
        <w:ind w:left="0"/>
        <w:rPr>
          <w:rFonts w:ascii="Arial" w:hAnsi="Arial" w:cs="Arial"/>
          <w:b/>
          <w:bCs/>
          <w:szCs w:val="24"/>
        </w:rPr>
      </w:pPr>
    </w:p>
    <w:p w14:paraId="02CCF5AD" w14:textId="77777777" w:rsidR="006012FD" w:rsidRPr="00441402" w:rsidRDefault="006012FD" w:rsidP="00441402">
      <w:pPr>
        <w:spacing w:after="0" w:line="276" w:lineRule="auto"/>
        <w:ind w:left="0"/>
        <w:rPr>
          <w:rFonts w:ascii="Arial" w:hAnsi="Arial" w:cs="Arial"/>
          <w:b/>
          <w:bCs/>
          <w:szCs w:val="24"/>
        </w:rPr>
      </w:pPr>
    </w:p>
    <w:p w14:paraId="03723609" w14:textId="77777777" w:rsidR="006012FD" w:rsidRPr="00441402" w:rsidRDefault="006012FD" w:rsidP="00441402">
      <w:pPr>
        <w:spacing w:after="0" w:line="276" w:lineRule="auto"/>
        <w:ind w:left="0"/>
        <w:rPr>
          <w:rFonts w:ascii="Arial" w:hAnsi="Arial" w:cs="Arial"/>
          <w:b/>
          <w:bCs/>
          <w:szCs w:val="24"/>
        </w:rPr>
      </w:pPr>
    </w:p>
    <w:p w14:paraId="5736A452" w14:textId="77777777" w:rsidR="006012FD" w:rsidRPr="00441402" w:rsidRDefault="006012FD" w:rsidP="00441402">
      <w:pPr>
        <w:spacing w:after="0" w:line="276" w:lineRule="auto"/>
        <w:ind w:left="0"/>
        <w:rPr>
          <w:rFonts w:ascii="Arial" w:hAnsi="Arial" w:cs="Arial"/>
          <w:b/>
          <w:bCs/>
          <w:szCs w:val="24"/>
        </w:rPr>
      </w:pPr>
    </w:p>
    <w:p w14:paraId="5E9E08B0" w14:textId="77777777" w:rsidR="006012FD" w:rsidRPr="00441402" w:rsidRDefault="006012FD" w:rsidP="00441402">
      <w:pPr>
        <w:spacing w:after="0" w:line="276" w:lineRule="auto"/>
        <w:ind w:left="0"/>
        <w:rPr>
          <w:rFonts w:ascii="Arial" w:hAnsi="Arial" w:cs="Arial"/>
          <w:b/>
          <w:bCs/>
          <w:szCs w:val="24"/>
        </w:rPr>
      </w:pPr>
    </w:p>
    <w:p w14:paraId="3CDBF2ED" w14:textId="77777777" w:rsidR="006012FD" w:rsidRPr="00441402" w:rsidRDefault="006012FD" w:rsidP="00441402">
      <w:pPr>
        <w:spacing w:after="0" w:line="276" w:lineRule="auto"/>
        <w:ind w:left="0"/>
        <w:rPr>
          <w:rFonts w:ascii="Arial" w:hAnsi="Arial" w:cs="Arial"/>
          <w:b/>
          <w:bCs/>
          <w:szCs w:val="24"/>
        </w:rPr>
      </w:pPr>
    </w:p>
    <w:p w14:paraId="607BA469" w14:textId="77777777" w:rsidR="006012FD" w:rsidRPr="00441402" w:rsidRDefault="006012FD" w:rsidP="00441402">
      <w:pPr>
        <w:spacing w:after="0" w:line="276" w:lineRule="auto"/>
        <w:ind w:left="0"/>
        <w:rPr>
          <w:rFonts w:ascii="Arial" w:hAnsi="Arial" w:cs="Arial"/>
          <w:b/>
          <w:bCs/>
          <w:szCs w:val="24"/>
        </w:rPr>
      </w:pPr>
    </w:p>
    <w:p w14:paraId="1C190956" w14:textId="77777777" w:rsidR="006012FD" w:rsidRPr="00441402" w:rsidRDefault="006012FD" w:rsidP="00441402">
      <w:pPr>
        <w:spacing w:after="0" w:line="276" w:lineRule="auto"/>
        <w:ind w:left="0"/>
        <w:rPr>
          <w:rFonts w:ascii="Arial" w:hAnsi="Arial" w:cs="Arial"/>
          <w:b/>
          <w:bCs/>
          <w:szCs w:val="24"/>
        </w:rPr>
      </w:pPr>
    </w:p>
    <w:p w14:paraId="0438712D" w14:textId="77777777" w:rsidR="006012FD" w:rsidRPr="00441402" w:rsidRDefault="006012FD" w:rsidP="00441402">
      <w:pPr>
        <w:spacing w:after="0" w:line="276" w:lineRule="auto"/>
        <w:ind w:left="0"/>
        <w:rPr>
          <w:rFonts w:ascii="Arial" w:hAnsi="Arial" w:cs="Arial"/>
          <w:b/>
          <w:bCs/>
          <w:szCs w:val="24"/>
        </w:rPr>
      </w:pPr>
    </w:p>
    <w:p w14:paraId="1D02AA5F" w14:textId="77777777" w:rsidR="006012FD" w:rsidRPr="00441402" w:rsidRDefault="006012FD" w:rsidP="00441402">
      <w:pPr>
        <w:spacing w:after="0" w:line="276" w:lineRule="auto"/>
        <w:ind w:left="0"/>
        <w:rPr>
          <w:rFonts w:ascii="Arial" w:hAnsi="Arial" w:cs="Arial"/>
          <w:b/>
          <w:bCs/>
          <w:szCs w:val="24"/>
        </w:rPr>
      </w:pPr>
    </w:p>
    <w:p w14:paraId="0BBAFE4C" w14:textId="77777777" w:rsidR="006012FD" w:rsidRPr="00441402" w:rsidRDefault="006012FD" w:rsidP="00441402">
      <w:pPr>
        <w:spacing w:after="0" w:line="276" w:lineRule="auto"/>
        <w:ind w:left="0"/>
        <w:rPr>
          <w:rFonts w:ascii="Arial" w:hAnsi="Arial" w:cs="Arial"/>
          <w:b/>
          <w:bCs/>
          <w:szCs w:val="24"/>
        </w:rPr>
      </w:pPr>
    </w:p>
    <w:p w14:paraId="4AC5CFD9" w14:textId="77777777" w:rsidR="006012FD" w:rsidRPr="00441402" w:rsidRDefault="006012FD" w:rsidP="00441402">
      <w:pPr>
        <w:spacing w:after="0" w:line="276" w:lineRule="auto"/>
        <w:ind w:left="0"/>
        <w:rPr>
          <w:rFonts w:ascii="Arial" w:hAnsi="Arial" w:cs="Arial"/>
          <w:b/>
          <w:bCs/>
          <w:szCs w:val="24"/>
        </w:rPr>
      </w:pPr>
    </w:p>
    <w:p w14:paraId="6481FEA2" w14:textId="77777777" w:rsidR="006012FD" w:rsidRPr="00441402" w:rsidRDefault="006012FD" w:rsidP="00441402">
      <w:pPr>
        <w:spacing w:after="0" w:line="276" w:lineRule="auto"/>
        <w:ind w:left="0"/>
        <w:rPr>
          <w:rFonts w:ascii="Arial" w:hAnsi="Arial" w:cs="Arial"/>
          <w:b/>
          <w:bCs/>
          <w:szCs w:val="24"/>
        </w:rPr>
      </w:pPr>
    </w:p>
    <w:p w14:paraId="5FD7BC03" w14:textId="77777777" w:rsidR="006012FD" w:rsidRPr="00441402" w:rsidRDefault="006012FD" w:rsidP="00441402">
      <w:pPr>
        <w:spacing w:after="0" w:line="276" w:lineRule="auto"/>
        <w:ind w:left="0"/>
        <w:rPr>
          <w:rFonts w:ascii="Arial" w:hAnsi="Arial" w:cs="Arial"/>
          <w:b/>
          <w:bCs/>
          <w:szCs w:val="24"/>
        </w:rPr>
      </w:pPr>
    </w:p>
    <w:p w14:paraId="369AA4AC" w14:textId="77777777" w:rsidR="006012FD" w:rsidRPr="00441402" w:rsidRDefault="006012FD" w:rsidP="00441402">
      <w:pPr>
        <w:spacing w:after="0" w:line="276" w:lineRule="auto"/>
        <w:ind w:left="0"/>
        <w:rPr>
          <w:rFonts w:ascii="Arial" w:hAnsi="Arial" w:cs="Arial"/>
          <w:b/>
          <w:bCs/>
          <w:szCs w:val="24"/>
        </w:rPr>
      </w:pPr>
    </w:p>
    <w:p w14:paraId="00A2CDB4" w14:textId="77777777" w:rsidR="006012FD" w:rsidRPr="00441402" w:rsidRDefault="006012FD" w:rsidP="00441402">
      <w:pPr>
        <w:spacing w:after="0" w:line="276" w:lineRule="auto"/>
        <w:ind w:left="0"/>
        <w:rPr>
          <w:rFonts w:ascii="Arial" w:hAnsi="Arial" w:cs="Arial"/>
          <w:b/>
          <w:bCs/>
          <w:szCs w:val="24"/>
        </w:rPr>
      </w:pPr>
    </w:p>
    <w:p w14:paraId="41D21DBD" w14:textId="77777777" w:rsidR="008C1D11" w:rsidRDefault="008C1D11" w:rsidP="00441402">
      <w:pPr>
        <w:spacing w:after="0" w:line="276" w:lineRule="auto"/>
        <w:ind w:left="0"/>
        <w:rPr>
          <w:rFonts w:ascii="Arial" w:hAnsi="Arial" w:cs="Arial"/>
          <w:b/>
          <w:bCs/>
          <w:szCs w:val="24"/>
        </w:rPr>
      </w:pPr>
    </w:p>
    <w:p w14:paraId="0796EED0" w14:textId="77777777" w:rsidR="008C1D11" w:rsidRDefault="008C1D11" w:rsidP="00441402">
      <w:pPr>
        <w:spacing w:after="0" w:line="276" w:lineRule="auto"/>
        <w:ind w:left="0"/>
        <w:rPr>
          <w:rFonts w:ascii="Arial" w:hAnsi="Arial" w:cs="Arial"/>
          <w:b/>
          <w:bCs/>
          <w:szCs w:val="24"/>
        </w:rPr>
      </w:pPr>
    </w:p>
    <w:p w14:paraId="70C843E4" w14:textId="77777777" w:rsidR="008C1D11" w:rsidRDefault="008C1D11" w:rsidP="00441402">
      <w:pPr>
        <w:spacing w:after="0" w:line="276" w:lineRule="auto"/>
        <w:ind w:left="0"/>
        <w:rPr>
          <w:rFonts w:ascii="Arial" w:hAnsi="Arial" w:cs="Arial"/>
          <w:b/>
          <w:bCs/>
          <w:szCs w:val="24"/>
        </w:rPr>
      </w:pPr>
    </w:p>
    <w:p w14:paraId="5CF6194B" w14:textId="77777777" w:rsidR="008C1D11" w:rsidRDefault="008C1D11" w:rsidP="00441402">
      <w:pPr>
        <w:spacing w:after="0" w:line="276" w:lineRule="auto"/>
        <w:ind w:left="0"/>
        <w:rPr>
          <w:rFonts w:ascii="Arial" w:hAnsi="Arial" w:cs="Arial"/>
          <w:b/>
          <w:bCs/>
          <w:szCs w:val="24"/>
        </w:rPr>
      </w:pPr>
    </w:p>
    <w:p w14:paraId="5CA0E5E0" w14:textId="77777777" w:rsidR="008C1D11" w:rsidRDefault="008C1D11" w:rsidP="00441402">
      <w:pPr>
        <w:spacing w:after="0" w:line="276" w:lineRule="auto"/>
        <w:ind w:left="0"/>
        <w:rPr>
          <w:rFonts w:ascii="Arial" w:hAnsi="Arial" w:cs="Arial"/>
          <w:b/>
          <w:bCs/>
          <w:szCs w:val="24"/>
        </w:rPr>
      </w:pPr>
    </w:p>
    <w:p w14:paraId="4066370E" w14:textId="77777777" w:rsidR="008C1D11" w:rsidRDefault="008C1D11" w:rsidP="00441402">
      <w:pPr>
        <w:spacing w:after="0" w:line="276" w:lineRule="auto"/>
        <w:ind w:left="0"/>
        <w:rPr>
          <w:rFonts w:ascii="Arial" w:hAnsi="Arial" w:cs="Arial"/>
          <w:b/>
          <w:bCs/>
          <w:szCs w:val="24"/>
        </w:rPr>
      </w:pPr>
    </w:p>
    <w:p w14:paraId="3507EA0F" w14:textId="77777777" w:rsidR="008C1D11" w:rsidRDefault="008C1D11" w:rsidP="00441402">
      <w:pPr>
        <w:spacing w:after="0" w:line="276" w:lineRule="auto"/>
        <w:ind w:left="0"/>
        <w:rPr>
          <w:rFonts w:ascii="Arial" w:hAnsi="Arial" w:cs="Arial"/>
          <w:b/>
          <w:bCs/>
          <w:szCs w:val="24"/>
        </w:rPr>
      </w:pPr>
    </w:p>
    <w:p w14:paraId="3C45EE72" w14:textId="77777777" w:rsidR="008C1D11" w:rsidRDefault="008C1D11" w:rsidP="00441402">
      <w:pPr>
        <w:spacing w:after="0" w:line="276" w:lineRule="auto"/>
        <w:ind w:left="0"/>
        <w:rPr>
          <w:rFonts w:ascii="Arial" w:hAnsi="Arial" w:cs="Arial"/>
          <w:b/>
          <w:bCs/>
          <w:szCs w:val="24"/>
        </w:rPr>
      </w:pPr>
    </w:p>
    <w:p w14:paraId="6C112027" w14:textId="77777777" w:rsidR="008C1D11" w:rsidRDefault="008C1D11" w:rsidP="00441402">
      <w:pPr>
        <w:spacing w:after="0" w:line="276" w:lineRule="auto"/>
        <w:ind w:left="0"/>
        <w:rPr>
          <w:rFonts w:ascii="Arial" w:hAnsi="Arial" w:cs="Arial"/>
          <w:b/>
          <w:bCs/>
          <w:szCs w:val="24"/>
        </w:rPr>
      </w:pPr>
    </w:p>
    <w:p w14:paraId="1A664E3A" w14:textId="77777777" w:rsidR="008C1D11" w:rsidRDefault="008C1D11" w:rsidP="00441402">
      <w:pPr>
        <w:spacing w:after="0" w:line="276" w:lineRule="auto"/>
        <w:ind w:left="0"/>
        <w:rPr>
          <w:rFonts w:ascii="Arial" w:hAnsi="Arial" w:cs="Arial"/>
          <w:b/>
          <w:bCs/>
          <w:szCs w:val="24"/>
        </w:rPr>
      </w:pPr>
    </w:p>
    <w:p w14:paraId="121B84DF" w14:textId="77777777" w:rsidR="008C1D11" w:rsidRDefault="008C1D11" w:rsidP="00441402">
      <w:pPr>
        <w:spacing w:after="0" w:line="276" w:lineRule="auto"/>
        <w:ind w:left="0"/>
        <w:rPr>
          <w:rFonts w:ascii="Arial" w:hAnsi="Arial" w:cs="Arial"/>
          <w:b/>
          <w:bCs/>
          <w:szCs w:val="24"/>
        </w:rPr>
      </w:pPr>
    </w:p>
    <w:p w14:paraId="58D5E666" w14:textId="77777777" w:rsidR="008C1D11" w:rsidRDefault="008C1D11" w:rsidP="00441402">
      <w:pPr>
        <w:spacing w:after="0" w:line="276" w:lineRule="auto"/>
        <w:ind w:left="0"/>
        <w:rPr>
          <w:rFonts w:ascii="Arial" w:hAnsi="Arial" w:cs="Arial"/>
          <w:b/>
          <w:bCs/>
          <w:szCs w:val="24"/>
        </w:rPr>
      </w:pPr>
    </w:p>
    <w:p w14:paraId="66F3AA32" w14:textId="77777777" w:rsidR="008C1D11" w:rsidRDefault="008C1D11" w:rsidP="00441402">
      <w:pPr>
        <w:spacing w:after="0" w:line="276" w:lineRule="auto"/>
        <w:ind w:left="0"/>
        <w:rPr>
          <w:rFonts w:ascii="Arial" w:hAnsi="Arial" w:cs="Arial"/>
          <w:b/>
          <w:bCs/>
          <w:szCs w:val="24"/>
        </w:rPr>
      </w:pPr>
    </w:p>
    <w:p w14:paraId="55339D0A" w14:textId="77777777" w:rsidR="008C1D11" w:rsidRDefault="008C1D11" w:rsidP="00441402">
      <w:pPr>
        <w:spacing w:after="0" w:line="276" w:lineRule="auto"/>
        <w:ind w:left="0"/>
        <w:rPr>
          <w:rFonts w:ascii="Arial" w:hAnsi="Arial" w:cs="Arial"/>
          <w:b/>
          <w:bCs/>
          <w:szCs w:val="24"/>
        </w:rPr>
      </w:pPr>
    </w:p>
    <w:p w14:paraId="192B2AE4" w14:textId="36A83382" w:rsidR="00EB45B2" w:rsidRPr="00441402" w:rsidRDefault="00EB45B2" w:rsidP="00441402">
      <w:pPr>
        <w:spacing w:after="0" w:line="276" w:lineRule="auto"/>
        <w:ind w:left="0"/>
        <w:rPr>
          <w:rFonts w:ascii="Arial" w:hAnsi="Arial" w:cs="Arial"/>
          <w:szCs w:val="24"/>
        </w:rPr>
      </w:pPr>
      <w:r w:rsidRPr="00441402">
        <w:rPr>
          <w:rFonts w:ascii="Arial" w:hAnsi="Arial" w:cs="Arial"/>
          <w:b/>
          <w:bCs/>
          <w:szCs w:val="24"/>
        </w:rPr>
        <w:lastRenderedPageBreak/>
        <w:t>Heard</w:t>
      </w:r>
      <w:r w:rsidRPr="00441402">
        <w:rPr>
          <w:rFonts w:ascii="Arial" w:hAnsi="Arial" w:cs="Arial"/>
          <w:szCs w:val="24"/>
        </w:rPr>
        <w:t>:</w:t>
      </w:r>
      <w:r w:rsidRPr="00441402">
        <w:rPr>
          <w:rFonts w:ascii="Arial" w:hAnsi="Arial" w:cs="Arial"/>
          <w:szCs w:val="24"/>
        </w:rPr>
        <w:tab/>
      </w:r>
      <w:r w:rsidRPr="00441402">
        <w:rPr>
          <w:rFonts w:ascii="Arial" w:hAnsi="Arial" w:cs="Arial"/>
          <w:szCs w:val="24"/>
        </w:rPr>
        <w:tab/>
      </w:r>
      <w:r w:rsidRPr="00441402">
        <w:rPr>
          <w:rFonts w:ascii="Arial" w:hAnsi="Arial" w:cs="Arial"/>
          <w:szCs w:val="24"/>
        </w:rPr>
        <w:tab/>
      </w:r>
      <w:r w:rsidR="00D15C15" w:rsidRPr="00441402">
        <w:rPr>
          <w:rFonts w:ascii="Arial" w:hAnsi="Arial" w:cs="Arial"/>
          <w:szCs w:val="24"/>
        </w:rPr>
        <w:tab/>
      </w:r>
      <w:r w:rsidR="008C1D11">
        <w:rPr>
          <w:rFonts w:ascii="Arial" w:hAnsi="Arial" w:cs="Arial"/>
          <w:szCs w:val="24"/>
        </w:rPr>
        <w:tab/>
      </w:r>
      <w:r w:rsidR="00441402">
        <w:rPr>
          <w:rFonts w:ascii="Arial" w:hAnsi="Arial" w:cs="Arial"/>
          <w:szCs w:val="24"/>
        </w:rPr>
        <w:t>05</w:t>
      </w:r>
      <w:r w:rsidRPr="00441402">
        <w:rPr>
          <w:rFonts w:ascii="Arial" w:hAnsi="Arial" w:cs="Arial"/>
          <w:szCs w:val="24"/>
        </w:rPr>
        <w:t xml:space="preserve"> </w:t>
      </w:r>
      <w:r w:rsidR="00441402">
        <w:rPr>
          <w:rFonts w:ascii="Arial" w:hAnsi="Arial" w:cs="Arial"/>
          <w:szCs w:val="24"/>
        </w:rPr>
        <w:t xml:space="preserve">June </w:t>
      </w:r>
      <w:r w:rsidRPr="00441402">
        <w:rPr>
          <w:rFonts w:ascii="Arial" w:hAnsi="Arial" w:cs="Arial"/>
          <w:szCs w:val="24"/>
        </w:rPr>
        <w:t xml:space="preserve">2023 </w:t>
      </w:r>
    </w:p>
    <w:p w14:paraId="58402796" w14:textId="6DCCCFED" w:rsidR="00370F5E" w:rsidRPr="00441402" w:rsidRDefault="00370F5E" w:rsidP="00441402">
      <w:pPr>
        <w:spacing w:after="0" w:line="276" w:lineRule="auto"/>
        <w:ind w:left="0"/>
        <w:rPr>
          <w:rFonts w:ascii="Arial" w:hAnsi="Arial" w:cs="Arial"/>
          <w:b/>
          <w:bCs/>
          <w:szCs w:val="24"/>
        </w:rPr>
      </w:pPr>
      <w:r w:rsidRPr="00441402">
        <w:rPr>
          <w:rFonts w:ascii="Arial" w:hAnsi="Arial" w:cs="Arial"/>
          <w:b/>
          <w:bCs/>
          <w:i/>
          <w:iCs/>
          <w:szCs w:val="24"/>
        </w:rPr>
        <w:t>Ex Tempore</w:t>
      </w:r>
      <w:r w:rsidRPr="00441402">
        <w:rPr>
          <w:rFonts w:ascii="Arial" w:hAnsi="Arial" w:cs="Arial"/>
          <w:szCs w:val="24"/>
        </w:rPr>
        <w:t>:</w:t>
      </w:r>
      <w:r w:rsidRPr="00441402">
        <w:rPr>
          <w:rFonts w:ascii="Arial" w:hAnsi="Arial" w:cs="Arial"/>
          <w:szCs w:val="24"/>
        </w:rPr>
        <w:tab/>
      </w:r>
      <w:r w:rsidRPr="00441402">
        <w:rPr>
          <w:rFonts w:ascii="Arial" w:hAnsi="Arial" w:cs="Arial"/>
          <w:szCs w:val="24"/>
        </w:rPr>
        <w:tab/>
      </w:r>
      <w:r w:rsidR="00D15C15" w:rsidRPr="00441402">
        <w:rPr>
          <w:rFonts w:ascii="Arial" w:hAnsi="Arial" w:cs="Arial"/>
          <w:szCs w:val="24"/>
        </w:rPr>
        <w:tab/>
      </w:r>
      <w:r w:rsidR="008C1D11">
        <w:rPr>
          <w:rFonts w:ascii="Arial" w:hAnsi="Arial" w:cs="Arial"/>
          <w:szCs w:val="24"/>
        </w:rPr>
        <w:tab/>
      </w:r>
      <w:r w:rsidR="00D15C15" w:rsidRPr="00441402">
        <w:rPr>
          <w:rFonts w:ascii="Arial" w:hAnsi="Arial" w:cs="Arial"/>
          <w:szCs w:val="24"/>
        </w:rPr>
        <w:t>1</w:t>
      </w:r>
      <w:r w:rsidR="00441402">
        <w:rPr>
          <w:rFonts w:ascii="Arial" w:hAnsi="Arial" w:cs="Arial"/>
          <w:szCs w:val="24"/>
        </w:rPr>
        <w:t>5</w:t>
      </w:r>
      <w:r w:rsidRPr="00441402">
        <w:rPr>
          <w:rFonts w:ascii="Arial" w:hAnsi="Arial" w:cs="Arial"/>
          <w:szCs w:val="24"/>
        </w:rPr>
        <w:t xml:space="preserve"> June 2023</w:t>
      </w:r>
    </w:p>
    <w:p w14:paraId="281927CC" w14:textId="6551AA43" w:rsidR="00EB45B2" w:rsidRPr="00441402" w:rsidRDefault="00370F5E" w:rsidP="00441402">
      <w:pPr>
        <w:spacing w:after="0" w:line="276" w:lineRule="auto"/>
        <w:ind w:left="0"/>
        <w:rPr>
          <w:rFonts w:ascii="Arial" w:hAnsi="Arial" w:cs="Arial"/>
          <w:szCs w:val="24"/>
        </w:rPr>
      </w:pPr>
      <w:r w:rsidRPr="00441402">
        <w:rPr>
          <w:rFonts w:ascii="Arial" w:hAnsi="Arial" w:cs="Arial"/>
          <w:b/>
          <w:bCs/>
          <w:szCs w:val="24"/>
        </w:rPr>
        <w:t>Transcript</w:t>
      </w:r>
      <w:r w:rsidR="00EB45B2" w:rsidRPr="00441402">
        <w:rPr>
          <w:rFonts w:ascii="Arial" w:hAnsi="Arial" w:cs="Arial"/>
          <w:szCs w:val="24"/>
        </w:rPr>
        <w:t>:</w:t>
      </w:r>
      <w:r w:rsidR="00EB45B2" w:rsidRPr="00441402">
        <w:rPr>
          <w:rFonts w:ascii="Arial" w:hAnsi="Arial" w:cs="Arial"/>
          <w:szCs w:val="24"/>
        </w:rPr>
        <w:tab/>
      </w:r>
      <w:r w:rsidR="00EB45B2" w:rsidRPr="00441402">
        <w:rPr>
          <w:rFonts w:ascii="Arial" w:hAnsi="Arial" w:cs="Arial"/>
          <w:szCs w:val="24"/>
        </w:rPr>
        <w:tab/>
        <w:t xml:space="preserve">          </w:t>
      </w:r>
      <w:r w:rsidR="00776A31" w:rsidRPr="00441402">
        <w:rPr>
          <w:rFonts w:ascii="Arial" w:hAnsi="Arial" w:cs="Arial"/>
          <w:szCs w:val="24"/>
        </w:rPr>
        <w:t xml:space="preserve"> </w:t>
      </w:r>
      <w:r w:rsidR="00D15C15" w:rsidRPr="00441402">
        <w:rPr>
          <w:rFonts w:ascii="Arial" w:hAnsi="Arial" w:cs="Arial"/>
          <w:szCs w:val="24"/>
        </w:rPr>
        <w:tab/>
      </w:r>
      <w:r w:rsidR="008C1D11">
        <w:rPr>
          <w:rFonts w:ascii="Arial" w:hAnsi="Arial" w:cs="Arial"/>
          <w:szCs w:val="24"/>
        </w:rPr>
        <w:tab/>
      </w:r>
      <w:r w:rsidR="00441402" w:rsidRPr="00DC7414">
        <w:rPr>
          <w:rFonts w:ascii="Arial" w:hAnsi="Arial" w:cs="Arial"/>
          <w:szCs w:val="24"/>
        </w:rPr>
        <w:t>04</w:t>
      </w:r>
      <w:r w:rsidR="00EB45B2" w:rsidRPr="00DC7414">
        <w:rPr>
          <w:rFonts w:ascii="Arial" w:hAnsi="Arial" w:cs="Arial"/>
          <w:szCs w:val="24"/>
        </w:rPr>
        <w:t xml:space="preserve"> Ju</w:t>
      </w:r>
      <w:r w:rsidR="00441402" w:rsidRPr="00DC7414">
        <w:rPr>
          <w:rFonts w:ascii="Arial" w:hAnsi="Arial" w:cs="Arial"/>
          <w:szCs w:val="24"/>
        </w:rPr>
        <w:t>ly</w:t>
      </w:r>
      <w:r w:rsidR="00EB45B2" w:rsidRPr="00DC7414">
        <w:rPr>
          <w:rFonts w:ascii="Arial" w:hAnsi="Arial" w:cs="Arial"/>
          <w:szCs w:val="24"/>
        </w:rPr>
        <w:t xml:space="preserve"> 2023</w:t>
      </w:r>
    </w:p>
    <w:p w14:paraId="68189513" w14:textId="77777777" w:rsidR="00EB45B2" w:rsidRPr="00441402" w:rsidRDefault="00EB45B2" w:rsidP="00441402">
      <w:pPr>
        <w:spacing w:after="0" w:line="276" w:lineRule="auto"/>
        <w:ind w:left="0"/>
        <w:rPr>
          <w:rFonts w:ascii="Arial" w:hAnsi="Arial" w:cs="Arial"/>
          <w:szCs w:val="24"/>
        </w:rPr>
      </w:pPr>
    </w:p>
    <w:p w14:paraId="121BDD2F" w14:textId="6C46A9A5" w:rsidR="00EB45B2" w:rsidRPr="00441402" w:rsidRDefault="00EB45B2" w:rsidP="00441402">
      <w:pPr>
        <w:spacing w:after="0" w:line="276" w:lineRule="auto"/>
        <w:ind w:left="0"/>
        <w:rPr>
          <w:rFonts w:ascii="Arial" w:hAnsi="Arial" w:cs="Arial"/>
          <w:szCs w:val="24"/>
        </w:rPr>
      </w:pPr>
      <w:r w:rsidRPr="00441402">
        <w:rPr>
          <w:rFonts w:ascii="Arial" w:hAnsi="Arial" w:cs="Arial"/>
          <w:b/>
          <w:bCs/>
          <w:szCs w:val="24"/>
          <w:u w:val="single"/>
        </w:rPr>
        <w:t>Appearances</w:t>
      </w:r>
      <w:r w:rsidRPr="00441402">
        <w:rPr>
          <w:rFonts w:ascii="Arial" w:hAnsi="Arial" w:cs="Arial"/>
          <w:szCs w:val="24"/>
        </w:rPr>
        <w:t>:</w:t>
      </w:r>
    </w:p>
    <w:p w14:paraId="52012166" w14:textId="77777777" w:rsidR="00EB45B2" w:rsidRPr="00441402" w:rsidRDefault="00EB45B2" w:rsidP="00441402">
      <w:pPr>
        <w:spacing w:after="0" w:line="276" w:lineRule="auto"/>
        <w:ind w:left="0"/>
        <w:rPr>
          <w:rFonts w:ascii="Arial" w:hAnsi="Arial" w:cs="Arial"/>
          <w:szCs w:val="24"/>
        </w:rPr>
      </w:pPr>
    </w:p>
    <w:p w14:paraId="106B3148" w14:textId="2CFA7E7B" w:rsidR="00EB45B2" w:rsidRPr="00441402" w:rsidRDefault="00EB45B2" w:rsidP="00441402">
      <w:pPr>
        <w:spacing w:after="0" w:line="276" w:lineRule="auto"/>
        <w:ind w:left="0"/>
        <w:rPr>
          <w:rFonts w:ascii="Arial" w:hAnsi="Arial" w:cs="Arial"/>
          <w:szCs w:val="24"/>
        </w:rPr>
      </w:pPr>
      <w:r w:rsidRPr="00441402">
        <w:rPr>
          <w:rFonts w:ascii="Arial" w:hAnsi="Arial" w:cs="Arial"/>
          <w:b/>
          <w:bCs/>
          <w:szCs w:val="24"/>
        </w:rPr>
        <w:t xml:space="preserve">For </w:t>
      </w:r>
      <w:r w:rsidR="00D15C15" w:rsidRPr="00441402">
        <w:rPr>
          <w:rFonts w:ascii="Arial" w:hAnsi="Arial" w:cs="Arial"/>
          <w:b/>
          <w:bCs/>
          <w:szCs w:val="24"/>
        </w:rPr>
        <w:t>Applicants</w:t>
      </w:r>
      <w:r w:rsidRPr="00441402">
        <w:rPr>
          <w:rFonts w:ascii="Arial" w:hAnsi="Arial" w:cs="Arial"/>
          <w:szCs w:val="24"/>
        </w:rPr>
        <w:t>:</w:t>
      </w:r>
      <w:r w:rsidRPr="00441402">
        <w:rPr>
          <w:rFonts w:ascii="Arial" w:hAnsi="Arial" w:cs="Arial"/>
          <w:szCs w:val="24"/>
        </w:rPr>
        <w:tab/>
      </w:r>
      <w:r w:rsidRPr="00441402">
        <w:rPr>
          <w:rFonts w:ascii="Arial" w:hAnsi="Arial" w:cs="Arial"/>
          <w:szCs w:val="24"/>
        </w:rPr>
        <w:tab/>
      </w:r>
      <w:r w:rsidR="00D15C15" w:rsidRPr="00441402">
        <w:rPr>
          <w:rFonts w:ascii="Arial" w:hAnsi="Arial" w:cs="Arial"/>
          <w:szCs w:val="24"/>
        </w:rPr>
        <w:tab/>
      </w:r>
      <w:r w:rsidR="008C1D11">
        <w:rPr>
          <w:rFonts w:ascii="Arial" w:hAnsi="Arial" w:cs="Arial"/>
          <w:szCs w:val="24"/>
        </w:rPr>
        <w:tab/>
        <w:t>L Franck</w:t>
      </w:r>
    </w:p>
    <w:p w14:paraId="1DB24790" w14:textId="17730CB5" w:rsidR="00C94F86" w:rsidRPr="00441402" w:rsidRDefault="00EB45B2" w:rsidP="00441402">
      <w:pPr>
        <w:spacing w:after="0" w:line="276" w:lineRule="auto"/>
        <w:ind w:left="0"/>
        <w:rPr>
          <w:rFonts w:ascii="Arial" w:hAnsi="Arial" w:cs="Arial"/>
          <w:szCs w:val="24"/>
        </w:rPr>
      </w:pPr>
      <w:r w:rsidRPr="00441402">
        <w:rPr>
          <w:rFonts w:ascii="Arial" w:hAnsi="Arial" w:cs="Arial"/>
          <w:b/>
          <w:bCs/>
          <w:szCs w:val="24"/>
        </w:rPr>
        <w:t>Instructed by</w:t>
      </w:r>
      <w:r w:rsidRPr="00441402">
        <w:rPr>
          <w:rFonts w:ascii="Arial" w:hAnsi="Arial" w:cs="Arial"/>
          <w:szCs w:val="24"/>
        </w:rPr>
        <w:t>:</w:t>
      </w:r>
      <w:r w:rsidRPr="00441402">
        <w:rPr>
          <w:rFonts w:ascii="Arial" w:hAnsi="Arial" w:cs="Arial"/>
          <w:szCs w:val="24"/>
        </w:rPr>
        <w:tab/>
      </w:r>
      <w:r w:rsidRPr="00441402">
        <w:rPr>
          <w:rFonts w:ascii="Arial" w:hAnsi="Arial" w:cs="Arial"/>
          <w:szCs w:val="24"/>
        </w:rPr>
        <w:tab/>
      </w:r>
      <w:r w:rsidR="00D15C15" w:rsidRPr="00441402">
        <w:rPr>
          <w:rFonts w:ascii="Arial" w:hAnsi="Arial" w:cs="Arial"/>
          <w:szCs w:val="24"/>
        </w:rPr>
        <w:tab/>
      </w:r>
      <w:r w:rsidR="008C1D11">
        <w:rPr>
          <w:rFonts w:ascii="Arial" w:hAnsi="Arial" w:cs="Arial"/>
          <w:szCs w:val="24"/>
        </w:rPr>
        <w:tab/>
        <w:t>Cherry Singh Inc.</w:t>
      </w:r>
    </w:p>
    <w:p w14:paraId="05279F50" w14:textId="77777777" w:rsidR="00EB45B2" w:rsidRPr="00441402" w:rsidRDefault="00EB45B2" w:rsidP="00441402">
      <w:pPr>
        <w:spacing w:after="0" w:line="276" w:lineRule="auto"/>
        <w:ind w:left="0"/>
        <w:rPr>
          <w:rFonts w:ascii="Arial" w:hAnsi="Arial" w:cs="Arial"/>
          <w:szCs w:val="24"/>
        </w:rPr>
      </w:pPr>
    </w:p>
    <w:p w14:paraId="5C177230" w14:textId="08252068" w:rsidR="00EB45B2" w:rsidRPr="00441402" w:rsidRDefault="00EB45B2" w:rsidP="00441402">
      <w:pPr>
        <w:spacing w:after="0" w:line="276" w:lineRule="auto"/>
        <w:ind w:left="0"/>
        <w:rPr>
          <w:rFonts w:ascii="Arial" w:hAnsi="Arial" w:cs="Arial"/>
          <w:szCs w:val="24"/>
        </w:rPr>
      </w:pPr>
      <w:r w:rsidRPr="00441402">
        <w:rPr>
          <w:rFonts w:ascii="Arial" w:hAnsi="Arial" w:cs="Arial"/>
          <w:b/>
          <w:bCs/>
          <w:szCs w:val="24"/>
        </w:rPr>
        <w:t xml:space="preserve">For </w:t>
      </w:r>
      <w:r w:rsidR="008C1D11">
        <w:rPr>
          <w:rFonts w:ascii="Arial" w:hAnsi="Arial" w:cs="Arial"/>
          <w:b/>
          <w:bCs/>
          <w:szCs w:val="24"/>
        </w:rPr>
        <w:t xml:space="preserve">First and </w:t>
      </w:r>
      <w:r w:rsidR="00D15C15" w:rsidRPr="00441402">
        <w:rPr>
          <w:rFonts w:ascii="Arial" w:hAnsi="Arial" w:cs="Arial"/>
          <w:b/>
          <w:bCs/>
          <w:szCs w:val="24"/>
        </w:rPr>
        <w:t>Second Respondent</w:t>
      </w:r>
      <w:r w:rsidRPr="00441402">
        <w:rPr>
          <w:rFonts w:ascii="Arial" w:hAnsi="Arial" w:cs="Arial"/>
          <w:szCs w:val="24"/>
        </w:rPr>
        <w:t>:</w:t>
      </w:r>
      <w:r w:rsidRPr="00441402">
        <w:rPr>
          <w:rFonts w:ascii="Arial" w:hAnsi="Arial" w:cs="Arial"/>
          <w:szCs w:val="24"/>
        </w:rPr>
        <w:tab/>
      </w:r>
      <w:r w:rsidR="00EB4814">
        <w:rPr>
          <w:rFonts w:ascii="Arial" w:hAnsi="Arial" w:cs="Arial"/>
          <w:szCs w:val="24"/>
        </w:rPr>
        <w:t>N Sikhwivhilu</w:t>
      </w:r>
    </w:p>
    <w:p w14:paraId="005245AC" w14:textId="05C958AD" w:rsidR="00D91B48" w:rsidRPr="00441402" w:rsidRDefault="00D15C15" w:rsidP="00441402">
      <w:pPr>
        <w:spacing w:after="0" w:line="276" w:lineRule="auto"/>
        <w:ind w:left="0"/>
        <w:rPr>
          <w:rFonts w:ascii="Arial" w:hAnsi="Arial" w:cs="Arial"/>
          <w:szCs w:val="24"/>
        </w:rPr>
      </w:pPr>
      <w:r w:rsidRPr="00441402">
        <w:rPr>
          <w:rFonts w:ascii="Arial" w:hAnsi="Arial" w:cs="Arial"/>
          <w:b/>
          <w:bCs/>
          <w:szCs w:val="24"/>
        </w:rPr>
        <w:t>Instructed by</w:t>
      </w:r>
      <w:r w:rsidRPr="00441402">
        <w:rPr>
          <w:rFonts w:ascii="Arial" w:hAnsi="Arial" w:cs="Arial"/>
          <w:szCs w:val="24"/>
        </w:rPr>
        <w:t>:</w:t>
      </w:r>
      <w:r w:rsidR="00D2571A" w:rsidRPr="00441402">
        <w:rPr>
          <w:rFonts w:ascii="Arial" w:hAnsi="Arial" w:cs="Arial"/>
          <w:szCs w:val="24"/>
        </w:rPr>
        <w:tab/>
      </w:r>
      <w:r w:rsidR="00D2571A" w:rsidRPr="00441402">
        <w:rPr>
          <w:rFonts w:ascii="Arial" w:hAnsi="Arial" w:cs="Arial"/>
          <w:szCs w:val="24"/>
        </w:rPr>
        <w:tab/>
      </w:r>
      <w:r w:rsidR="00D2571A" w:rsidRPr="00441402">
        <w:rPr>
          <w:rFonts w:ascii="Arial" w:hAnsi="Arial" w:cs="Arial"/>
          <w:szCs w:val="24"/>
        </w:rPr>
        <w:tab/>
      </w:r>
      <w:r w:rsidR="008C1D11">
        <w:rPr>
          <w:rFonts w:ascii="Arial" w:hAnsi="Arial" w:cs="Arial"/>
          <w:szCs w:val="24"/>
        </w:rPr>
        <w:tab/>
        <w:t>Sithia &amp; Thabela Attorneys</w:t>
      </w:r>
    </w:p>
    <w:p w14:paraId="690C8194" w14:textId="77777777" w:rsidR="00D2571A" w:rsidRPr="00441402" w:rsidRDefault="00D2571A" w:rsidP="00441402">
      <w:pPr>
        <w:spacing w:after="0" w:line="276" w:lineRule="auto"/>
        <w:ind w:left="0"/>
        <w:rPr>
          <w:rFonts w:ascii="Arial" w:hAnsi="Arial" w:cs="Arial"/>
          <w:b/>
          <w:bCs/>
          <w:szCs w:val="24"/>
        </w:rPr>
      </w:pPr>
    </w:p>
    <w:p w14:paraId="6C94BC09" w14:textId="5D6E84AC" w:rsidR="00D2571A" w:rsidRPr="00B94C00" w:rsidRDefault="00D2571A" w:rsidP="00657706">
      <w:pPr>
        <w:spacing w:after="0" w:line="276" w:lineRule="auto"/>
        <w:ind w:left="0"/>
        <w:rPr>
          <w:rFonts w:ascii="Arial" w:hAnsi="Arial" w:cs="Arial"/>
          <w:szCs w:val="24"/>
        </w:rPr>
      </w:pPr>
    </w:p>
    <w:sectPr w:rsidR="00D2571A"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66D56" w14:textId="77777777" w:rsidR="002F2C52" w:rsidRDefault="002F2C52" w:rsidP="00A238D6">
      <w:pPr>
        <w:spacing w:after="0" w:line="240" w:lineRule="auto"/>
      </w:pPr>
      <w:r>
        <w:separator/>
      </w:r>
    </w:p>
  </w:endnote>
  <w:endnote w:type="continuationSeparator" w:id="0">
    <w:p w14:paraId="2D785CAC" w14:textId="77777777" w:rsidR="002F2C52" w:rsidRDefault="002F2C52" w:rsidP="00A238D6">
      <w:pPr>
        <w:spacing w:after="0" w:line="240" w:lineRule="auto"/>
      </w:pPr>
      <w:r>
        <w:continuationSeparator/>
      </w:r>
    </w:p>
  </w:endnote>
  <w:endnote w:type="continuationNotice" w:id="1">
    <w:p w14:paraId="67F17673" w14:textId="77777777" w:rsidR="002F2C52" w:rsidRDefault="002F2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65202"/>
      <w:docPartObj>
        <w:docPartGallery w:val="Page Numbers (Bottom of Page)"/>
        <w:docPartUnique/>
      </w:docPartObj>
    </w:sdtPr>
    <w:sdtEndPr>
      <w:rPr>
        <w:noProof/>
      </w:rPr>
    </w:sdtEndPr>
    <w:sdtContent>
      <w:p w14:paraId="761941DD" w14:textId="03C67FE5" w:rsidR="0046480A" w:rsidRDefault="0046480A">
        <w:pPr>
          <w:pStyle w:val="Footer"/>
          <w:jc w:val="right"/>
        </w:pPr>
        <w:r>
          <w:fldChar w:fldCharType="begin"/>
        </w:r>
        <w:r>
          <w:instrText xml:space="preserve"> PAGE   \* MERGEFORMAT </w:instrText>
        </w:r>
        <w:r>
          <w:fldChar w:fldCharType="separate"/>
        </w:r>
        <w:r w:rsidR="00B86202">
          <w:rPr>
            <w:noProof/>
          </w:rPr>
          <w:t>2</w:t>
        </w:r>
        <w:r>
          <w:rPr>
            <w:noProof/>
          </w:rPr>
          <w:fldChar w:fldCharType="end"/>
        </w:r>
      </w:p>
    </w:sdtContent>
  </w:sdt>
  <w:p w14:paraId="00080AE6" w14:textId="77777777" w:rsidR="003B2999" w:rsidRDefault="003B2999" w:rsidP="00674F13">
    <w:pPr>
      <w:pStyle w:val="Footer"/>
    </w:pPr>
  </w:p>
  <w:p w14:paraId="6413844B" w14:textId="77777777" w:rsidR="00A40FDD" w:rsidRDefault="00A40FDD"/>
  <w:p w14:paraId="64A0AEE4" w14:textId="77777777" w:rsidR="00A40FDD" w:rsidRDefault="00A40FDD"/>
  <w:p w14:paraId="12E148EC" w14:textId="77777777" w:rsidR="00A40FDD" w:rsidRDefault="00A40FDD"/>
  <w:p w14:paraId="5F2C0723" w14:textId="77777777" w:rsidR="00A40FDD" w:rsidRDefault="00A40FDD"/>
  <w:p w14:paraId="2F1A6D75" w14:textId="77777777" w:rsidR="00A40FDD" w:rsidRDefault="00A40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9394" w14:textId="77777777" w:rsidR="002F2C52" w:rsidRDefault="002F2C52" w:rsidP="00A238D6">
      <w:pPr>
        <w:spacing w:after="0" w:line="240" w:lineRule="auto"/>
      </w:pPr>
      <w:r>
        <w:separator/>
      </w:r>
    </w:p>
  </w:footnote>
  <w:footnote w:type="continuationSeparator" w:id="0">
    <w:p w14:paraId="13134480" w14:textId="77777777" w:rsidR="002F2C52" w:rsidRDefault="002F2C52" w:rsidP="00A238D6">
      <w:pPr>
        <w:spacing w:after="0" w:line="240" w:lineRule="auto"/>
      </w:pPr>
      <w:r>
        <w:continuationSeparator/>
      </w:r>
    </w:p>
  </w:footnote>
  <w:footnote w:type="continuationNotice" w:id="1">
    <w:p w14:paraId="20B8070A" w14:textId="77777777" w:rsidR="002F2C52" w:rsidRDefault="002F2C52">
      <w:pPr>
        <w:spacing w:after="0" w:line="240" w:lineRule="auto"/>
      </w:pPr>
    </w:p>
  </w:footnote>
  <w:footnote w:id="2">
    <w:p w14:paraId="3EB4C77C" w14:textId="7FA5E35C" w:rsidR="00CA3BE8" w:rsidRPr="002A2D8B" w:rsidRDefault="00CA3BE8">
      <w:pPr>
        <w:pStyle w:val="FootnoteText"/>
        <w:rPr>
          <w:rFonts w:ascii="Arial" w:hAnsi="Arial" w:cs="Arial"/>
          <w:i/>
          <w:iCs/>
          <w:sz w:val="18"/>
          <w:szCs w:val="18"/>
          <w:lang w:val="en-US"/>
        </w:rPr>
      </w:pPr>
      <w:r w:rsidRPr="002A2D8B">
        <w:rPr>
          <w:rStyle w:val="FootnoteReference"/>
          <w:rFonts w:ascii="Arial" w:hAnsi="Arial" w:cs="Arial"/>
          <w:i/>
          <w:iCs/>
          <w:sz w:val="18"/>
          <w:szCs w:val="18"/>
        </w:rPr>
        <w:footnoteRef/>
      </w:r>
      <w:r w:rsidRPr="002A2D8B">
        <w:rPr>
          <w:rFonts w:ascii="Arial" w:hAnsi="Arial" w:cs="Arial"/>
          <w:i/>
          <w:iCs/>
          <w:sz w:val="18"/>
          <w:szCs w:val="18"/>
        </w:rPr>
        <w:t xml:space="preserve"> </w:t>
      </w:r>
      <w:r w:rsidRPr="002A2D8B">
        <w:rPr>
          <w:rFonts w:ascii="Arial" w:hAnsi="Arial" w:cs="Arial"/>
          <w:bCs/>
          <w:i/>
          <w:iCs/>
          <w:sz w:val="18"/>
          <w:szCs w:val="22"/>
          <w:lang w:val="en-GB"/>
        </w:rPr>
        <w:t>At D1-80.</w:t>
      </w:r>
    </w:p>
  </w:footnote>
  <w:footnote w:id="3">
    <w:p w14:paraId="69B64089" w14:textId="03944940" w:rsidR="00CA3BE8" w:rsidRPr="002A2D8B" w:rsidRDefault="00CA3BE8">
      <w:pPr>
        <w:pStyle w:val="FootnoteText"/>
        <w:rPr>
          <w:rFonts w:ascii="Arial" w:hAnsi="Arial" w:cs="Arial"/>
          <w:i/>
          <w:iCs/>
          <w:sz w:val="18"/>
          <w:szCs w:val="18"/>
          <w:lang w:val="en-US"/>
        </w:rPr>
      </w:pPr>
      <w:r w:rsidRPr="002A2D8B">
        <w:rPr>
          <w:rStyle w:val="FootnoteReference"/>
          <w:rFonts w:ascii="Arial" w:hAnsi="Arial" w:cs="Arial"/>
          <w:i/>
          <w:iCs/>
          <w:sz w:val="18"/>
          <w:szCs w:val="18"/>
        </w:rPr>
        <w:footnoteRef/>
      </w:r>
      <w:r w:rsidRPr="002A2D8B">
        <w:rPr>
          <w:rFonts w:ascii="Arial" w:hAnsi="Arial" w:cs="Arial"/>
          <w:i/>
          <w:iCs/>
          <w:sz w:val="18"/>
          <w:szCs w:val="18"/>
        </w:rPr>
        <w:t xml:space="preserve"> </w:t>
      </w:r>
      <w:r w:rsidRPr="002A2D8B">
        <w:rPr>
          <w:rFonts w:ascii="Arial" w:hAnsi="Arial" w:cs="Arial"/>
          <w:bCs/>
          <w:i/>
          <w:iCs/>
          <w:sz w:val="18"/>
          <w:szCs w:val="22"/>
          <w:lang w:val="en-GB"/>
        </w:rPr>
        <w:t>See the cases at Erasmus, footnote 2 (D1-80).</w:t>
      </w:r>
    </w:p>
  </w:footnote>
  <w:footnote w:id="4">
    <w:p w14:paraId="7A470CD6" w14:textId="3EACB25E" w:rsidR="00CA3BE8" w:rsidRPr="002A2D8B" w:rsidRDefault="00CA3BE8">
      <w:pPr>
        <w:pStyle w:val="FootnoteText"/>
        <w:rPr>
          <w:rFonts w:ascii="Arial" w:hAnsi="Arial" w:cs="Arial"/>
          <w:i/>
          <w:iCs/>
          <w:sz w:val="18"/>
          <w:szCs w:val="18"/>
          <w:lang w:val="en-US"/>
        </w:rPr>
      </w:pPr>
      <w:r w:rsidRPr="002A2D8B">
        <w:rPr>
          <w:rStyle w:val="FootnoteReference"/>
          <w:rFonts w:ascii="Arial" w:hAnsi="Arial" w:cs="Arial"/>
          <w:i/>
          <w:iCs/>
          <w:sz w:val="18"/>
          <w:szCs w:val="18"/>
        </w:rPr>
        <w:footnoteRef/>
      </w:r>
      <w:r w:rsidRPr="002A2D8B">
        <w:rPr>
          <w:rFonts w:ascii="Arial" w:hAnsi="Arial" w:cs="Arial"/>
          <w:i/>
          <w:iCs/>
          <w:sz w:val="18"/>
          <w:szCs w:val="18"/>
        </w:rPr>
        <w:t xml:space="preserve"> </w:t>
      </w:r>
      <w:r w:rsidRPr="002A2D8B">
        <w:rPr>
          <w:rFonts w:ascii="Arial" w:hAnsi="Arial" w:cs="Arial"/>
          <w:bCs/>
          <w:i/>
          <w:iCs/>
          <w:sz w:val="18"/>
          <w:szCs w:val="22"/>
          <w:lang w:val="en-GB"/>
        </w:rPr>
        <w:t>Ntsala v Rustenburg Local Municipality and Another (North West Provincial Division, Mahikeng), case number M124/20 at paragraph [12].</w:t>
      </w:r>
    </w:p>
  </w:footnote>
  <w:footnote w:id="5">
    <w:p w14:paraId="4D097335" w14:textId="61628C24" w:rsidR="00CA3BE8" w:rsidRPr="002A2D8B" w:rsidRDefault="00CA3BE8">
      <w:pPr>
        <w:pStyle w:val="FootnoteText"/>
        <w:rPr>
          <w:rFonts w:ascii="Arial" w:hAnsi="Arial" w:cs="Arial"/>
          <w:i/>
          <w:iCs/>
          <w:sz w:val="18"/>
          <w:szCs w:val="18"/>
          <w:lang w:val="en-US"/>
        </w:rPr>
      </w:pPr>
      <w:r w:rsidRPr="002A2D8B">
        <w:rPr>
          <w:rStyle w:val="FootnoteReference"/>
          <w:rFonts w:ascii="Arial" w:hAnsi="Arial" w:cs="Arial"/>
          <w:i/>
          <w:iCs/>
          <w:sz w:val="18"/>
          <w:szCs w:val="18"/>
        </w:rPr>
        <w:footnoteRef/>
      </w:r>
      <w:r w:rsidRPr="002A2D8B">
        <w:rPr>
          <w:rFonts w:ascii="Arial" w:hAnsi="Arial" w:cs="Arial"/>
          <w:i/>
          <w:iCs/>
          <w:sz w:val="18"/>
          <w:szCs w:val="18"/>
        </w:rPr>
        <w:t xml:space="preserve"> </w:t>
      </w:r>
      <w:r w:rsidRPr="002A2D8B">
        <w:rPr>
          <w:rFonts w:ascii="Arial" w:hAnsi="Arial" w:cs="Arial"/>
          <w:bCs/>
          <w:i/>
          <w:iCs/>
          <w:sz w:val="18"/>
          <w:szCs w:val="22"/>
          <w:lang w:val="en-GB"/>
        </w:rPr>
        <w:t>Ntsala at paragraph [13].</w:t>
      </w:r>
    </w:p>
  </w:footnote>
  <w:footnote w:id="6">
    <w:p w14:paraId="6840B86D" w14:textId="70725829" w:rsidR="00CA3BE8" w:rsidRPr="002A2D8B" w:rsidRDefault="00CA3BE8">
      <w:pPr>
        <w:pStyle w:val="FootnoteText"/>
        <w:rPr>
          <w:rFonts w:ascii="Arial" w:hAnsi="Arial" w:cs="Arial"/>
          <w:i/>
          <w:iCs/>
          <w:sz w:val="18"/>
          <w:szCs w:val="18"/>
          <w:lang w:val="en-US"/>
        </w:rPr>
      </w:pPr>
      <w:r w:rsidRPr="002A2D8B">
        <w:rPr>
          <w:rStyle w:val="FootnoteReference"/>
          <w:rFonts w:ascii="Arial" w:hAnsi="Arial" w:cs="Arial"/>
          <w:i/>
          <w:iCs/>
          <w:sz w:val="18"/>
          <w:szCs w:val="18"/>
        </w:rPr>
        <w:footnoteRef/>
      </w:r>
      <w:r w:rsidRPr="002A2D8B">
        <w:rPr>
          <w:rFonts w:ascii="Arial" w:hAnsi="Arial" w:cs="Arial"/>
          <w:i/>
          <w:iCs/>
          <w:sz w:val="18"/>
          <w:szCs w:val="18"/>
        </w:rPr>
        <w:t xml:space="preserve"> </w:t>
      </w:r>
      <w:r w:rsidRPr="002A2D8B">
        <w:rPr>
          <w:rFonts w:ascii="Arial" w:hAnsi="Arial" w:cs="Arial"/>
          <w:bCs/>
          <w:i/>
          <w:iCs/>
          <w:sz w:val="18"/>
          <w:szCs w:val="22"/>
          <w:lang w:val="en-GB"/>
        </w:rPr>
        <w:t>Room Hire Co (Pty) Ltd versus Jeppe Street Mansions (Pty) Ltd 1949 (3) SA 1155 (T) at 1162.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5009"/>
    <w:multiLevelType w:val="hybridMultilevel"/>
    <w:tmpl w:val="442E082E"/>
    <w:lvl w:ilvl="0" w:tplc="7428B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213C44DC"/>
    <w:multiLevelType w:val="multilevel"/>
    <w:tmpl w:val="E668A8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7E30901"/>
    <w:multiLevelType w:val="hybridMultilevel"/>
    <w:tmpl w:val="BA30429C"/>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022B0"/>
    <w:rsid w:val="00007D1A"/>
    <w:rsid w:val="00037DEE"/>
    <w:rsid w:val="00067BF5"/>
    <w:rsid w:val="0007108C"/>
    <w:rsid w:val="000713CA"/>
    <w:rsid w:val="00081F92"/>
    <w:rsid w:val="0009680D"/>
    <w:rsid w:val="000A3680"/>
    <w:rsid w:val="000B6057"/>
    <w:rsid w:val="000C2ADC"/>
    <w:rsid w:val="000C45B5"/>
    <w:rsid w:val="00107285"/>
    <w:rsid w:val="00116F0B"/>
    <w:rsid w:val="001375CB"/>
    <w:rsid w:val="00142133"/>
    <w:rsid w:val="00152E60"/>
    <w:rsid w:val="00181C26"/>
    <w:rsid w:val="0018710A"/>
    <w:rsid w:val="001962DA"/>
    <w:rsid w:val="001A1738"/>
    <w:rsid w:val="001A2972"/>
    <w:rsid w:val="001B021D"/>
    <w:rsid w:val="001B232B"/>
    <w:rsid w:val="001C4D5A"/>
    <w:rsid w:val="001D1F5D"/>
    <w:rsid w:val="001D42EA"/>
    <w:rsid w:val="001D4C54"/>
    <w:rsid w:val="001D7B4C"/>
    <w:rsid w:val="001E32A0"/>
    <w:rsid w:val="001F6F82"/>
    <w:rsid w:val="00203293"/>
    <w:rsid w:val="00216EE9"/>
    <w:rsid w:val="00234D5C"/>
    <w:rsid w:val="00235122"/>
    <w:rsid w:val="00246131"/>
    <w:rsid w:val="002607AF"/>
    <w:rsid w:val="00270699"/>
    <w:rsid w:val="0027700D"/>
    <w:rsid w:val="00293101"/>
    <w:rsid w:val="002A2D8B"/>
    <w:rsid w:val="002A4172"/>
    <w:rsid w:val="002A7164"/>
    <w:rsid w:val="002B45F8"/>
    <w:rsid w:val="002C07A8"/>
    <w:rsid w:val="002F145F"/>
    <w:rsid w:val="002F2C52"/>
    <w:rsid w:val="00317BA0"/>
    <w:rsid w:val="00355516"/>
    <w:rsid w:val="0035672F"/>
    <w:rsid w:val="00370F5E"/>
    <w:rsid w:val="00385206"/>
    <w:rsid w:val="00394ED7"/>
    <w:rsid w:val="003B2999"/>
    <w:rsid w:val="003B4A9C"/>
    <w:rsid w:val="003C12D4"/>
    <w:rsid w:val="003C2778"/>
    <w:rsid w:val="003C3BBC"/>
    <w:rsid w:val="004035CA"/>
    <w:rsid w:val="00415E03"/>
    <w:rsid w:val="00441402"/>
    <w:rsid w:val="00444DDA"/>
    <w:rsid w:val="004646A1"/>
    <w:rsid w:val="0046480A"/>
    <w:rsid w:val="004731A7"/>
    <w:rsid w:val="004825B9"/>
    <w:rsid w:val="0048554F"/>
    <w:rsid w:val="00494840"/>
    <w:rsid w:val="004A6C67"/>
    <w:rsid w:val="004C371C"/>
    <w:rsid w:val="004D0FB4"/>
    <w:rsid w:val="004E0A9E"/>
    <w:rsid w:val="004E3253"/>
    <w:rsid w:val="004E61C3"/>
    <w:rsid w:val="004E7124"/>
    <w:rsid w:val="004F7C3F"/>
    <w:rsid w:val="005045F1"/>
    <w:rsid w:val="0052057C"/>
    <w:rsid w:val="00523AD8"/>
    <w:rsid w:val="005317DE"/>
    <w:rsid w:val="00564266"/>
    <w:rsid w:val="0056477F"/>
    <w:rsid w:val="005800A4"/>
    <w:rsid w:val="005843EE"/>
    <w:rsid w:val="0058466B"/>
    <w:rsid w:val="00584842"/>
    <w:rsid w:val="005866AD"/>
    <w:rsid w:val="005A1803"/>
    <w:rsid w:val="005A3551"/>
    <w:rsid w:val="005D0B34"/>
    <w:rsid w:val="005D36CD"/>
    <w:rsid w:val="005E602E"/>
    <w:rsid w:val="005E608C"/>
    <w:rsid w:val="006012FD"/>
    <w:rsid w:val="0062024B"/>
    <w:rsid w:val="00627080"/>
    <w:rsid w:val="00631C8E"/>
    <w:rsid w:val="0063635E"/>
    <w:rsid w:val="006549C5"/>
    <w:rsid w:val="00657706"/>
    <w:rsid w:val="00674F13"/>
    <w:rsid w:val="006806F8"/>
    <w:rsid w:val="006911A0"/>
    <w:rsid w:val="006929FE"/>
    <w:rsid w:val="006A46E1"/>
    <w:rsid w:val="006A7D07"/>
    <w:rsid w:val="006B04E3"/>
    <w:rsid w:val="006C5477"/>
    <w:rsid w:val="006D2520"/>
    <w:rsid w:val="006D4851"/>
    <w:rsid w:val="006D5BD7"/>
    <w:rsid w:val="006E42C4"/>
    <w:rsid w:val="006F370C"/>
    <w:rsid w:val="00720041"/>
    <w:rsid w:val="007305FC"/>
    <w:rsid w:val="0074258D"/>
    <w:rsid w:val="007468CD"/>
    <w:rsid w:val="00755BE7"/>
    <w:rsid w:val="007602F1"/>
    <w:rsid w:val="00771F49"/>
    <w:rsid w:val="00775FC2"/>
    <w:rsid w:val="007765E8"/>
    <w:rsid w:val="00776A31"/>
    <w:rsid w:val="00785619"/>
    <w:rsid w:val="00793390"/>
    <w:rsid w:val="007B109C"/>
    <w:rsid w:val="007C296E"/>
    <w:rsid w:val="00817A7E"/>
    <w:rsid w:val="00826491"/>
    <w:rsid w:val="008445A2"/>
    <w:rsid w:val="00856124"/>
    <w:rsid w:val="00860A4A"/>
    <w:rsid w:val="00865E8B"/>
    <w:rsid w:val="00865F00"/>
    <w:rsid w:val="00881272"/>
    <w:rsid w:val="008831CB"/>
    <w:rsid w:val="00890885"/>
    <w:rsid w:val="008A1AAF"/>
    <w:rsid w:val="008C0FCA"/>
    <w:rsid w:val="008C1D11"/>
    <w:rsid w:val="008D72B7"/>
    <w:rsid w:val="00902A1B"/>
    <w:rsid w:val="00903975"/>
    <w:rsid w:val="00914F1F"/>
    <w:rsid w:val="00924BD5"/>
    <w:rsid w:val="00933245"/>
    <w:rsid w:val="00936429"/>
    <w:rsid w:val="00954105"/>
    <w:rsid w:val="0095673B"/>
    <w:rsid w:val="00973B21"/>
    <w:rsid w:val="00975136"/>
    <w:rsid w:val="00992507"/>
    <w:rsid w:val="00992EAA"/>
    <w:rsid w:val="009978FD"/>
    <w:rsid w:val="009B3C5B"/>
    <w:rsid w:val="009B6CB9"/>
    <w:rsid w:val="009C5595"/>
    <w:rsid w:val="009D14D9"/>
    <w:rsid w:val="009F40F3"/>
    <w:rsid w:val="009F464B"/>
    <w:rsid w:val="00A02411"/>
    <w:rsid w:val="00A0490F"/>
    <w:rsid w:val="00A238D6"/>
    <w:rsid w:val="00A40FDD"/>
    <w:rsid w:val="00A533E6"/>
    <w:rsid w:val="00A57164"/>
    <w:rsid w:val="00A9009E"/>
    <w:rsid w:val="00A90E3F"/>
    <w:rsid w:val="00A96CFC"/>
    <w:rsid w:val="00AA0668"/>
    <w:rsid w:val="00AA5DA5"/>
    <w:rsid w:val="00AE4108"/>
    <w:rsid w:val="00AF561B"/>
    <w:rsid w:val="00B03896"/>
    <w:rsid w:val="00B476BB"/>
    <w:rsid w:val="00B510A3"/>
    <w:rsid w:val="00B67003"/>
    <w:rsid w:val="00B67BFA"/>
    <w:rsid w:val="00B86202"/>
    <w:rsid w:val="00B94C00"/>
    <w:rsid w:val="00BA31B8"/>
    <w:rsid w:val="00BB26FE"/>
    <w:rsid w:val="00BB5D6A"/>
    <w:rsid w:val="00BB6A00"/>
    <w:rsid w:val="00C05F29"/>
    <w:rsid w:val="00C2053C"/>
    <w:rsid w:val="00C35227"/>
    <w:rsid w:val="00C4727E"/>
    <w:rsid w:val="00C73969"/>
    <w:rsid w:val="00C8455D"/>
    <w:rsid w:val="00C91BF7"/>
    <w:rsid w:val="00C9253B"/>
    <w:rsid w:val="00C94F86"/>
    <w:rsid w:val="00CA2083"/>
    <w:rsid w:val="00CA32A1"/>
    <w:rsid w:val="00CA3BE8"/>
    <w:rsid w:val="00CA692E"/>
    <w:rsid w:val="00CB03AB"/>
    <w:rsid w:val="00CB0D23"/>
    <w:rsid w:val="00CB26EC"/>
    <w:rsid w:val="00CB5402"/>
    <w:rsid w:val="00CF2DF6"/>
    <w:rsid w:val="00CF7289"/>
    <w:rsid w:val="00D13121"/>
    <w:rsid w:val="00D15C15"/>
    <w:rsid w:val="00D20A49"/>
    <w:rsid w:val="00D2571A"/>
    <w:rsid w:val="00D273DB"/>
    <w:rsid w:val="00D448F5"/>
    <w:rsid w:val="00D54B4F"/>
    <w:rsid w:val="00D60DA4"/>
    <w:rsid w:val="00D67CA8"/>
    <w:rsid w:val="00D764B6"/>
    <w:rsid w:val="00D91B48"/>
    <w:rsid w:val="00D93E8D"/>
    <w:rsid w:val="00DC7414"/>
    <w:rsid w:val="00DD3AD9"/>
    <w:rsid w:val="00DD4A7D"/>
    <w:rsid w:val="00DD5377"/>
    <w:rsid w:val="00DF11FB"/>
    <w:rsid w:val="00DF3156"/>
    <w:rsid w:val="00E20F59"/>
    <w:rsid w:val="00E26B65"/>
    <w:rsid w:val="00E27CA9"/>
    <w:rsid w:val="00E30B7C"/>
    <w:rsid w:val="00E365D8"/>
    <w:rsid w:val="00E366F9"/>
    <w:rsid w:val="00E36B46"/>
    <w:rsid w:val="00E579BA"/>
    <w:rsid w:val="00E60E52"/>
    <w:rsid w:val="00EB45B2"/>
    <w:rsid w:val="00EB4814"/>
    <w:rsid w:val="00EB7316"/>
    <w:rsid w:val="00ED35E1"/>
    <w:rsid w:val="00EE61C7"/>
    <w:rsid w:val="00EE6E5C"/>
    <w:rsid w:val="00F128FB"/>
    <w:rsid w:val="00F32815"/>
    <w:rsid w:val="00F37482"/>
    <w:rsid w:val="00F72339"/>
    <w:rsid w:val="00F72473"/>
    <w:rsid w:val="00F84133"/>
    <w:rsid w:val="00F949A0"/>
    <w:rsid w:val="00FA7E0B"/>
    <w:rsid w:val="00FB1E21"/>
    <w:rsid w:val="00FC0C7D"/>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paragraph" w:styleId="Heading3">
    <w:name w:val="heading 3"/>
    <w:basedOn w:val="Normal"/>
    <w:next w:val="Normal"/>
    <w:link w:val="Heading3Char"/>
    <w:qFormat/>
    <w:rsid w:val="00370F5E"/>
    <w:pPr>
      <w:keepNext/>
      <w:tabs>
        <w:tab w:val="left" w:pos="5760"/>
      </w:tabs>
      <w:spacing w:after="0" w:line="240" w:lineRule="auto"/>
      <w:ind w:left="0"/>
      <w:jc w:val="center"/>
      <w:outlineLvl w:val="2"/>
    </w:pPr>
    <w:rPr>
      <w:rFonts w:ascii="Arial" w:eastAsia="Times New Roman" w:hAnsi="Arial" w:cs="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qFormat/>
    <w:rsid w:val="00A238D6"/>
    <w:pPr>
      <w:ind w:left="720"/>
      <w:contextualSpacing/>
    </w:pPr>
  </w:style>
  <w:style w:type="character" w:customStyle="1" w:styleId="Heading1Char">
    <w:name w:val="Heading 1 Char"/>
    <w:basedOn w:val="DefaultParagraphFont"/>
    <w:link w:val="Heading1"/>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nhideWhenUsed/>
    <w:rsid w:val="000B6057"/>
    <w:pPr>
      <w:spacing w:after="0" w:line="240" w:lineRule="auto"/>
    </w:pPr>
    <w:rPr>
      <w:sz w:val="20"/>
      <w:szCs w:val="20"/>
    </w:rPr>
  </w:style>
  <w:style w:type="character" w:customStyle="1" w:styleId="FootnoteTextChar">
    <w:name w:val="Footnote Text Char"/>
    <w:basedOn w:val="DefaultParagraphFont"/>
    <w:link w:val="FootnoteText"/>
    <w:rsid w:val="000B6057"/>
    <w:rPr>
      <w:rFonts w:ascii="Calibri" w:eastAsia="Calibri" w:hAnsi="Calibri" w:cs="Calibri"/>
      <w:color w:val="000000"/>
      <w:sz w:val="20"/>
      <w:szCs w:val="20"/>
      <w:lang w:eastAsia="en-ZA"/>
    </w:rPr>
  </w:style>
  <w:style w:type="character" w:styleId="FootnoteReference">
    <w:name w:val="footnote reference"/>
    <w:basedOn w:val="DefaultParagraphFont"/>
    <w:unhideWhenUsed/>
    <w:rsid w:val="000B6057"/>
    <w:rPr>
      <w:vertAlign w:val="superscript"/>
    </w:rPr>
  </w:style>
  <w:style w:type="character" w:styleId="Hyperlink">
    <w:name w:val="Hyperlink"/>
    <w:basedOn w:val="DefaultParagraphFont"/>
    <w:uiPriority w:val="99"/>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rsid w:val="003B2999"/>
    <w:rPr>
      <w:rFonts w:ascii="Calibri" w:eastAsia="Calibri" w:hAnsi="Calibri" w:cs="Calibri"/>
      <w:color w:val="000000"/>
      <w:sz w:val="24"/>
      <w:lang w:eastAsia="en-ZA"/>
    </w:rPr>
  </w:style>
  <w:style w:type="paragraph" w:styleId="Footer">
    <w:name w:val="footer"/>
    <w:basedOn w:val="Normal"/>
    <w:link w:val="FooterChar"/>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rsid w:val="003B2999"/>
    <w:rPr>
      <w:rFonts w:ascii="Calibri" w:eastAsia="Calibri" w:hAnsi="Calibri" w:cs="Calibri"/>
      <w:color w:val="000000"/>
      <w:sz w:val="24"/>
      <w:lang w:eastAsia="en-ZA"/>
    </w:rPr>
  </w:style>
  <w:style w:type="paragraph" w:styleId="BalloonText">
    <w:name w:val="Balloon Text"/>
    <w:basedOn w:val="Normal"/>
    <w:link w:val="BalloonTextChar"/>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character" w:customStyle="1" w:styleId="Heading3Char">
    <w:name w:val="Heading 3 Char"/>
    <w:basedOn w:val="DefaultParagraphFont"/>
    <w:link w:val="Heading3"/>
    <w:rsid w:val="00370F5E"/>
    <w:rPr>
      <w:rFonts w:ascii="Arial" w:eastAsia="Times New Roman" w:hAnsi="Arial" w:cs="Arial"/>
      <w:b/>
      <w:bCs/>
      <w:sz w:val="20"/>
      <w:szCs w:val="20"/>
    </w:rPr>
  </w:style>
  <w:style w:type="character" w:styleId="LineNumber">
    <w:name w:val="line number"/>
    <w:basedOn w:val="DefaultParagraphFont"/>
    <w:rsid w:val="00370F5E"/>
  </w:style>
  <w:style w:type="character" w:styleId="PageNumber">
    <w:name w:val="page number"/>
    <w:basedOn w:val="DefaultParagraphFont"/>
    <w:rsid w:val="00370F5E"/>
  </w:style>
  <w:style w:type="paragraph" w:styleId="Quote">
    <w:name w:val="Quote"/>
    <w:basedOn w:val="Normal"/>
    <w:link w:val="QuoteChar"/>
    <w:qFormat/>
    <w:rsid w:val="00370F5E"/>
    <w:pPr>
      <w:widowControl w:val="0"/>
      <w:tabs>
        <w:tab w:val="left" w:pos="851"/>
        <w:tab w:val="left" w:pos="1418"/>
        <w:tab w:val="center" w:pos="4111"/>
        <w:tab w:val="right" w:pos="8222"/>
      </w:tabs>
      <w:spacing w:after="0" w:line="480" w:lineRule="auto"/>
      <w:ind w:left="1134" w:right="1134"/>
    </w:pPr>
    <w:rPr>
      <w:rFonts w:ascii="Arial" w:eastAsia="Times New Roman" w:hAnsi="Arial" w:cs="Times New Roman"/>
      <w:noProof/>
      <w:color w:val="auto"/>
      <w:spacing w:val="26"/>
      <w:w w:val="104"/>
      <w:kern w:val="12"/>
      <w:szCs w:val="24"/>
      <w:lang w:val="en-GB" w:eastAsia="en-US"/>
    </w:rPr>
  </w:style>
  <w:style w:type="character" w:customStyle="1" w:styleId="QuoteChar">
    <w:name w:val="Quote Char"/>
    <w:basedOn w:val="DefaultParagraphFont"/>
    <w:link w:val="Quote"/>
    <w:rsid w:val="00370F5E"/>
    <w:rPr>
      <w:rFonts w:ascii="Arial" w:eastAsia="Times New Roman" w:hAnsi="Arial" w:cs="Times New Roman"/>
      <w:noProof/>
      <w:spacing w:val="26"/>
      <w:w w:val="104"/>
      <w:kern w:val="12"/>
      <w:sz w:val="24"/>
      <w:szCs w:val="24"/>
      <w:lang w:val="en-GB"/>
    </w:rPr>
  </w:style>
  <w:style w:type="paragraph" w:customStyle="1" w:styleId="StyleJustifiedLinespacingDouble">
    <w:name w:val="Style Justified Line spacing:  Double"/>
    <w:basedOn w:val="Normal"/>
    <w:rsid w:val="00370F5E"/>
    <w:pPr>
      <w:widowControl w:val="0"/>
      <w:spacing w:after="0" w:line="480" w:lineRule="auto"/>
      <w:ind w:left="0"/>
    </w:pPr>
    <w:rPr>
      <w:rFonts w:ascii="Arial" w:eastAsia="Times New Roman" w:hAnsi="Arial" w:cs="Times New Roman"/>
      <w:noProof/>
      <w:color w:val="auto"/>
      <w:w w:val="104"/>
      <w:kern w:val="2"/>
      <w:szCs w:val="20"/>
      <w:lang w:eastAsia="en-US"/>
    </w:rPr>
  </w:style>
  <w:style w:type="numbering" w:customStyle="1" w:styleId="NoList1">
    <w:name w:val="No List1"/>
    <w:next w:val="NoList"/>
    <w:semiHidden/>
    <w:rsid w:val="00370F5E"/>
  </w:style>
  <w:style w:type="paragraph" w:styleId="Title">
    <w:name w:val="Title"/>
    <w:basedOn w:val="Normal"/>
    <w:link w:val="TitleChar"/>
    <w:qFormat/>
    <w:rsid w:val="00370F5E"/>
    <w:pPr>
      <w:widowControl w:val="0"/>
      <w:tabs>
        <w:tab w:val="left" w:pos="4140"/>
      </w:tabs>
      <w:spacing w:after="0" w:line="480" w:lineRule="auto"/>
      <w:ind w:left="0"/>
      <w:jc w:val="center"/>
    </w:pPr>
    <w:rPr>
      <w:rFonts w:ascii="Arial" w:eastAsia="Times New Roman" w:hAnsi="Arial" w:cs="Times New Roman"/>
      <w:color w:val="auto"/>
      <w:szCs w:val="24"/>
      <w:u w:val="single"/>
      <w:lang w:eastAsia="x-none" w:bidi="he-IL"/>
    </w:rPr>
  </w:style>
  <w:style w:type="character" w:customStyle="1" w:styleId="TitleChar">
    <w:name w:val="Title Char"/>
    <w:basedOn w:val="DefaultParagraphFont"/>
    <w:link w:val="Title"/>
    <w:rsid w:val="00370F5E"/>
    <w:rPr>
      <w:rFonts w:ascii="Arial" w:eastAsia="Times New Roman" w:hAnsi="Arial" w:cs="Times New Roman"/>
      <w:sz w:val="24"/>
      <w:szCs w:val="24"/>
      <w:u w:val="single"/>
      <w:lang w:eastAsia="x-none" w:bidi="he-IL"/>
    </w:rPr>
  </w:style>
  <w:style w:type="paragraph" w:customStyle="1" w:styleId="Style1">
    <w:name w:val="Style1"/>
    <w:basedOn w:val="Normal"/>
    <w:autoRedefine/>
    <w:rsid w:val="00370F5E"/>
    <w:pPr>
      <w:widowControl w:val="0"/>
      <w:spacing w:after="0" w:line="480" w:lineRule="auto"/>
      <w:ind w:left="1080" w:right="1179"/>
    </w:pPr>
    <w:rPr>
      <w:rFonts w:ascii="Arial" w:eastAsia="Times New Roman" w:hAnsi="Arial" w:cs="Arial"/>
      <w:color w:val="auto"/>
      <w:spacing w:val="6"/>
      <w:w w:val="104"/>
      <w:szCs w:val="24"/>
      <w:lang w:eastAsia="en-US"/>
    </w:rPr>
  </w:style>
  <w:style w:type="paragraph" w:customStyle="1" w:styleId="Style2">
    <w:name w:val="Style2"/>
    <w:basedOn w:val="Normal"/>
    <w:rsid w:val="00370F5E"/>
    <w:pPr>
      <w:spacing w:after="0" w:line="480" w:lineRule="auto"/>
      <w:ind w:left="1080" w:right="1179"/>
    </w:pPr>
    <w:rPr>
      <w:rFonts w:ascii="Arial" w:eastAsia="Times New Roman" w:hAnsi="Arial" w:cs="Arial"/>
      <w:color w:val="auto"/>
      <w:spacing w:val="6"/>
      <w:w w:val="104"/>
      <w:szCs w:val="24"/>
      <w:lang w:eastAsia="en-US"/>
    </w:rPr>
  </w:style>
  <w:style w:type="paragraph" w:customStyle="1" w:styleId="Style3">
    <w:name w:val="Style3"/>
    <w:basedOn w:val="Normal"/>
    <w:rsid w:val="00370F5E"/>
    <w:pPr>
      <w:spacing w:after="0" w:line="480" w:lineRule="auto"/>
      <w:ind w:left="1260" w:right="1179"/>
      <w:jc w:val="left"/>
    </w:pPr>
    <w:rPr>
      <w:rFonts w:ascii="Arial" w:eastAsia="Times New Roman" w:hAnsi="Arial" w:cs="Arial"/>
      <w:color w:val="auto"/>
      <w:spacing w:val="12"/>
      <w:w w:val="104"/>
      <w:szCs w:val="24"/>
      <w:lang w:eastAsia="en-US"/>
    </w:rPr>
  </w:style>
  <w:style w:type="paragraph" w:customStyle="1" w:styleId="Style4">
    <w:name w:val="Style4"/>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5">
    <w:name w:val="Style5"/>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6">
    <w:name w:val="Style6"/>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7">
    <w:name w:val="Style7"/>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8">
    <w:name w:val="Style8"/>
    <w:basedOn w:val="Normal"/>
    <w:autoRedefine/>
    <w:rsid w:val="00370F5E"/>
    <w:pPr>
      <w:widowControl w:val="0"/>
      <w:spacing w:after="0" w:line="480" w:lineRule="auto"/>
      <w:ind w:left="0"/>
    </w:pPr>
    <w:rPr>
      <w:rFonts w:ascii="Arial" w:eastAsia="Times New Roman" w:hAnsi="Arial" w:cs="Arial"/>
      <w:b/>
      <w:color w:val="auto"/>
      <w:spacing w:val="12"/>
      <w:w w:val="104"/>
      <w:szCs w:val="24"/>
      <w:u w:val="single"/>
      <w:lang w:eastAsia="en-US"/>
    </w:rPr>
  </w:style>
  <w:style w:type="paragraph" w:customStyle="1" w:styleId="Style9">
    <w:name w:val="Style9"/>
    <w:basedOn w:val="Normal"/>
    <w:autoRedefine/>
    <w:rsid w:val="00370F5E"/>
    <w:pPr>
      <w:widowControl w:val="0"/>
      <w:spacing w:after="0" w:line="480" w:lineRule="auto"/>
      <w:ind w:left="0"/>
    </w:pPr>
    <w:rPr>
      <w:rFonts w:ascii="Arial" w:eastAsia="Times New Roman" w:hAnsi="Arial" w:cs="Arial"/>
      <w:color w:val="auto"/>
      <w:spacing w:val="12"/>
      <w:w w:val="10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79940025">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3B92-E4E9-4BDA-A18F-31532288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2023-06-12T10:42:00Z</cp:lastPrinted>
  <dcterms:created xsi:type="dcterms:W3CDTF">2023-07-05T10:39:00Z</dcterms:created>
  <dcterms:modified xsi:type="dcterms:W3CDTF">2023-07-05T10:40:00Z</dcterms:modified>
</cp:coreProperties>
</file>