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B39D0" w14:textId="77777777" w:rsidR="000D6D36" w:rsidRDefault="000D6D36" w:rsidP="000D6D36">
      <w:pPr>
        <w:pStyle w:val="LegalTitle"/>
        <w:spacing w:after="120" w:line="360" w:lineRule="auto"/>
        <w:rPr>
          <w:u w:val="single"/>
        </w:rPr>
      </w:pPr>
      <w:r>
        <w:rPr>
          <w:u w:val="single"/>
        </w:rPr>
        <w:t>REPUBLIC OF SOUTH AFRICA</w:t>
      </w:r>
    </w:p>
    <w:p w14:paraId="6975A292" w14:textId="77777777" w:rsidR="000C3AF7" w:rsidRPr="000C3AF7" w:rsidRDefault="00E30837" w:rsidP="00027B5A">
      <w:pPr>
        <w:pStyle w:val="LegalNormal"/>
        <w:spacing w:after="0" w:line="360" w:lineRule="auto"/>
        <w:jc w:val="center"/>
      </w:pPr>
      <w:r>
        <w:rPr>
          <w:noProof/>
          <w:lang w:val="en-ZA" w:eastAsia="en-ZA"/>
        </w:rPr>
        <w:drawing>
          <wp:inline distT="0" distB="0" distL="0" distR="0" wp14:anchorId="053EBF2F" wp14:editId="533910C4">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0EABC37" w14:textId="77777777" w:rsidR="00781994" w:rsidRDefault="00781994" w:rsidP="00C33E77">
      <w:pPr>
        <w:pStyle w:val="LegalTitle"/>
        <w:spacing w:after="0" w:line="360" w:lineRule="auto"/>
        <w:rPr>
          <w:u w:val="single"/>
        </w:rPr>
      </w:pPr>
      <w:r>
        <w:rPr>
          <w:u w:val="single"/>
        </w:rPr>
        <w:t>IN THE HIGH COURT OF SOUTH AFRICA</w:t>
      </w:r>
    </w:p>
    <w:p w14:paraId="28436984" w14:textId="77777777"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4F450CDD" wp14:editId="270B5613">
                <wp:simplePos x="0" y="0"/>
                <wp:positionH relativeFrom="column">
                  <wp:posOffset>-51435</wp:posOffset>
                </wp:positionH>
                <wp:positionV relativeFrom="paragraph">
                  <wp:posOffset>274955</wp:posOffset>
                </wp:positionV>
                <wp:extent cx="2933700" cy="533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3400"/>
                        </a:xfrm>
                        <a:prstGeom prst="rect">
                          <a:avLst/>
                        </a:prstGeom>
                        <a:solidFill>
                          <a:srgbClr val="FFFFFF"/>
                        </a:solidFill>
                        <a:ln w="9525">
                          <a:solidFill>
                            <a:srgbClr val="000000"/>
                          </a:solidFill>
                          <a:miter lim="800000"/>
                          <a:headEnd/>
                          <a:tailEnd/>
                        </a:ln>
                      </wps:spPr>
                      <wps:txbx>
                        <w:txbxContent>
                          <w:p w14:paraId="322EBABD" w14:textId="325DB0A7" w:rsidR="00236346" w:rsidRPr="00D40FF0" w:rsidRDefault="005B0288" w:rsidP="005B0288">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(1)</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REPORTABLE</w:t>
                            </w:r>
                          </w:p>
                          <w:p w14:paraId="45BEAB3E" w14:textId="0544903A" w:rsidR="00236346" w:rsidRPr="00D40FF0" w:rsidRDefault="005B0288" w:rsidP="005B0288">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(2)</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w:t>
                            </w:r>
                            <w:r w:rsidR="00236346" w:rsidRPr="00D40FF0">
                              <w:rPr>
                                <w:rFonts w:ascii="Century Gothic" w:hAnsi="Century Gothic"/>
                                <w:b/>
                                <w:bCs/>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50CDD" id="_x0000_t202" coordsize="21600,21600" o:spt="202" path="m,l,21600r21600,l21600,xe">
                <v:stroke joinstyle="miter"/>
                <v:path gradientshapeok="t" o:connecttype="rect"/>
              </v:shapetype>
              <v:shape id="Text Box 1" o:spid="_x0000_s1026" type="#_x0000_t202" style="position:absolute;left:0;text-align:left;margin-left:-4.05pt;margin-top:21.65pt;width:23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">
                <v:textbox>
                  <w:txbxContent>
                    <w:p w14:paraId="322EBABD" w14:textId="325DB0A7" w:rsidR="00236346" w:rsidRPr="00D40FF0" w:rsidRDefault="005B0288" w:rsidP="005B0288">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(1)</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REPORTABLE</w:t>
                      </w:r>
                    </w:p>
                    <w:p w14:paraId="45BEAB3E" w14:textId="0544903A" w:rsidR="00236346" w:rsidRPr="00D40FF0" w:rsidRDefault="005B0288" w:rsidP="005B0288">
                      <w:pPr>
                        <w:tabs>
                          <w:tab w:val="left" w:pos="900"/>
                        </w:tabs>
                        <w:suppressAutoHyphens w:val="0"/>
                        <w:ind w:left="900" w:hanging="720"/>
                        <w:rPr>
                          <w:rFonts w:ascii="Century Gothic" w:hAnsi="Century Gothic"/>
                          <w:b/>
                          <w:bCs/>
                          <w:sz w:val="20"/>
                          <w:szCs w:val="20"/>
                        </w:rPr>
                      </w:pPr>
                      <w:r w:rsidRPr="00D40FF0">
                        <w:rPr>
                          <w:rFonts w:ascii="Century Gothic" w:hAnsi="Century Gothic"/>
                          <w:b/>
                          <w:bCs/>
                          <w:sz w:val="20"/>
                          <w:szCs w:val="20"/>
                        </w:rPr>
                        <w:t>(2)</w:t>
                      </w:r>
                      <w:r w:rsidRPr="00D40FF0">
                        <w:rPr>
                          <w:rFonts w:ascii="Century Gothic" w:hAnsi="Century Gothic"/>
                          <w:b/>
                          <w:bCs/>
                          <w:sz w:val="20"/>
                          <w:szCs w:val="20"/>
                        </w:rPr>
                        <w:tab/>
                      </w:r>
                      <w:r w:rsidR="00D40FF0" w:rsidRPr="00D40FF0">
                        <w:rPr>
                          <w:rFonts w:ascii="Century Gothic" w:hAnsi="Century Gothic"/>
                          <w:b/>
                          <w:bCs/>
                          <w:sz w:val="20"/>
                          <w:szCs w:val="20"/>
                          <w:u w:val="single"/>
                        </w:rPr>
                        <w:t>NOT</w:t>
                      </w:r>
                      <w:r w:rsidR="00D40FF0">
                        <w:rPr>
                          <w:rFonts w:ascii="Century Gothic" w:hAnsi="Century Gothic"/>
                          <w:b/>
                          <w:bCs/>
                          <w:sz w:val="20"/>
                          <w:szCs w:val="20"/>
                        </w:rPr>
                        <w:t xml:space="preserve"> </w:t>
                      </w:r>
                      <w:r w:rsidR="00236346" w:rsidRPr="00D40FF0">
                        <w:rPr>
                          <w:rFonts w:ascii="Century Gothic" w:hAnsi="Century Gothic"/>
                          <w:b/>
                          <w:bCs/>
                          <w:sz w:val="20"/>
                          <w:szCs w:val="20"/>
                        </w:rPr>
                        <w:t>OF INTEREST TO OTHER JUDGES</w:t>
                      </w:r>
                    </w:p>
                  </w:txbxContent>
                </v:textbox>
              </v:shape>
            </w:pict>
          </mc:Fallback>
        </mc:AlternateContent>
      </w:r>
      <w:r w:rsidR="00520591" w:rsidRPr="00520591">
        <w:rPr>
          <w:u w:val="single"/>
        </w:rPr>
        <w:t xml:space="preserve">GAUTENG DIVISION, </w:t>
      </w:r>
      <w:r w:rsidR="00027B5A">
        <w:rPr>
          <w:u w:val="single"/>
        </w:rPr>
        <w:t>JOHANNESBURG</w:t>
      </w:r>
    </w:p>
    <w:p w14:paraId="3E168C21" w14:textId="4A9D3306" w:rsidR="007C5FB4" w:rsidRDefault="007C5FB4" w:rsidP="007C5FB4">
      <w:pPr>
        <w:pStyle w:val="LegalAnnexure"/>
        <w:spacing w:before="840" w:after="0" w:line="360" w:lineRule="auto"/>
      </w:pPr>
      <w:r>
        <w:rPr>
          <w:u w:val="single"/>
        </w:rPr>
        <w:t>CASE NO</w:t>
      </w:r>
      <w:r>
        <w:t xml:space="preserve">: </w:t>
      </w:r>
      <w:r>
        <w:rPr>
          <w:b w:val="0"/>
        </w:rPr>
        <w:t>2023-020892</w:t>
      </w:r>
    </w:p>
    <w:p w14:paraId="3D33B722" w14:textId="5E7035E7" w:rsidR="00934E22" w:rsidRDefault="00934E22" w:rsidP="007C5FB4">
      <w:pPr>
        <w:pStyle w:val="LegalAnnexure"/>
        <w:spacing w:after="240" w:line="360" w:lineRule="auto"/>
      </w:pPr>
      <w:r>
        <w:rPr>
          <w:u w:val="single"/>
        </w:rPr>
        <w:t>DATE</w:t>
      </w:r>
      <w:r>
        <w:t xml:space="preserve">: </w:t>
      </w:r>
      <w:r w:rsidR="00DF2FD7">
        <w:rPr>
          <w:b w:val="0"/>
        </w:rPr>
        <w:t>26</w:t>
      </w:r>
      <w:r w:rsidR="00DF2FD7" w:rsidRPr="00DF2FD7">
        <w:rPr>
          <w:b w:val="0"/>
          <w:vertAlign w:val="superscript"/>
        </w:rPr>
        <w:t>th</w:t>
      </w:r>
      <w:r w:rsidR="00DF2FD7">
        <w:rPr>
          <w:b w:val="0"/>
        </w:rPr>
        <w:t xml:space="preserve"> </w:t>
      </w:r>
      <w:r w:rsidR="005B5E73">
        <w:rPr>
          <w:b w:val="0"/>
        </w:rPr>
        <w:t>march</w:t>
      </w:r>
      <w:r>
        <w:rPr>
          <w:b w:val="0"/>
        </w:rPr>
        <w:t xml:space="preserve"> 202</w:t>
      </w:r>
      <w:r w:rsidR="00864E4C">
        <w:rPr>
          <w:b w:val="0"/>
        </w:rPr>
        <w:t>4</w:t>
      </w:r>
    </w:p>
    <w:p w14:paraId="5E380E1C" w14:textId="77777777" w:rsidR="00934E22" w:rsidRDefault="00934E22" w:rsidP="00934E22">
      <w:pPr>
        <w:pStyle w:val="LegalNormal"/>
        <w:spacing w:after="120" w:line="360" w:lineRule="auto"/>
      </w:pPr>
      <w:bookmarkStart w:id="0" w:name="_Hlk152267406"/>
      <w:r>
        <w:t>In the matter between:</w:t>
      </w:r>
    </w:p>
    <w:p w14:paraId="27823B30" w14:textId="7C953AB2" w:rsidR="00934E22" w:rsidRDefault="005B5E73" w:rsidP="00934E22">
      <w:pPr>
        <w:pStyle w:val="LegalPlainDef"/>
        <w:spacing w:after="120" w:line="360" w:lineRule="auto"/>
      </w:pPr>
      <w:r>
        <w:rPr>
          <w:b/>
          <w:bCs/>
          <w:lang w:val="en-US"/>
        </w:rPr>
        <w:t>BIDVEST</w:t>
      </w:r>
      <w:r w:rsidR="00864E4C">
        <w:rPr>
          <w:b/>
          <w:bCs/>
          <w:lang w:val="en-US"/>
        </w:rPr>
        <w:t xml:space="preserve"> BANK</w:t>
      </w:r>
      <w:r w:rsidR="00934E22">
        <w:rPr>
          <w:b/>
        </w:rPr>
        <w:t xml:space="preserve"> LIMITED</w:t>
      </w:r>
      <w:r w:rsidR="00934E22">
        <w:rPr>
          <w:b/>
        </w:rPr>
        <w:tab/>
      </w:r>
      <w:r w:rsidR="00934E22">
        <w:t>Applicant</w:t>
      </w:r>
    </w:p>
    <w:p w14:paraId="4A25734F" w14:textId="77777777" w:rsidR="00934E22" w:rsidRDefault="00934E22" w:rsidP="00934E22">
      <w:pPr>
        <w:pStyle w:val="LegalNormal"/>
        <w:spacing w:after="120" w:line="360" w:lineRule="auto"/>
      </w:pPr>
      <w:r>
        <w:t>And</w:t>
      </w:r>
    </w:p>
    <w:p w14:paraId="19C5737F" w14:textId="0EDE8848" w:rsidR="00934E22" w:rsidRDefault="005B5E73" w:rsidP="00864E4C">
      <w:pPr>
        <w:pStyle w:val="LegalPlainDef"/>
        <w:spacing w:after="120" w:line="360" w:lineRule="auto"/>
      </w:pPr>
      <w:r>
        <w:rPr>
          <w:b/>
          <w:bCs/>
          <w:lang w:val="en-US"/>
        </w:rPr>
        <w:t>EQ EMPORIUM (PTY) LIMITED</w:t>
      </w:r>
      <w:r w:rsidR="00934E22">
        <w:rPr>
          <w:b/>
          <w:bCs/>
          <w:lang w:val="en-US"/>
        </w:rPr>
        <w:t xml:space="preserve"> </w:t>
      </w:r>
      <w:r w:rsidR="00934E22">
        <w:rPr>
          <w:b/>
        </w:rPr>
        <w:tab/>
      </w:r>
      <w:r w:rsidR="00934E22">
        <w:t>Respondent</w:t>
      </w:r>
    </w:p>
    <w:bookmarkEnd w:id="0"/>
    <w:p w14:paraId="3060EA5D" w14:textId="77777777" w:rsidR="006B6764" w:rsidRDefault="006B6764" w:rsidP="006B6764">
      <w:pPr>
        <w:pStyle w:val="LegalNormal"/>
        <w:pBdr>
          <w:bottom w:val="single" w:sz="6" w:space="1" w:color="auto"/>
        </w:pBdr>
        <w:spacing w:line="240" w:lineRule="auto"/>
      </w:pPr>
    </w:p>
    <w:p w14:paraId="110BB4C6" w14:textId="0584984D" w:rsidR="00F2732E" w:rsidRDefault="00F2732E" w:rsidP="00F2732E">
      <w:pPr>
        <w:suppressAutoHyphens w:val="0"/>
        <w:spacing w:after="24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bookmarkStart w:id="1" w:name="_Hlk152267953"/>
      <w:r w:rsidR="005B5E73">
        <w:rPr>
          <w:rFonts w:cs="Arial"/>
          <w:i/>
          <w:lang w:val="en-ZA" w:eastAsia="en-US"/>
        </w:rPr>
        <w:t>Bidvest</w:t>
      </w:r>
      <w:r w:rsidR="00864E4C">
        <w:rPr>
          <w:rFonts w:cs="Arial"/>
          <w:i/>
          <w:lang w:val="en-ZA" w:eastAsia="en-US"/>
        </w:rPr>
        <w:t xml:space="preserve"> Bank v </w:t>
      </w:r>
      <w:r w:rsidR="005B5E73">
        <w:rPr>
          <w:rFonts w:cs="Arial"/>
          <w:i/>
          <w:lang w:val="en-ZA" w:eastAsia="en-US"/>
        </w:rPr>
        <w:t>EQ Emporium</w:t>
      </w:r>
      <w:r>
        <w:rPr>
          <w:rFonts w:cs="Arial"/>
          <w:i/>
          <w:lang w:val="en-ZA" w:eastAsia="en-US"/>
        </w:rPr>
        <w:t xml:space="preserve"> (2023-</w:t>
      </w:r>
      <w:r w:rsidR="005B5E73">
        <w:rPr>
          <w:rFonts w:cs="Arial"/>
          <w:i/>
          <w:lang w:val="en-ZA" w:eastAsia="en-US"/>
        </w:rPr>
        <w:t>020892</w:t>
      </w:r>
      <w:r>
        <w:rPr>
          <w:rFonts w:cs="Arial"/>
          <w:i/>
          <w:lang w:val="en-ZA" w:eastAsia="en-US"/>
        </w:rPr>
        <w:t>)</w:t>
      </w:r>
      <w:bookmarkEnd w:id="1"/>
      <w:r w:rsidR="005B5E73">
        <w:rPr>
          <w:rFonts w:cs="Arial"/>
          <w:i/>
          <w:lang w:val="en-ZA" w:eastAsia="en-US"/>
        </w:rPr>
        <w:t xml:space="preserve"> </w:t>
      </w:r>
      <w:r>
        <w:rPr>
          <w:rFonts w:cs="Arial"/>
          <w:b/>
          <w:lang w:val="en-ZA" w:eastAsia="en-US"/>
        </w:rPr>
        <w:t>[202</w:t>
      </w:r>
      <w:r w:rsidR="00864E4C">
        <w:rPr>
          <w:rFonts w:cs="Arial"/>
          <w:b/>
          <w:lang w:val="en-ZA" w:eastAsia="en-US"/>
        </w:rPr>
        <w:t>4</w:t>
      </w:r>
      <w:r>
        <w:rPr>
          <w:rFonts w:cs="Arial"/>
          <w:b/>
          <w:lang w:val="en-ZA" w:eastAsia="en-US"/>
        </w:rPr>
        <w:t xml:space="preserve">] ZAGPJHC ---- </w:t>
      </w:r>
      <w:r>
        <w:rPr>
          <w:rFonts w:cs="Arial"/>
          <w:lang w:val="en-ZA" w:eastAsia="en-US"/>
        </w:rPr>
        <w:t>(</w:t>
      </w:r>
      <w:r w:rsidR="00DF2FD7">
        <w:rPr>
          <w:rFonts w:cs="Arial"/>
          <w:lang w:val="en-ZA" w:eastAsia="en-US"/>
        </w:rPr>
        <w:t>26</w:t>
      </w:r>
      <w:r>
        <w:rPr>
          <w:rFonts w:cs="Arial"/>
          <w:lang w:val="en-ZA" w:eastAsia="en-US"/>
        </w:rPr>
        <w:t xml:space="preserve"> </w:t>
      </w:r>
      <w:r w:rsidR="005B5E73">
        <w:rPr>
          <w:rFonts w:cs="Arial"/>
          <w:lang w:val="en-ZA" w:eastAsia="en-US"/>
        </w:rPr>
        <w:t>March</w:t>
      </w:r>
      <w:r w:rsidR="00864E4C">
        <w:rPr>
          <w:rFonts w:cs="Arial"/>
          <w:lang w:val="en-ZA" w:eastAsia="en-US"/>
        </w:rPr>
        <w:t xml:space="preserve"> 2024</w:t>
      </w:r>
      <w:r>
        <w:rPr>
          <w:rFonts w:cs="Arial"/>
          <w:lang w:val="en-ZA" w:eastAsia="en-US"/>
        </w:rPr>
        <w:t>)</w:t>
      </w:r>
      <w:r>
        <w:rPr>
          <w:rFonts w:cs="Arial"/>
          <w:b/>
          <w:lang w:val="en-ZA" w:eastAsia="en-US"/>
        </w:rPr>
        <w:t xml:space="preserve"> </w:t>
      </w:r>
      <w:r>
        <w:rPr>
          <w:rFonts w:cs="Arial"/>
          <w:i/>
          <w:lang w:val="en-ZA" w:eastAsia="en-US"/>
        </w:rPr>
        <w:t xml:space="preserve"> </w:t>
      </w:r>
    </w:p>
    <w:p w14:paraId="0922D23F" w14:textId="77777777" w:rsidR="00DA3FFC" w:rsidRPr="00DA3FFC" w:rsidRDefault="00DA3FFC" w:rsidP="00C54E42">
      <w:pPr>
        <w:suppressAutoHyphens w:val="0"/>
        <w:spacing w:line="360" w:lineRule="auto"/>
        <w:ind w:left="1418" w:hanging="1418"/>
        <w:rPr>
          <w:rFonts w:cs="Arial"/>
          <w:lang w:val="en-ZA" w:eastAsia="en-US"/>
        </w:rPr>
      </w:pPr>
      <w:r w:rsidRPr="00DA3FFC">
        <w:rPr>
          <w:rFonts w:cs="Arial"/>
          <w:b/>
          <w:bCs/>
          <w:lang w:val="en-ZA" w:eastAsia="en-US"/>
        </w:rPr>
        <w:t>Coram:</w:t>
      </w:r>
      <w:r>
        <w:rPr>
          <w:rFonts w:cs="Arial"/>
          <w:lang w:val="en-ZA" w:eastAsia="en-US"/>
        </w:rPr>
        <w:tab/>
      </w:r>
      <w:r>
        <w:rPr>
          <w:rFonts w:cs="Arial"/>
          <w:lang w:val="en-ZA" w:eastAsia="en-US"/>
        </w:rPr>
        <w:tab/>
      </w:r>
      <w:r w:rsidR="007A7170">
        <w:rPr>
          <w:rFonts w:cs="Arial"/>
          <w:lang w:val="en-ZA" w:eastAsia="en-US"/>
        </w:rPr>
        <w:t>Adams J</w:t>
      </w:r>
    </w:p>
    <w:p w14:paraId="17E864D9" w14:textId="6437023C" w:rsidR="00DA3FFC" w:rsidRPr="00DA3FFC" w:rsidRDefault="00DA3FFC" w:rsidP="00C54E42">
      <w:pPr>
        <w:suppressAutoHyphens w:val="0"/>
        <w:spacing w:line="360" w:lineRule="auto"/>
        <w:ind w:left="1418" w:hanging="1418"/>
        <w:rPr>
          <w:rFonts w:cs="Arial"/>
          <w:b/>
          <w:lang w:val="en-ZA" w:eastAsia="en-US"/>
        </w:rPr>
      </w:pPr>
      <w:r w:rsidRPr="00DA3FFC">
        <w:rPr>
          <w:rFonts w:cs="Arial"/>
          <w:b/>
          <w:bCs/>
          <w:lang w:val="en-ZA" w:eastAsia="en-US"/>
        </w:rPr>
        <w:t>Heard</w:t>
      </w:r>
      <w:r w:rsidRPr="00DA3FFC">
        <w:rPr>
          <w:rFonts w:cs="Arial"/>
          <w:lang w:val="en-ZA" w:eastAsia="en-US"/>
        </w:rPr>
        <w:t>:</w:t>
      </w:r>
      <w:r w:rsidRPr="00DA3FFC">
        <w:rPr>
          <w:rFonts w:cs="Arial"/>
          <w:lang w:val="en-ZA" w:eastAsia="en-US"/>
        </w:rPr>
        <w:tab/>
      </w:r>
      <w:r w:rsidRPr="00DA3FFC">
        <w:rPr>
          <w:rFonts w:cs="Arial"/>
          <w:lang w:val="en-ZA" w:eastAsia="en-US"/>
        </w:rPr>
        <w:tab/>
      </w:r>
      <w:r w:rsidR="005B5E73">
        <w:rPr>
          <w:rFonts w:cs="Arial"/>
          <w:lang w:val="en-ZA" w:eastAsia="en-US"/>
        </w:rPr>
        <w:t>4</w:t>
      </w:r>
      <w:r w:rsidR="00D1192E">
        <w:rPr>
          <w:rFonts w:cs="Arial"/>
          <w:lang w:val="en-ZA" w:eastAsia="en-US"/>
        </w:rPr>
        <w:t xml:space="preserve"> </w:t>
      </w:r>
      <w:r w:rsidR="005B5E73">
        <w:rPr>
          <w:rFonts w:cs="Arial"/>
          <w:lang w:val="en-ZA" w:eastAsia="en-US"/>
        </w:rPr>
        <w:t>March</w:t>
      </w:r>
      <w:r w:rsidR="001732C4">
        <w:rPr>
          <w:rFonts w:cs="Arial"/>
          <w:lang w:val="en-ZA" w:eastAsia="en-US"/>
        </w:rPr>
        <w:t xml:space="preserve"> 202</w:t>
      </w:r>
      <w:r w:rsidR="00864E4C">
        <w:rPr>
          <w:rFonts w:cs="Arial"/>
          <w:lang w:val="en-ZA" w:eastAsia="en-US"/>
        </w:rPr>
        <w:t>4</w:t>
      </w:r>
    </w:p>
    <w:p w14:paraId="4971A7E2" w14:textId="5726BFEB" w:rsidR="00DA3FFC" w:rsidRPr="00DA3FFC" w:rsidRDefault="00DA3FFC" w:rsidP="00C54E42">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DF2FD7">
        <w:rPr>
          <w:rFonts w:cs="Arial"/>
          <w:lang w:val="en-ZA" w:eastAsia="en-US"/>
        </w:rPr>
        <w:t>26</w:t>
      </w:r>
      <w:r w:rsidR="00864E4C">
        <w:rPr>
          <w:rFonts w:cs="Arial"/>
          <w:lang w:val="en-ZA" w:eastAsia="en-US"/>
        </w:rPr>
        <w:t xml:space="preserve"> </w:t>
      </w:r>
      <w:r w:rsidR="005B5E73">
        <w:rPr>
          <w:rFonts w:cs="Arial"/>
          <w:lang w:val="en-ZA" w:eastAsia="en-US"/>
        </w:rPr>
        <w:t>March</w:t>
      </w:r>
      <w:r w:rsidR="001732C4">
        <w:rPr>
          <w:rFonts w:cs="Arial"/>
          <w:lang w:val="en-ZA" w:eastAsia="en-US"/>
        </w:rPr>
        <w:t xml:space="preserve"> 202</w:t>
      </w:r>
      <w:r w:rsidR="00864E4C">
        <w:rPr>
          <w:rFonts w:cs="Arial"/>
          <w:lang w:val="en-ZA" w:eastAsia="en-US"/>
        </w:rPr>
        <w:t>4</w:t>
      </w:r>
      <w:r w:rsidR="00C54E42">
        <w:rPr>
          <w:rFonts w:cs="Arial"/>
          <w:lang w:val="en-ZA" w:eastAsia="en-US"/>
        </w:rPr>
        <w:t xml:space="preserve"> – This judgment was handed down electronically by circulation to the parties' representatives by email, by being uploaded to </w:t>
      </w:r>
      <w:r w:rsidR="00C54E42">
        <w:rPr>
          <w:rFonts w:cs="Arial"/>
          <w:i/>
          <w:lang w:val="en-ZA" w:eastAsia="en-US"/>
        </w:rPr>
        <w:t>CaseLines</w:t>
      </w:r>
      <w:r w:rsidR="00C54E42">
        <w:rPr>
          <w:rFonts w:cs="Arial"/>
          <w:lang w:val="en-ZA" w:eastAsia="en-US"/>
        </w:rPr>
        <w:t xml:space="preserve"> and by release to SAFLII. The date and time for hand-down is deemed to be 1</w:t>
      </w:r>
      <w:r w:rsidR="00DF2FD7">
        <w:rPr>
          <w:rFonts w:cs="Arial"/>
          <w:lang w:val="en-ZA" w:eastAsia="en-US"/>
        </w:rPr>
        <w:t>0</w:t>
      </w:r>
      <w:r w:rsidR="00C54E42">
        <w:rPr>
          <w:rFonts w:cs="Arial"/>
          <w:lang w:val="en-ZA" w:eastAsia="en-US"/>
        </w:rPr>
        <w:t>:</w:t>
      </w:r>
      <w:r w:rsidR="004A6685">
        <w:rPr>
          <w:rFonts w:cs="Arial"/>
          <w:lang w:val="en-ZA" w:eastAsia="en-US"/>
        </w:rPr>
        <w:t>0</w:t>
      </w:r>
      <w:r w:rsidR="00C54E42">
        <w:rPr>
          <w:rFonts w:cs="Arial"/>
          <w:lang w:val="en-ZA" w:eastAsia="en-US"/>
        </w:rPr>
        <w:t xml:space="preserve">0 on </w:t>
      </w:r>
      <w:r w:rsidR="00DF2FD7">
        <w:rPr>
          <w:rFonts w:cs="Arial"/>
          <w:lang w:val="en-ZA" w:eastAsia="en-US"/>
        </w:rPr>
        <w:t>26</w:t>
      </w:r>
      <w:r w:rsidR="00C54E42">
        <w:rPr>
          <w:rFonts w:cs="Arial"/>
          <w:lang w:val="en-ZA" w:eastAsia="en-US"/>
        </w:rPr>
        <w:t xml:space="preserve"> </w:t>
      </w:r>
      <w:r w:rsidR="005B5E73">
        <w:rPr>
          <w:rFonts w:cs="Arial"/>
          <w:lang w:val="en-ZA" w:eastAsia="en-US"/>
        </w:rPr>
        <w:t>March</w:t>
      </w:r>
      <w:r w:rsidR="00C54E42">
        <w:rPr>
          <w:rFonts w:cs="Arial"/>
          <w:lang w:val="en-ZA" w:eastAsia="en-US"/>
        </w:rPr>
        <w:t xml:space="preserve"> 202</w:t>
      </w:r>
      <w:r w:rsidR="00864E4C">
        <w:rPr>
          <w:rFonts w:cs="Arial"/>
          <w:lang w:val="en-ZA" w:eastAsia="en-US"/>
        </w:rPr>
        <w:t>4</w:t>
      </w:r>
      <w:r w:rsidR="00C54E42">
        <w:rPr>
          <w:rFonts w:cs="Arial"/>
          <w:lang w:val="en-ZA" w:eastAsia="en-US"/>
        </w:rPr>
        <w:t>.</w:t>
      </w:r>
    </w:p>
    <w:p w14:paraId="284254C8" w14:textId="271891F2" w:rsidR="00FE27ED" w:rsidRDefault="00DA3FFC" w:rsidP="005B5E73">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5051E9">
        <w:rPr>
          <w:rFonts w:cs="Arial"/>
          <w:lang w:val="en-ZA"/>
        </w:rPr>
        <w:t>Winding-up application</w:t>
      </w:r>
      <w:r w:rsidR="00FE0C0A">
        <w:rPr>
          <w:rFonts w:cs="Arial"/>
          <w:lang w:val="en-ZA"/>
        </w:rPr>
        <w:t xml:space="preserve"> </w:t>
      </w:r>
      <w:r w:rsidR="00B32378">
        <w:rPr>
          <w:rFonts w:cs="Arial"/>
          <w:lang w:val="en-ZA"/>
        </w:rPr>
        <w:t>–</w:t>
      </w:r>
      <w:r w:rsidR="00FE27ED">
        <w:rPr>
          <w:rFonts w:cs="Arial"/>
          <w:lang w:val="en-ZA"/>
        </w:rPr>
        <w:t xml:space="preserve"> </w:t>
      </w:r>
      <w:r w:rsidR="005051E9">
        <w:rPr>
          <w:rFonts w:cs="Arial"/>
          <w:lang w:val="en-ZA"/>
        </w:rPr>
        <w:t>commercial</w:t>
      </w:r>
      <w:r w:rsidR="00DF2FD7">
        <w:rPr>
          <w:rFonts w:cs="Arial"/>
          <w:lang w:val="en-ZA"/>
        </w:rPr>
        <w:t xml:space="preserve"> </w:t>
      </w:r>
      <w:r w:rsidR="005051E9">
        <w:rPr>
          <w:rFonts w:cs="Arial"/>
          <w:lang w:val="en-ZA"/>
        </w:rPr>
        <w:t xml:space="preserve">insolvency ground for winding-up order – debt owing, due and payable </w:t>
      </w:r>
      <w:r w:rsidR="00325C72">
        <w:rPr>
          <w:rFonts w:cs="Arial"/>
          <w:lang w:val="en-ZA"/>
        </w:rPr>
        <w:t xml:space="preserve">by the time s 345 notice </w:t>
      </w:r>
      <w:r w:rsidR="00325C72">
        <w:rPr>
          <w:rFonts w:cs="Arial"/>
          <w:lang w:val="en-ZA"/>
        </w:rPr>
        <w:lastRenderedPageBreak/>
        <w:t>dispatched</w:t>
      </w:r>
      <w:r w:rsidR="005051E9">
        <w:rPr>
          <w:rFonts w:cs="Arial"/>
          <w:lang w:val="en-ZA"/>
        </w:rPr>
        <w:t xml:space="preserve"> –</w:t>
      </w:r>
      <w:r w:rsidR="006C68D7">
        <w:rPr>
          <w:rFonts w:cs="Arial"/>
          <w:lang w:val="en-ZA"/>
        </w:rPr>
        <w:t xml:space="preserve"> </w:t>
      </w:r>
      <w:r w:rsidR="006C68D7" w:rsidRPr="006C68D7">
        <w:rPr>
          <w:rFonts w:cs="Arial"/>
          <w:lang w:val="en-ZA"/>
        </w:rPr>
        <w:t xml:space="preserve">the </w:t>
      </w:r>
      <w:r w:rsidR="006C68D7" w:rsidRPr="00CE5F37">
        <w:rPr>
          <w:rFonts w:cs="Arial"/>
          <w:i/>
          <w:iCs/>
          <w:lang w:val="en-ZA"/>
        </w:rPr>
        <w:t>exceptio de non adimpleti contractus</w:t>
      </w:r>
      <w:r w:rsidR="006C68D7" w:rsidRPr="006C68D7">
        <w:rPr>
          <w:rFonts w:cs="Arial"/>
          <w:lang w:val="en-ZA"/>
        </w:rPr>
        <w:t xml:space="preserve"> principle</w:t>
      </w:r>
      <w:r w:rsidR="00CE5F37">
        <w:rPr>
          <w:rFonts w:cs="Arial"/>
          <w:lang w:val="en-ZA"/>
        </w:rPr>
        <w:t xml:space="preserve"> not available to the respondent as a defence</w:t>
      </w:r>
      <w:r w:rsidR="006C68D7" w:rsidRPr="006C68D7">
        <w:rPr>
          <w:rFonts w:cs="Arial"/>
          <w:lang w:val="en-ZA"/>
        </w:rPr>
        <w:t xml:space="preserve"> </w:t>
      </w:r>
      <w:r w:rsidR="00794889">
        <w:rPr>
          <w:rFonts w:cs="Arial"/>
          <w:lang w:val="en-ZA"/>
        </w:rPr>
        <w:t>–</w:t>
      </w:r>
      <w:r w:rsidR="00CE5F37">
        <w:rPr>
          <w:rFonts w:cs="Arial"/>
          <w:lang w:val="en-ZA"/>
        </w:rPr>
        <w:t xml:space="preserve"> total advances s</w:t>
      </w:r>
      <w:r w:rsidR="00794889">
        <w:rPr>
          <w:rFonts w:cs="Arial"/>
          <w:lang w:val="en-ZA"/>
        </w:rPr>
        <w:t xml:space="preserve">hould be </w:t>
      </w:r>
      <w:r w:rsidR="00CE5F37">
        <w:rPr>
          <w:rFonts w:cs="Arial"/>
          <w:lang w:val="en-ZA"/>
        </w:rPr>
        <w:t>re</w:t>
      </w:r>
      <w:r w:rsidR="00794889">
        <w:rPr>
          <w:rFonts w:cs="Arial"/>
          <w:lang w:val="en-ZA"/>
        </w:rPr>
        <w:t xml:space="preserve">paid </w:t>
      </w:r>
      <w:r w:rsidR="005051E9">
        <w:rPr>
          <w:rFonts w:cs="Arial"/>
          <w:lang w:val="en-ZA"/>
        </w:rPr>
        <w:t>–</w:t>
      </w:r>
      <w:r w:rsidR="00794889">
        <w:rPr>
          <w:rFonts w:cs="Arial"/>
          <w:lang w:val="en-ZA"/>
        </w:rPr>
        <w:t xml:space="preserve"> if not, company deemed unable to pay its debts and is therefore commercially insolvent – </w:t>
      </w:r>
      <w:r w:rsidR="00CE5F37">
        <w:rPr>
          <w:rFonts w:cs="Arial"/>
          <w:lang w:val="en-ZA"/>
        </w:rPr>
        <w:t xml:space="preserve">provisional </w:t>
      </w:r>
      <w:r w:rsidR="00794889">
        <w:rPr>
          <w:rFonts w:cs="Arial"/>
          <w:lang w:val="en-ZA"/>
        </w:rPr>
        <w:t>winding-up order granted.</w:t>
      </w:r>
    </w:p>
    <w:p w14:paraId="13BB41AB" w14:textId="77777777" w:rsidR="00DA3FFC" w:rsidRPr="00DA3FFC" w:rsidRDefault="00DA3FFC" w:rsidP="00C66C79">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14:paraId="24ACF745" w14:textId="1FF07AF5" w:rsidR="00F245F5" w:rsidRDefault="005B0288" w:rsidP="005B0288">
      <w:pPr>
        <w:spacing w:after="120" w:line="360" w:lineRule="auto"/>
        <w:ind w:left="851" w:hanging="851"/>
        <w:jc w:val="both"/>
        <w:outlineLvl w:val="0"/>
      </w:pPr>
      <w:bookmarkStart w:id="2" w:name="_Hlk152364190"/>
      <w:r>
        <w:t>(1)</w:t>
      </w:r>
      <w:r>
        <w:tab/>
      </w:r>
      <w:r w:rsidR="00F245F5">
        <w:t xml:space="preserve">The respondent </w:t>
      </w:r>
      <w:r w:rsidR="00702B56">
        <w:t xml:space="preserve">be and </w:t>
      </w:r>
      <w:r w:rsidR="00F245F5">
        <w:t>is</w:t>
      </w:r>
      <w:r w:rsidR="00702B56">
        <w:t xml:space="preserve"> hereby</w:t>
      </w:r>
      <w:r w:rsidR="00F245F5">
        <w:t xml:space="preserve"> placed under </w:t>
      </w:r>
      <w:r w:rsidR="00702B56">
        <w:t>provisional</w:t>
      </w:r>
      <w:r w:rsidR="00F245F5">
        <w:t xml:space="preserve"> winding-up in the hands of the Master of the High Court of South Africa.</w:t>
      </w:r>
    </w:p>
    <w:p w14:paraId="3DC7486F" w14:textId="49826BEF" w:rsidR="00702B56" w:rsidRDefault="005B0288" w:rsidP="005B0288">
      <w:pPr>
        <w:spacing w:after="120" w:line="360" w:lineRule="auto"/>
        <w:ind w:left="851" w:hanging="851"/>
        <w:jc w:val="both"/>
        <w:outlineLvl w:val="0"/>
      </w:pPr>
      <w:r>
        <w:t>(2)</w:t>
      </w:r>
      <w:r>
        <w:tab/>
      </w:r>
      <w:r w:rsidR="00702B56">
        <w:t xml:space="preserve">All persons who have a legitimate interest are called upon to put forward their reasons why this court should not order the final winding up of the respondent on </w:t>
      </w:r>
      <w:r w:rsidR="00325C72" w:rsidRPr="005B0288">
        <w:rPr>
          <w:b/>
          <w:bCs/>
        </w:rPr>
        <w:t>Mon</w:t>
      </w:r>
      <w:r w:rsidR="00702B56" w:rsidRPr="005B0288">
        <w:rPr>
          <w:b/>
          <w:bCs/>
        </w:rPr>
        <w:t xml:space="preserve">day, </w:t>
      </w:r>
      <w:r w:rsidR="00325C72" w:rsidRPr="005B0288">
        <w:rPr>
          <w:b/>
          <w:bCs/>
        </w:rPr>
        <w:t>10</w:t>
      </w:r>
      <w:r w:rsidR="00702B56" w:rsidRPr="005B0288">
        <w:rPr>
          <w:b/>
          <w:bCs/>
        </w:rPr>
        <w:t xml:space="preserve"> June 2024, </w:t>
      </w:r>
      <w:r w:rsidR="00702B56" w:rsidRPr="004A6685">
        <w:t>at</w:t>
      </w:r>
      <w:r w:rsidR="00702B56" w:rsidRPr="005B0288">
        <w:rPr>
          <w:b/>
          <w:bCs/>
        </w:rPr>
        <w:t xml:space="preserve"> 10:00 am</w:t>
      </w:r>
      <w:r w:rsidR="00702B56">
        <w:t xml:space="preserve"> or so soon thereafter as the matter may be heard.</w:t>
      </w:r>
    </w:p>
    <w:p w14:paraId="156656D1" w14:textId="0F58CE51" w:rsidR="00897AD7" w:rsidRPr="00897AD7" w:rsidRDefault="005B0288" w:rsidP="005B0288">
      <w:pPr>
        <w:spacing w:after="120" w:line="360" w:lineRule="auto"/>
        <w:ind w:left="851" w:hanging="851"/>
        <w:jc w:val="both"/>
        <w:outlineLvl w:val="0"/>
      </w:pPr>
      <w:r w:rsidRPr="00897AD7">
        <w:t>(3)</w:t>
      </w:r>
      <w:r w:rsidRPr="00897AD7">
        <w:tab/>
      </w:r>
      <w:r w:rsidR="00897AD7">
        <w:t>A</w:t>
      </w:r>
      <w:r w:rsidR="00897AD7" w:rsidRPr="00897AD7">
        <w:t xml:space="preserve"> copy of this order</w:t>
      </w:r>
      <w:r w:rsidR="00897AD7">
        <w:t xml:space="preserve"> shall </w:t>
      </w:r>
      <w:r w:rsidR="00897AD7" w:rsidRPr="00897AD7">
        <w:t xml:space="preserve">be served </w:t>
      </w:r>
      <w:r w:rsidR="00897AD7">
        <w:t xml:space="preserve">by the Sheriff of this Court </w:t>
      </w:r>
      <w:r w:rsidR="00897AD7" w:rsidRPr="00897AD7">
        <w:t>on the respondent at its registered office</w:t>
      </w:r>
      <w:r w:rsidR="00897AD7">
        <w:t>.</w:t>
      </w:r>
    </w:p>
    <w:p w14:paraId="2D833FEF" w14:textId="02298B1A" w:rsidR="00702B56" w:rsidRDefault="005B0288" w:rsidP="005B0288">
      <w:pPr>
        <w:spacing w:after="120" w:line="360" w:lineRule="auto"/>
        <w:ind w:left="851" w:hanging="851"/>
        <w:jc w:val="both"/>
        <w:outlineLvl w:val="0"/>
      </w:pPr>
      <w:r>
        <w:t>(4)</w:t>
      </w:r>
      <w:r>
        <w:tab/>
      </w:r>
      <w:r w:rsidR="00702B56">
        <w:t>A copy of this order shall be published forthwith once in the Government Gazette.</w:t>
      </w:r>
    </w:p>
    <w:p w14:paraId="1C4312E9" w14:textId="39168C78" w:rsidR="00702B56" w:rsidRDefault="005B0288" w:rsidP="005B0288">
      <w:pPr>
        <w:spacing w:after="120" w:line="360" w:lineRule="auto"/>
        <w:ind w:left="851" w:hanging="851"/>
        <w:jc w:val="both"/>
        <w:outlineLvl w:val="0"/>
      </w:pPr>
      <w:r>
        <w:t>(5)</w:t>
      </w:r>
      <w:r>
        <w:tab/>
      </w:r>
      <w:r w:rsidR="00702B56">
        <w:t>A copy of this order shall be forthwith forwarded to each known creditor by electronically receipted telefax transmission or by electronically receipted email.</w:t>
      </w:r>
    </w:p>
    <w:p w14:paraId="3B6EC258" w14:textId="40B88E00" w:rsidR="00702B56" w:rsidRDefault="005B0288" w:rsidP="005B0288">
      <w:pPr>
        <w:spacing w:line="360" w:lineRule="auto"/>
        <w:ind w:left="851" w:hanging="851"/>
        <w:jc w:val="both"/>
        <w:outlineLvl w:val="0"/>
      </w:pPr>
      <w:r>
        <w:t>(6)</w:t>
      </w:r>
      <w:r>
        <w:tab/>
      </w:r>
      <w:r w:rsidR="00702B56">
        <w:t xml:space="preserve">A copy of </w:t>
      </w:r>
      <w:r w:rsidR="00897AD7">
        <w:t>this</w:t>
      </w:r>
      <w:r w:rsidR="00702B56">
        <w:t xml:space="preserve"> provisional winding-up order must be served on: - </w:t>
      </w:r>
    </w:p>
    <w:p w14:paraId="5474E8E6" w14:textId="0055D39B" w:rsidR="00702B56" w:rsidRDefault="005B0288" w:rsidP="005B0288">
      <w:pPr>
        <w:spacing w:line="360" w:lineRule="auto"/>
        <w:ind w:left="1134" w:hanging="992"/>
        <w:jc w:val="both"/>
        <w:outlineLvl w:val="0"/>
      </w:pPr>
      <w:bookmarkStart w:id="3" w:name="_Hlk162269320"/>
      <w:r>
        <w:t>(a)</w:t>
      </w:r>
      <w:r>
        <w:tab/>
      </w:r>
      <w:r w:rsidR="00897AD7">
        <w:t>E</w:t>
      </w:r>
      <w:r w:rsidR="00702B56">
        <w:t xml:space="preserve">very trade union </w:t>
      </w:r>
      <w:r w:rsidR="00325C72">
        <w:t>or trade union representative who represents any and/or all of the employees of the respondent</w:t>
      </w:r>
      <w:r w:rsidR="00702B56">
        <w:t>;</w:t>
      </w:r>
    </w:p>
    <w:bookmarkEnd w:id="3"/>
    <w:p w14:paraId="2417A42F" w14:textId="1EF2A0F3" w:rsidR="00702B56" w:rsidRDefault="005B0288" w:rsidP="005B0288">
      <w:pPr>
        <w:spacing w:line="360" w:lineRule="auto"/>
        <w:ind w:left="1134" w:hanging="992"/>
        <w:jc w:val="both"/>
        <w:outlineLvl w:val="0"/>
      </w:pPr>
      <w:r>
        <w:t>(b)</w:t>
      </w:r>
      <w:r>
        <w:tab/>
      </w:r>
      <w:r w:rsidR="00897AD7">
        <w:t>T</w:t>
      </w:r>
      <w:r w:rsidR="00702B56">
        <w:t xml:space="preserve">he employees of the respondent by affixing a copy of the application to any notice board to which the employees have access inside the respondent's business premises and/or principal place of business, or if there is no access to the premises or </w:t>
      </w:r>
      <w:r w:rsidR="00897AD7">
        <w:t>t</w:t>
      </w:r>
      <w:r w:rsidR="00702B56">
        <w:t>o the principal place of business by the employees, by affixing a copy to the front gate, where applicable, failing which to the front door of the premises</w:t>
      </w:r>
      <w:r w:rsidR="00897AD7">
        <w:t xml:space="preserve"> or the place </w:t>
      </w:r>
      <w:r w:rsidR="00897AD7">
        <w:lastRenderedPageBreak/>
        <w:t>of business</w:t>
      </w:r>
      <w:r w:rsidR="00702B56">
        <w:t xml:space="preserve"> from which the </w:t>
      </w:r>
      <w:r w:rsidR="00897AD7">
        <w:t>respondent</w:t>
      </w:r>
      <w:r w:rsidR="00702B56">
        <w:t xml:space="preserve"> conducted any business at the time of the presentation of the application;</w:t>
      </w:r>
    </w:p>
    <w:p w14:paraId="3A0276BE" w14:textId="2D2C62BC" w:rsidR="00702B56" w:rsidRDefault="005B0288" w:rsidP="005B0288">
      <w:pPr>
        <w:spacing w:line="360" w:lineRule="auto"/>
        <w:ind w:left="1134" w:hanging="992"/>
        <w:jc w:val="both"/>
        <w:outlineLvl w:val="0"/>
      </w:pPr>
      <w:r>
        <w:t>(c)</w:t>
      </w:r>
      <w:r>
        <w:tab/>
      </w:r>
      <w:r w:rsidR="00897AD7">
        <w:t>T</w:t>
      </w:r>
      <w:r w:rsidR="00702B56">
        <w:t>he South African Revenue Service; and</w:t>
      </w:r>
    </w:p>
    <w:p w14:paraId="323B3293" w14:textId="07341FDA" w:rsidR="00702B56" w:rsidRDefault="005B0288" w:rsidP="005B0288">
      <w:pPr>
        <w:spacing w:after="120" w:line="360" w:lineRule="auto"/>
        <w:ind w:left="1134" w:hanging="992"/>
        <w:jc w:val="both"/>
        <w:outlineLvl w:val="0"/>
      </w:pPr>
      <w:r>
        <w:t>(d)</w:t>
      </w:r>
      <w:r>
        <w:tab/>
      </w:r>
      <w:r w:rsidR="00897AD7">
        <w:t>T</w:t>
      </w:r>
      <w:r w:rsidR="00702B56">
        <w:t>he respondent.</w:t>
      </w:r>
    </w:p>
    <w:p w14:paraId="1BF1857D" w14:textId="5EC2D292" w:rsidR="00F245F5" w:rsidRDefault="005B0288" w:rsidP="005B0288">
      <w:pPr>
        <w:spacing w:after="240" w:line="360" w:lineRule="auto"/>
        <w:ind w:left="851" w:hanging="851"/>
        <w:jc w:val="both"/>
        <w:outlineLvl w:val="0"/>
      </w:pPr>
      <w:r>
        <w:t>(7)</w:t>
      </w:r>
      <w:r>
        <w:tab/>
      </w:r>
      <w:r w:rsidR="00F245F5">
        <w:t xml:space="preserve">The costs of this application shall be costs in the winding-up of the respondent. </w:t>
      </w:r>
    </w:p>
    <w:bookmarkEnd w:id="2"/>
    <w:p w14:paraId="5923D89B" w14:textId="77777777" w:rsidR="009314F3" w:rsidRPr="00A84826" w:rsidRDefault="00F86558" w:rsidP="00AB71B9">
      <w:pPr>
        <w:pStyle w:val="LegalTramLines"/>
        <w:keepNext/>
        <w:spacing w:after="240"/>
      </w:pPr>
      <w:r>
        <w:t xml:space="preserve">JUDGMENT </w:t>
      </w:r>
    </w:p>
    <w:p w14:paraId="4F39A16D" w14:textId="77777777" w:rsidR="007D27AD" w:rsidRPr="007D27AD" w:rsidRDefault="007D27AD" w:rsidP="00630DF9">
      <w:pPr>
        <w:keepNext/>
        <w:spacing w:before="120" w:after="120" w:line="360" w:lineRule="auto"/>
        <w:jc w:val="both"/>
        <w:rPr>
          <w:b/>
          <w:caps/>
        </w:rPr>
      </w:pPr>
      <w:r w:rsidRPr="007D27AD">
        <w:rPr>
          <w:b/>
        </w:rPr>
        <w:t>Adams J:</w:t>
      </w:r>
    </w:p>
    <w:p w14:paraId="74BB7000" w14:textId="7D06EA55" w:rsidR="00824F5A" w:rsidRDefault="005B0288" w:rsidP="005B0288">
      <w:pPr>
        <w:pStyle w:val="LegalList1"/>
        <w:numPr>
          <w:ilvl w:val="0"/>
          <w:numId w:val="0"/>
        </w:numPr>
        <w:spacing w:after="120" w:line="360" w:lineRule="auto"/>
        <w:rPr>
          <w:color w:val="000000"/>
        </w:rPr>
      </w:pPr>
      <w:r>
        <w:rPr>
          <w:color w:val="000000"/>
        </w:rPr>
        <w:t>[1].</w:t>
      </w:r>
      <w:r>
        <w:rPr>
          <w:color w:val="000000"/>
        </w:rPr>
        <w:tab/>
      </w:r>
      <w:r w:rsidR="00824F5A">
        <w:rPr>
          <w:color w:val="000000"/>
        </w:rPr>
        <w:t xml:space="preserve">The applicant (Bidvest Bank) </w:t>
      </w:r>
      <w:r w:rsidR="000C60E4">
        <w:rPr>
          <w:color w:val="000000"/>
        </w:rPr>
        <w:t xml:space="preserve">applies for the </w:t>
      </w:r>
      <w:r w:rsidR="00615CD9">
        <w:rPr>
          <w:color w:val="000000"/>
        </w:rPr>
        <w:t xml:space="preserve">winding-up of </w:t>
      </w:r>
      <w:r w:rsidR="00824F5A">
        <w:rPr>
          <w:color w:val="000000"/>
        </w:rPr>
        <w:t xml:space="preserve">the respondent (EQ Emporium) in terms of </w:t>
      </w:r>
      <w:r w:rsidR="00824F5A" w:rsidRPr="00824F5A">
        <w:rPr>
          <w:color w:val="000000"/>
        </w:rPr>
        <w:t>sections 344(f) and (h) and section 345</w:t>
      </w:r>
      <w:r w:rsidR="006C68D7">
        <w:rPr>
          <w:color w:val="000000"/>
        </w:rPr>
        <w:t>(1)</w:t>
      </w:r>
      <w:r w:rsidR="006C68D7">
        <w:rPr>
          <w:rStyle w:val="FootnoteReference"/>
          <w:color w:val="000000"/>
        </w:rPr>
        <w:footnoteReference w:id="1"/>
      </w:r>
      <w:r w:rsidR="00824F5A" w:rsidRPr="00824F5A">
        <w:rPr>
          <w:color w:val="000000"/>
        </w:rPr>
        <w:t xml:space="preserve"> of the Companies Act</w:t>
      </w:r>
      <w:r w:rsidR="00824F5A">
        <w:rPr>
          <w:rStyle w:val="FootnoteReference"/>
          <w:color w:val="000000"/>
        </w:rPr>
        <w:footnoteReference w:id="2"/>
      </w:r>
      <w:r w:rsidR="00824F5A" w:rsidRPr="00824F5A">
        <w:rPr>
          <w:color w:val="000000"/>
        </w:rPr>
        <w:t xml:space="preserve"> (</w:t>
      </w:r>
      <w:r w:rsidR="00824F5A">
        <w:rPr>
          <w:color w:val="000000"/>
        </w:rPr>
        <w:t>‘</w:t>
      </w:r>
      <w:r w:rsidR="00824F5A" w:rsidRPr="00824F5A">
        <w:rPr>
          <w:color w:val="000000"/>
        </w:rPr>
        <w:t>the Companies Act</w:t>
      </w:r>
      <w:r w:rsidR="00824F5A">
        <w:rPr>
          <w:color w:val="000000"/>
        </w:rPr>
        <w:t>’</w:t>
      </w:r>
      <w:r w:rsidR="00824F5A" w:rsidRPr="00824F5A">
        <w:rPr>
          <w:color w:val="000000"/>
        </w:rPr>
        <w:t>)</w:t>
      </w:r>
      <w:r w:rsidR="00824F5A">
        <w:rPr>
          <w:color w:val="000000"/>
        </w:rPr>
        <w:t xml:space="preserve">. </w:t>
      </w:r>
      <w:r w:rsidR="00824F5A" w:rsidRPr="00824F5A">
        <w:rPr>
          <w:color w:val="000000"/>
        </w:rPr>
        <w:t xml:space="preserve">The winding up of the </w:t>
      </w:r>
      <w:r w:rsidR="00824F5A">
        <w:rPr>
          <w:color w:val="000000"/>
        </w:rPr>
        <w:t>r</w:t>
      </w:r>
      <w:r w:rsidR="00824F5A" w:rsidRPr="00824F5A">
        <w:rPr>
          <w:color w:val="000000"/>
        </w:rPr>
        <w:t xml:space="preserve">espondent is sought on the basis that </w:t>
      </w:r>
      <w:r w:rsidR="00824F5A">
        <w:rPr>
          <w:color w:val="000000"/>
        </w:rPr>
        <w:t xml:space="preserve">it </w:t>
      </w:r>
      <w:r w:rsidR="00824F5A" w:rsidRPr="00824F5A">
        <w:rPr>
          <w:color w:val="000000"/>
        </w:rPr>
        <w:t xml:space="preserve">is unable to pay its debts and that it is just and equitable that the </w:t>
      </w:r>
      <w:r w:rsidR="00824F5A">
        <w:rPr>
          <w:color w:val="000000"/>
        </w:rPr>
        <w:t>r</w:t>
      </w:r>
      <w:r w:rsidR="00824F5A" w:rsidRPr="00824F5A">
        <w:rPr>
          <w:color w:val="000000"/>
        </w:rPr>
        <w:t>espondent be wound up.</w:t>
      </w:r>
    </w:p>
    <w:p w14:paraId="7A5FFCB9" w14:textId="3AC39A65" w:rsidR="00824F5A" w:rsidRPr="002D1EDB" w:rsidRDefault="005B0288" w:rsidP="005B0288">
      <w:pPr>
        <w:spacing w:after="120" w:line="360" w:lineRule="auto"/>
        <w:jc w:val="both"/>
        <w:outlineLvl w:val="0"/>
        <w:rPr>
          <w:color w:val="000000"/>
        </w:rPr>
      </w:pPr>
      <w:r w:rsidRPr="002D1EDB">
        <w:rPr>
          <w:color w:val="000000"/>
        </w:rPr>
        <w:t>[2].</w:t>
      </w:r>
      <w:r w:rsidRPr="002D1EDB">
        <w:rPr>
          <w:color w:val="000000"/>
        </w:rPr>
        <w:tab/>
      </w:r>
      <w:r w:rsidR="002D1EDB">
        <w:rPr>
          <w:color w:val="000000"/>
        </w:rPr>
        <w:t xml:space="preserve">Underpinning the application is EQ Emporium’s indebtedness to Bidvest Bank pursuant to and in terms of an </w:t>
      </w:r>
      <w:r w:rsidR="00824F5A" w:rsidRPr="00824F5A">
        <w:rPr>
          <w:color w:val="000000"/>
        </w:rPr>
        <w:t xml:space="preserve">agreement </w:t>
      </w:r>
      <w:r w:rsidR="002D1EDB">
        <w:rPr>
          <w:color w:val="000000"/>
        </w:rPr>
        <w:t>concluded between the parties in</w:t>
      </w:r>
      <w:r w:rsidR="00824F5A" w:rsidRPr="00824F5A">
        <w:rPr>
          <w:color w:val="000000"/>
        </w:rPr>
        <w:t xml:space="preserve"> terms of which the </w:t>
      </w:r>
      <w:r w:rsidR="002D1EDB">
        <w:rPr>
          <w:color w:val="000000"/>
        </w:rPr>
        <w:t>bank</w:t>
      </w:r>
      <w:r w:rsidR="00824F5A" w:rsidRPr="00824F5A">
        <w:rPr>
          <w:color w:val="000000"/>
        </w:rPr>
        <w:t xml:space="preserve"> would afford trade facilities to </w:t>
      </w:r>
      <w:r w:rsidR="002D1EDB">
        <w:rPr>
          <w:color w:val="000000"/>
        </w:rPr>
        <w:t>EQ Emporium</w:t>
      </w:r>
      <w:r w:rsidR="00824F5A" w:rsidRPr="00824F5A">
        <w:rPr>
          <w:color w:val="000000"/>
        </w:rPr>
        <w:t xml:space="preserve">. </w:t>
      </w:r>
      <w:r w:rsidR="002D1EDB">
        <w:rPr>
          <w:color w:val="000000"/>
        </w:rPr>
        <w:t>T</w:t>
      </w:r>
      <w:r w:rsidR="00824F5A" w:rsidRPr="00824F5A">
        <w:rPr>
          <w:color w:val="000000"/>
        </w:rPr>
        <w:t xml:space="preserve">his meant that </w:t>
      </w:r>
      <w:r w:rsidR="002D1EDB">
        <w:rPr>
          <w:color w:val="000000"/>
        </w:rPr>
        <w:t xml:space="preserve">EQ Emporium </w:t>
      </w:r>
      <w:r w:rsidR="00824F5A" w:rsidRPr="002D1EDB">
        <w:rPr>
          <w:color w:val="000000"/>
        </w:rPr>
        <w:t xml:space="preserve">would present certain trade bills to the </w:t>
      </w:r>
      <w:r w:rsidR="002D1EDB">
        <w:rPr>
          <w:color w:val="000000"/>
        </w:rPr>
        <w:t>bank</w:t>
      </w:r>
      <w:r w:rsidR="00824F5A" w:rsidRPr="002D1EDB">
        <w:rPr>
          <w:color w:val="000000"/>
        </w:rPr>
        <w:t xml:space="preserve">, which trade bills were essentially invoices from </w:t>
      </w:r>
      <w:r w:rsidR="002D1EDB">
        <w:rPr>
          <w:color w:val="000000"/>
        </w:rPr>
        <w:t xml:space="preserve">EQ Emporium’s </w:t>
      </w:r>
      <w:r w:rsidR="00824F5A" w:rsidRPr="002D1EDB">
        <w:rPr>
          <w:color w:val="000000"/>
        </w:rPr>
        <w:t xml:space="preserve">suppliers and which </w:t>
      </w:r>
      <w:r w:rsidR="002D1EDB">
        <w:rPr>
          <w:color w:val="000000"/>
        </w:rPr>
        <w:t>it</w:t>
      </w:r>
      <w:r w:rsidR="00824F5A" w:rsidRPr="002D1EDB">
        <w:rPr>
          <w:color w:val="000000"/>
        </w:rPr>
        <w:t xml:space="preserve"> requested the </w:t>
      </w:r>
      <w:r w:rsidR="002D1EDB">
        <w:rPr>
          <w:color w:val="000000"/>
        </w:rPr>
        <w:t>bank</w:t>
      </w:r>
      <w:r w:rsidR="00824F5A" w:rsidRPr="002D1EDB">
        <w:rPr>
          <w:color w:val="000000"/>
        </w:rPr>
        <w:t xml:space="preserve"> to make payment to the suppliers on its behalf. </w:t>
      </w:r>
      <w:r w:rsidR="002D1EDB">
        <w:rPr>
          <w:color w:val="000000"/>
        </w:rPr>
        <w:t xml:space="preserve">Bidvest Bank </w:t>
      </w:r>
      <w:r w:rsidR="00824F5A" w:rsidRPr="002D1EDB">
        <w:rPr>
          <w:color w:val="000000"/>
        </w:rPr>
        <w:t xml:space="preserve">would make payment to the suppliers on behalf of </w:t>
      </w:r>
      <w:r w:rsidR="002D1EDB">
        <w:rPr>
          <w:color w:val="000000"/>
        </w:rPr>
        <w:t xml:space="preserve">EQ Emporium, which would </w:t>
      </w:r>
      <w:r w:rsidR="00824F5A" w:rsidRPr="002D1EDB">
        <w:rPr>
          <w:color w:val="000000"/>
        </w:rPr>
        <w:lastRenderedPageBreak/>
        <w:t>then</w:t>
      </w:r>
      <w:r w:rsidR="002D1EDB">
        <w:rPr>
          <w:color w:val="000000"/>
        </w:rPr>
        <w:t xml:space="preserve"> become</w:t>
      </w:r>
      <w:r w:rsidR="00824F5A" w:rsidRPr="002D1EDB">
        <w:rPr>
          <w:color w:val="000000"/>
        </w:rPr>
        <w:t xml:space="preserve"> liable to repay to the </w:t>
      </w:r>
      <w:r w:rsidR="002D1EDB">
        <w:rPr>
          <w:color w:val="000000"/>
        </w:rPr>
        <w:t xml:space="preserve">bank such advances </w:t>
      </w:r>
      <w:r w:rsidR="00824F5A" w:rsidRPr="002D1EDB">
        <w:rPr>
          <w:color w:val="000000"/>
        </w:rPr>
        <w:t xml:space="preserve">in terms of the maturity dates reflected on the </w:t>
      </w:r>
      <w:r w:rsidR="002D1EDB">
        <w:rPr>
          <w:color w:val="000000"/>
        </w:rPr>
        <w:t>bank’s</w:t>
      </w:r>
      <w:r w:rsidR="00824F5A" w:rsidRPr="002D1EDB">
        <w:rPr>
          <w:color w:val="000000"/>
        </w:rPr>
        <w:t xml:space="preserve"> invoices to </w:t>
      </w:r>
      <w:r w:rsidR="002D1EDB">
        <w:rPr>
          <w:color w:val="000000"/>
        </w:rPr>
        <w:t xml:space="preserve">EQ Emporium. Repayment was normally due within a period of </w:t>
      </w:r>
      <w:r w:rsidR="00824F5A" w:rsidRPr="002D1EDB">
        <w:rPr>
          <w:color w:val="000000"/>
        </w:rPr>
        <w:t xml:space="preserve">120 days from the date of </w:t>
      </w:r>
      <w:r w:rsidR="002D1EDB">
        <w:rPr>
          <w:color w:val="000000"/>
        </w:rPr>
        <w:t>on which payment was made by Bidvest Bank</w:t>
      </w:r>
      <w:r w:rsidR="00824F5A" w:rsidRPr="002D1EDB">
        <w:rPr>
          <w:color w:val="000000"/>
        </w:rPr>
        <w:t>. Such due dates were however reflected on the invoices.</w:t>
      </w:r>
    </w:p>
    <w:p w14:paraId="12E0064A" w14:textId="2C9DBF60" w:rsidR="0099021B" w:rsidRDefault="005B0288" w:rsidP="005B0288">
      <w:pPr>
        <w:spacing w:after="120" w:line="360" w:lineRule="auto"/>
        <w:jc w:val="both"/>
        <w:outlineLvl w:val="0"/>
        <w:rPr>
          <w:color w:val="000000"/>
        </w:rPr>
      </w:pPr>
      <w:r>
        <w:rPr>
          <w:color w:val="000000"/>
        </w:rPr>
        <w:t>[3].</w:t>
      </w:r>
      <w:r>
        <w:rPr>
          <w:color w:val="000000"/>
        </w:rPr>
        <w:tab/>
      </w:r>
      <w:r w:rsidR="0099021B">
        <w:rPr>
          <w:color w:val="000000"/>
        </w:rPr>
        <w:t xml:space="preserve">EQ Emporium </w:t>
      </w:r>
      <w:r w:rsidR="00824F5A" w:rsidRPr="00824F5A">
        <w:rPr>
          <w:color w:val="000000"/>
        </w:rPr>
        <w:t xml:space="preserve">is indebted to </w:t>
      </w:r>
      <w:r w:rsidR="0099021B">
        <w:rPr>
          <w:color w:val="000000"/>
        </w:rPr>
        <w:t xml:space="preserve">Bidvest Bank </w:t>
      </w:r>
      <w:r w:rsidR="00824F5A" w:rsidRPr="00824F5A">
        <w:rPr>
          <w:color w:val="000000"/>
        </w:rPr>
        <w:t>in the amount of R7</w:t>
      </w:r>
      <w:r w:rsidR="0099021B">
        <w:rPr>
          <w:color w:val="000000"/>
        </w:rPr>
        <w:t> </w:t>
      </w:r>
      <w:r w:rsidR="00824F5A" w:rsidRPr="00824F5A">
        <w:rPr>
          <w:color w:val="000000"/>
        </w:rPr>
        <w:t>947</w:t>
      </w:r>
      <w:r w:rsidR="0099021B">
        <w:rPr>
          <w:color w:val="000000"/>
        </w:rPr>
        <w:t xml:space="preserve"> </w:t>
      </w:r>
      <w:r w:rsidR="00824F5A" w:rsidRPr="00824F5A">
        <w:rPr>
          <w:color w:val="000000"/>
        </w:rPr>
        <w:t>898.57</w:t>
      </w:r>
      <w:r w:rsidR="0099021B">
        <w:rPr>
          <w:color w:val="000000"/>
        </w:rPr>
        <w:t>. It is the case of the bank that, despite delivery to EQ Emporium of a notice in terms of s 345</w:t>
      </w:r>
      <w:r w:rsidR="006C68D7">
        <w:rPr>
          <w:color w:val="000000"/>
        </w:rPr>
        <w:t>(1)(a)(i)</w:t>
      </w:r>
      <w:r w:rsidR="0099021B">
        <w:rPr>
          <w:color w:val="000000"/>
        </w:rPr>
        <w:t xml:space="preserve"> of the Companies Act, demanding payment of the debt, the latter has failed to settle such indebtedness to the bank. This means, so the case on behalf of Bidvest </w:t>
      </w:r>
      <w:r w:rsidR="00C52B2F">
        <w:rPr>
          <w:color w:val="000000"/>
        </w:rPr>
        <w:t xml:space="preserve">Bank </w:t>
      </w:r>
      <w:r w:rsidR="0099021B">
        <w:rPr>
          <w:color w:val="000000"/>
        </w:rPr>
        <w:t xml:space="preserve">continues, that EQ Emporium </w:t>
      </w:r>
      <w:r w:rsidR="00824F5A" w:rsidRPr="0099021B">
        <w:rPr>
          <w:color w:val="000000"/>
        </w:rPr>
        <w:t xml:space="preserve">is therefore deemed to be commercially insolvent since it has neglected to pay, secure or compound the sum demanded. </w:t>
      </w:r>
    </w:p>
    <w:p w14:paraId="75C4D08E" w14:textId="4675B496" w:rsidR="00557B42" w:rsidRDefault="005B0288" w:rsidP="005B0288">
      <w:pPr>
        <w:spacing w:after="120" w:line="360" w:lineRule="auto"/>
        <w:jc w:val="both"/>
        <w:outlineLvl w:val="0"/>
        <w:rPr>
          <w:color w:val="000000"/>
        </w:rPr>
      </w:pPr>
      <w:r>
        <w:rPr>
          <w:color w:val="000000"/>
        </w:rPr>
        <w:t>[4].</w:t>
      </w:r>
      <w:r>
        <w:rPr>
          <w:color w:val="000000"/>
        </w:rPr>
        <w:tab/>
      </w:r>
      <w:r w:rsidR="001139A8">
        <w:rPr>
          <w:color w:val="000000"/>
        </w:rPr>
        <w:t xml:space="preserve">EQ Emporium </w:t>
      </w:r>
      <w:r w:rsidR="00824F5A" w:rsidRPr="00824F5A">
        <w:rPr>
          <w:color w:val="000000"/>
        </w:rPr>
        <w:t xml:space="preserve">contends that </w:t>
      </w:r>
      <w:r w:rsidR="001139A8">
        <w:rPr>
          <w:color w:val="000000"/>
        </w:rPr>
        <w:t xml:space="preserve">Bidvest Bank </w:t>
      </w:r>
      <w:r w:rsidR="00824F5A" w:rsidRPr="00824F5A">
        <w:rPr>
          <w:color w:val="000000"/>
        </w:rPr>
        <w:t xml:space="preserve">refused to make payment of certain trade bills as requested by </w:t>
      </w:r>
      <w:r w:rsidR="001139A8">
        <w:rPr>
          <w:color w:val="000000"/>
        </w:rPr>
        <w:t>it. T</w:t>
      </w:r>
      <w:r w:rsidR="00824F5A" w:rsidRPr="00824F5A">
        <w:rPr>
          <w:color w:val="000000"/>
        </w:rPr>
        <w:t>herefore</w:t>
      </w:r>
      <w:r w:rsidR="001139A8">
        <w:rPr>
          <w:color w:val="000000"/>
        </w:rPr>
        <w:t>, so the contention on behalf of EQ Emporium goes,</w:t>
      </w:r>
      <w:r w:rsidR="00824F5A" w:rsidRPr="00824F5A">
        <w:rPr>
          <w:color w:val="000000"/>
        </w:rPr>
        <w:t xml:space="preserve"> </w:t>
      </w:r>
      <w:r w:rsidR="001139A8">
        <w:rPr>
          <w:color w:val="000000"/>
        </w:rPr>
        <w:t>its</w:t>
      </w:r>
      <w:r w:rsidR="00824F5A" w:rsidRPr="00824F5A">
        <w:rPr>
          <w:color w:val="000000"/>
        </w:rPr>
        <w:t xml:space="preserve"> obligation to make repayment of other trade bills</w:t>
      </w:r>
      <w:r w:rsidR="001139A8">
        <w:rPr>
          <w:color w:val="000000"/>
        </w:rPr>
        <w:t>,</w:t>
      </w:r>
      <w:r w:rsidR="00824F5A" w:rsidRPr="00824F5A">
        <w:rPr>
          <w:color w:val="000000"/>
        </w:rPr>
        <w:t xml:space="preserve"> which the </w:t>
      </w:r>
      <w:r w:rsidR="001139A8">
        <w:rPr>
          <w:color w:val="000000"/>
        </w:rPr>
        <w:t>bank</w:t>
      </w:r>
      <w:r w:rsidR="00824F5A" w:rsidRPr="00824F5A">
        <w:rPr>
          <w:color w:val="000000"/>
        </w:rPr>
        <w:t xml:space="preserve"> had paid </w:t>
      </w:r>
      <w:r w:rsidR="001139A8">
        <w:rPr>
          <w:color w:val="000000"/>
        </w:rPr>
        <w:t xml:space="preserve">on its behalf, </w:t>
      </w:r>
      <w:r w:rsidR="00824F5A" w:rsidRPr="00824F5A">
        <w:rPr>
          <w:color w:val="000000"/>
        </w:rPr>
        <w:t xml:space="preserve">was suspended until the </w:t>
      </w:r>
      <w:r w:rsidR="001139A8">
        <w:rPr>
          <w:color w:val="000000"/>
        </w:rPr>
        <w:t>bank</w:t>
      </w:r>
      <w:r w:rsidR="00824F5A" w:rsidRPr="00824F5A">
        <w:rPr>
          <w:color w:val="000000"/>
        </w:rPr>
        <w:t xml:space="preserve"> complied with its </w:t>
      </w:r>
      <w:r w:rsidR="001139A8">
        <w:rPr>
          <w:color w:val="000000"/>
        </w:rPr>
        <w:t>‘</w:t>
      </w:r>
      <w:r w:rsidR="00824F5A" w:rsidRPr="00824F5A">
        <w:rPr>
          <w:color w:val="000000"/>
        </w:rPr>
        <w:t>reciprocal</w:t>
      </w:r>
      <w:r w:rsidR="001139A8">
        <w:rPr>
          <w:color w:val="000000"/>
        </w:rPr>
        <w:t>’</w:t>
      </w:r>
      <w:r w:rsidR="00824F5A" w:rsidRPr="00824F5A">
        <w:rPr>
          <w:color w:val="000000"/>
        </w:rPr>
        <w:t xml:space="preserve"> obligations to make payment of such unpaid trade bills. </w:t>
      </w:r>
      <w:r w:rsidR="001139A8">
        <w:rPr>
          <w:color w:val="000000"/>
        </w:rPr>
        <w:t>EQ</w:t>
      </w:r>
      <w:r w:rsidR="000D1AE2">
        <w:rPr>
          <w:color w:val="000000"/>
        </w:rPr>
        <w:t> </w:t>
      </w:r>
      <w:r w:rsidR="001139A8">
        <w:rPr>
          <w:color w:val="000000"/>
        </w:rPr>
        <w:t>Emporium</w:t>
      </w:r>
      <w:r w:rsidR="000D1AE2">
        <w:rPr>
          <w:color w:val="000000"/>
        </w:rPr>
        <w:t xml:space="preserve">’s </w:t>
      </w:r>
      <w:r w:rsidR="00557B42">
        <w:rPr>
          <w:color w:val="000000"/>
        </w:rPr>
        <w:t>case accordingly</w:t>
      </w:r>
      <w:r w:rsidR="000D1AE2">
        <w:rPr>
          <w:color w:val="000000"/>
        </w:rPr>
        <w:t xml:space="preserve"> </w:t>
      </w:r>
      <w:r w:rsidR="00824F5A" w:rsidRPr="00824F5A">
        <w:rPr>
          <w:color w:val="000000"/>
        </w:rPr>
        <w:t xml:space="preserve">appears to rely on </w:t>
      </w:r>
      <w:r w:rsidR="00557B42">
        <w:rPr>
          <w:color w:val="000000"/>
        </w:rPr>
        <w:t>the</w:t>
      </w:r>
      <w:r w:rsidR="00824F5A" w:rsidRPr="00824F5A">
        <w:rPr>
          <w:color w:val="000000"/>
        </w:rPr>
        <w:t xml:space="preserve"> application of the </w:t>
      </w:r>
      <w:r w:rsidR="00824F5A" w:rsidRPr="00557B42">
        <w:rPr>
          <w:i/>
          <w:iCs/>
          <w:color w:val="000000"/>
        </w:rPr>
        <w:t>exceptio de non adimpleti contractus</w:t>
      </w:r>
      <w:r w:rsidR="00824F5A" w:rsidRPr="00824F5A">
        <w:rPr>
          <w:color w:val="000000"/>
        </w:rPr>
        <w:t xml:space="preserve"> principle</w:t>
      </w:r>
      <w:r w:rsidR="00557B42">
        <w:rPr>
          <w:color w:val="000000"/>
        </w:rPr>
        <w:t xml:space="preserve">. </w:t>
      </w:r>
    </w:p>
    <w:p w14:paraId="0F1C49C2" w14:textId="2151494C" w:rsidR="00516FF7" w:rsidRDefault="005B0288" w:rsidP="005B0288">
      <w:pPr>
        <w:spacing w:after="120" w:line="360" w:lineRule="auto"/>
        <w:jc w:val="both"/>
        <w:outlineLvl w:val="0"/>
        <w:rPr>
          <w:color w:val="000000"/>
        </w:rPr>
      </w:pPr>
      <w:r>
        <w:rPr>
          <w:color w:val="000000"/>
        </w:rPr>
        <w:t>[5].</w:t>
      </w:r>
      <w:r>
        <w:rPr>
          <w:color w:val="000000"/>
        </w:rPr>
        <w:tab/>
      </w:r>
      <w:r w:rsidR="00516FF7">
        <w:rPr>
          <w:color w:val="000000"/>
        </w:rPr>
        <w:t xml:space="preserve">In addition, it is the contention of EQ Emporium that, as a result of Bidvest Bank’s breach of the contractual arrangement between them, it has suffered damages, which it claims from the bank, and which exceeds by far the R8 million claimed by the bank and which grounds the liquidation application. In short, the case of EQ Emporium in its opposition to the liquidation is that it </w:t>
      </w:r>
      <w:r w:rsidR="00564F2B" w:rsidRPr="00564F2B">
        <w:rPr>
          <w:i/>
          <w:iCs/>
          <w:color w:val="000000"/>
        </w:rPr>
        <w:t>bona fide</w:t>
      </w:r>
      <w:r w:rsidR="00564F2B">
        <w:rPr>
          <w:color w:val="000000"/>
        </w:rPr>
        <w:t xml:space="preserve"> </w:t>
      </w:r>
      <w:r w:rsidR="00516FF7">
        <w:rPr>
          <w:color w:val="000000"/>
        </w:rPr>
        <w:t xml:space="preserve">disputes its indebtedness to the bank on </w:t>
      </w:r>
      <w:r w:rsidR="00564F2B">
        <w:rPr>
          <w:color w:val="000000"/>
        </w:rPr>
        <w:t>reasonable</w:t>
      </w:r>
      <w:r w:rsidR="00516FF7">
        <w:rPr>
          <w:color w:val="000000"/>
        </w:rPr>
        <w:t xml:space="preserve"> grounds – the so called </w:t>
      </w:r>
      <w:r w:rsidR="00516FF7" w:rsidRPr="00516FF7">
        <w:rPr>
          <w:i/>
          <w:iCs/>
          <w:color w:val="000000"/>
        </w:rPr>
        <w:t>Badenhorst</w:t>
      </w:r>
      <w:r w:rsidR="00516FF7">
        <w:rPr>
          <w:color w:val="000000"/>
        </w:rPr>
        <w:t xml:space="preserve"> principle.</w:t>
      </w:r>
    </w:p>
    <w:p w14:paraId="30CCF802" w14:textId="08182508" w:rsidR="00564F2B" w:rsidRPr="005B4AB1" w:rsidRDefault="005B0288" w:rsidP="005B0288">
      <w:pPr>
        <w:spacing w:after="120" w:line="360" w:lineRule="auto"/>
        <w:jc w:val="both"/>
        <w:outlineLvl w:val="0"/>
        <w:rPr>
          <w:color w:val="000000"/>
        </w:rPr>
      </w:pPr>
      <w:r w:rsidRPr="005B4AB1">
        <w:rPr>
          <w:color w:val="000000"/>
        </w:rPr>
        <w:t>[6].</w:t>
      </w:r>
      <w:r w:rsidRPr="005B4AB1">
        <w:rPr>
          <w:color w:val="000000"/>
        </w:rPr>
        <w:tab/>
      </w:r>
      <w:r w:rsidR="00516FF7">
        <w:rPr>
          <w:color w:val="000000"/>
        </w:rPr>
        <w:t xml:space="preserve">The question to be considered in this liquidation application is therefore whether EQ Emporium’s disputing of its indebtedness to Bidvest Bank is </w:t>
      </w:r>
      <w:r w:rsidR="00516FF7" w:rsidRPr="00516FF7">
        <w:rPr>
          <w:i/>
          <w:iCs/>
          <w:color w:val="000000"/>
        </w:rPr>
        <w:t>bona fide</w:t>
      </w:r>
      <w:r w:rsidR="005B4AB1">
        <w:rPr>
          <w:color w:val="000000"/>
        </w:rPr>
        <w:t xml:space="preserve"> and on reasonable grounds. In that regard, it is a trite principle of the law relating to w</w:t>
      </w:r>
      <w:r w:rsidR="00564F2B" w:rsidRPr="005B4AB1">
        <w:rPr>
          <w:color w:val="000000"/>
        </w:rPr>
        <w:t>inding-up proceedings</w:t>
      </w:r>
      <w:r w:rsidR="005B4AB1">
        <w:rPr>
          <w:color w:val="000000"/>
        </w:rPr>
        <w:t xml:space="preserve"> that such proceedings</w:t>
      </w:r>
      <w:r w:rsidR="00564F2B" w:rsidRPr="005B4AB1">
        <w:rPr>
          <w:color w:val="000000"/>
        </w:rPr>
        <w:t xml:space="preserve"> ought not to be resorted to in order by means thereof to enforce payment of a debt, the existence of which is </w:t>
      </w:r>
      <w:r w:rsidR="00564F2B" w:rsidRPr="005B4AB1">
        <w:rPr>
          <w:i/>
          <w:iCs/>
          <w:color w:val="000000"/>
        </w:rPr>
        <w:t>bona fide</w:t>
      </w:r>
      <w:r w:rsidR="00564F2B" w:rsidRPr="005B4AB1">
        <w:rPr>
          <w:color w:val="000000"/>
        </w:rPr>
        <w:t xml:space="preserve"> disputed by the company on reasonable grounds</w:t>
      </w:r>
      <w:r w:rsidR="005B4AB1">
        <w:rPr>
          <w:color w:val="000000"/>
        </w:rPr>
        <w:t>. T</w:t>
      </w:r>
      <w:r w:rsidR="00564F2B" w:rsidRPr="005B4AB1">
        <w:rPr>
          <w:color w:val="000000"/>
        </w:rPr>
        <w:t xml:space="preserve">he </w:t>
      </w:r>
      <w:r w:rsidR="00564F2B" w:rsidRPr="005B4AB1">
        <w:rPr>
          <w:color w:val="000000"/>
        </w:rPr>
        <w:lastRenderedPageBreak/>
        <w:t>procedure for winding-up is not designed for the resolution of disputes as to the existence or non-existence of a debt</w:t>
      </w:r>
      <w:r w:rsidR="00E73623">
        <w:rPr>
          <w:rStyle w:val="FootnoteReference"/>
          <w:color w:val="000000"/>
        </w:rPr>
        <w:footnoteReference w:id="3"/>
      </w:r>
      <w:r w:rsidR="00564F2B" w:rsidRPr="005B4AB1">
        <w:rPr>
          <w:color w:val="000000"/>
        </w:rPr>
        <w:t>.</w:t>
      </w:r>
    </w:p>
    <w:p w14:paraId="6CFDB0F0" w14:textId="66F60B30" w:rsidR="00824F5A" w:rsidRPr="00C52B2F" w:rsidRDefault="005B0288" w:rsidP="005B0288">
      <w:pPr>
        <w:spacing w:line="360" w:lineRule="auto"/>
        <w:jc w:val="both"/>
        <w:outlineLvl w:val="0"/>
        <w:rPr>
          <w:color w:val="000000"/>
        </w:rPr>
      </w:pPr>
      <w:r w:rsidRPr="00C52B2F">
        <w:rPr>
          <w:color w:val="000000"/>
        </w:rPr>
        <w:t>[7].</w:t>
      </w:r>
      <w:r w:rsidRPr="00C52B2F">
        <w:rPr>
          <w:color w:val="000000"/>
        </w:rPr>
        <w:tab/>
      </w:r>
      <w:r w:rsidR="00C52B2F">
        <w:rPr>
          <w:color w:val="000000"/>
        </w:rPr>
        <w:t>As I have already indicated, Bidvest Bank,</w:t>
      </w:r>
      <w:r w:rsidR="00824F5A" w:rsidRPr="00C52B2F">
        <w:rPr>
          <w:color w:val="000000"/>
        </w:rPr>
        <w:t xml:space="preserve"> in essence</w:t>
      </w:r>
      <w:r w:rsidR="00C52B2F">
        <w:rPr>
          <w:color w:val="000000"/>
        </w:rPr>
        <w:t>,</w:t>
      </w:r>
      <w:r w:rsidR="00824F5A" w:rsidRPr="00C52B2F">
        <w:rPr>
          <w:color w:val="000000"/>
        </w:rPr>
        <w:t xml:space="preserve"> contends that </w:t>
      </w:r>
      <w:r w:rsidR="00C52B2F">
        <w:rPr>
          <w:color w:val="000000"/>
        </w:rPr>
        <w:t xml:space="preserve">EQ Emporium </w:t>
      </w:r>
      <w:r w:rsidR="00824F5A" w:rsidRPr="00C52B2F">
        <w:rPr>
          <w:color w:val="000000"/>
        </w:rPr>
        <w:t xml:space="preserve">is commercially insolvent and is unable to pay its debts. In </w:t>
      </w:r>
      <w:r w:rsidR="00D36F4F">
        <w:rPr>
          <w:i/>
          <w:iCs/>
          <w:color w:val="000000"/>
        </w:rPr>
        <w:t>Absa Bank</w:t>
      </w:r>
      <w:r w:rsidR="00824F5A" w:rsidRPr="00C52B2F">
        <w:rPr>
          <w:i/>
          <w:iCs/>
          <w:color w:val="000000"/>
        </w:rPr>
        <w:t xml:space="preserve"> Ltd v Rhebokskloof (Pty) Ltd</w:t>
      </w:r>
      <w:r w:rsidR="00D36F4F">
        <w:rPr>
          <w:rStyle w:val="FootnoteReference"/>
          <w:i/>
          <w:iCs/>
          <w:color w:val="000000"/>
        </w:rPr>
        <w:footnoteReference w:id="4"/>
      </w:r>
      <w:r w:rsidR="00C52B2F">
        <w:rPr>
          <w:color w:val="000000"/>
        </w:rPr>
        <w:t xml:space="preserve">, </w:t>
      </w:r>
      <w:r w:rsidR="00824F5A" w:rsidRPr="00C52B2F">
        <w:rPr>
          <w:color w:val="000000"/>
        </w:rPr>
        <w:t xml:space="preserve">Berman J held as follows in </w:t>
      </w:r>
      <w:r w:rsidR="00D36F4F">
        <w:rPr>
          <w:color w:val="000000"/>
        </w:rPr>
        <w:t>that</w:t>
      </w:r>
      <w:r w:rsidR="00824F5A" w:rsidRPr="00C52B2F">
        <w:rPr>
          <w:color w:val="000000"/>
        </w:rPr>
        <w:t xml:space="preserve"> regard:</w:t>
      </w:r>
    </w:p>
    <w:p w14:paraId="6DEE21AA" w14:textId="628228A2" w:rsidR="00824F5A" w:rsidRPr="00D36F4F" w:rsidRDefault="00D36F4F" w:rsidP="00D36F4F">
      <w:pPr>
        <w:spacing w:line="360" w:lineRule="auto"/>
        <w:jc w:val="both"/>
        <w:outlineLvl w:val="0"/>
        <w:rPr>
          <w:color w:val="000000"/>
          <w:sz w:val="22"/>
          <w:szCs w:val="22"/>
        </w:rPr>
      </w:pPr>
      <w:r w:rsidRPr="00D36F4F">
        <w:rPr>
          <w:color w:val="000000"/>
          <w:sz w:val="22"/>
          <w:szCs w:val="22"/>
        </w:rPr>
        <w:t>‘</w:t>
      </w:r>
      <w:r w:rsidR="00824F5A" w:rsidRPr="00D36F4F">
        <w:rPr>
          <w:color w:val="000000"/>
          <w:sz w:val="22"/>
          <w:szCs w:val="22"/>
        </w:rPr>
        <w:t xml:space="preserve">The primary question which a Court is called upon to answer in deciding whether or not a company carrying on business should be wound up as commercially insolvent is whether or not it has liquid assets or readily realisable assets available to meet its liabilities as they fall due to be met in the ordinary course of business and thereafter to be in a position to carry on normal trading </w:t>
      </w:r>
      <w:r w:rsidR="00A02DE5">
        <w:rPr>
          <w:color w:val="000000"/>
          <w:sz w:val="22"/>
          <w:szCs w:val="22"/>
        </w:rPr>
        <w:t>–</w:t>
      </w:r>
      <w:r w:rsidR="00824F5A" w:rsidRPr="00D36F4F">
        <w:rPr>
          <w:color w:val="000000"/>
          <w:sz w:val="22"/>
          <w:szCs w:val="22"/>
        </w:rPr>
        <w:t xml:space="preserve"> in</w:t>
      </w:r>
      <w:r w:rsidR="00A02DE5">
        <w:rPr>
          <w:color w:val="000000"/>
          <w:sz w:val="22"/>
          <w:szCs w:val="22"/>
        </w:rPr>
        <w:t xml:space="preserve"> </w:t>
      </w:r>
      <w:r w:rsidR="00824F5A" w:rsidRPr="00D36F4F">
        <w:rPr>
          <w:color w:val="000000"/>
          <w:sz w:val="22"/>
          <w:szCs w:val="22"/>
        </w:rPr>
        <w:t xml:space="preserve">other words, can the company meet current demands on it and remain buoyant? It matters not that the company's assets, fairly valued, far exceed its liabilities: once the Court finds that it cannot do this, it follows that it is entitled to, and should, hold that the company is unable to pay its debts within the meaning of s 345(1)(c) as read with s 3440 of the Companies Act 61 of 1973 and is accordingly liable to be wound up. As Caney J said in </w:t>
      </w:r>
      <w:r w:rsidR="00824F5A" w:rsidRPr="00A02DE5">
        <w:rPr>
          <w:i/>
          <w:iCs/>
          <w:color w:val="000000"/>
          <w:sz w:val="22"/>
          <w:szCs w:val="22"/>
        </w:rPr>
        <w:t>Rosenbach &amp; Co (Pty) Ltd v Singh's</w:t>
      </w:r>
      <w:r w:rsidRPr="00A02DE5">
        <w:rPr>
          <w:i/>
          <w:iCs/>
          <w:color w:val="000000"/>
          <w:sz w:val="22"/>
          <w:szCs w:val="22"/>
        </w:rPr>
        <w:t xml:space="preserve"> </w:t>
      </w:r>
      <w:r w:rsidR="00824F5A" w:rsidRPr="00A02DE5">
        <w:rPr>
          <w:i/>
          <w:iCs/>
          <w:color w:val="000000"/>
          <w:sz w:val="22"/>
          <w:szCs w:val="22"/>
        </w:rPr>
        <w:t>Bazaar (Pty) Ltd</w:t>
      </w:r>
      <w:r w:rsidR="00824F5A" w:rsidRPr="00D36F4F">
        <w:rPr>
          <w:color w:val="000000"/>
          <w:sz w:val="22"/>
          <w:szCs w:val="22"/>
        </w:rPr>
        <w:t xml:space="preserve"> 1962 (4) SA 593 (D) at 597E-F.</w:t>
      </w:r>
    </w:p>
    <w:p w14:paraId="5DDA3711" w14:textId="148C18E1" w:rsidR="00824F5A" w:rsidRPr="00D36F4F" w:rsidRDefault="00D36F4F" w:rsidP="00D36F4F">
      <w:pPr>
        <w:spacing w:after="120" w:line="360" w:lineRule="auto"/>
        <w:ind w:left="567"/>
        <w:jc w:val="both"/>
        <w:outlineLvl w:val="0"/>
        <w:rPr>
          <w:color w:val="000000"/>
          <w:sz w:val="22"/>
          <w:szCs w:val="22"/>
        </w:rPr>
      </w:pPr>
      <w:r>
        <w:rPr>
          <w:color w:val="000000"/>
          <w:sz w:val="22"/>
          <w:szCs w:val="22"/>
        </w:rPr>
        <w:t>“</w:t>
      </w:r>
      <w:r w:rsidR="00824F5A" w:rsidRPr="00D36F4F">
        <w:rPr>
          <w:color w:val="000000"/>
          <w:sz w:val="22"/>
          <w:szCs w:val="22"/>
        </w:rPr>
        <w:t>If the company is in fact solvent, in the sense of its assets exceeding its liabilities, this may or may not, depending upon the circumstances, lead to a refusal of a winding-up order; the circumstances particularly to be taken into consideration against the making of an order are such as show that there are liquid assets or readily realisable assets available out of which, or the proceeds of which, the company is in fact able to pay its debts</w:t>
      </w:r>
      <w:r w:rsidRPr="00D36F4F">
        <w:rPr>
          <w:color w:val="000000"/>
          <w:sz w:val="22"/>
          <w:szCs w:val="22"/>
        </w:rPr>
        <w:t>”.’</w:t>
      </w:r>
    </w:p>
    <w:p w14:paraId="7C4C9D05" w14:textId="3257A231" w:rsidR="00A80D78" w:rsidRDefault="005B0288" w:rsidP="005B0288">
      <w:pPr>
        <w:spacing w:after="120" w:line="360" w:lineRule="auto"/>
        <w:jc w:val="both"/>
        <w:outlineLvl w:val="0"/>
        <w:rPr>
          <w:color w:val="000000"/>
        </w:rPr>
      </w:pPr>
      <w:r>
        <w:rPr>
          <w:color w:val="000000"/>
        </w:rPr>
        <w:t>[8].</w:t>
      </w:r>
      <w:r>
        <w:rPr>
          <w:color w:val="000000"/>
        </w:rPr>
        <w:tab/>
      </w:r>
      <w:r w:rsidR="00824F5A" w:rsidRPr="00A80D78">
        <w:rPr>
          <w:i/>
          <w:iCs/>
          <w:color w:val="000000"/>
        </w:rPr>
        <w:t xml:space="preserve">In </w:t>
      </w:r>
      <w:r w:rsidR="00A80D78" w:rsidRPr="00A80D78">
        <w:rPr>
          <w:i/>
          <w:iCs/>
          <w:color w:val="000000"/>
        </w:rPr>
        <w:t>casu</w:t>
      </w:r>
      <w:r w:rsidR="00A80D78">
        <w:rPr>
          <w:color w:val="000000"/>
        </w:rPr>
        <w:t xml:space="preserve">, </w:t>
      </w:r>
      <w:r w:rsidR="00824F5A" w:rsidRPr="00824F5A">
        <w:rPr>
          <w:color w:val="000000"/>
        </w:rPr>
        <w:t>it is therefore necessary to establish whether</w:t>
      </w:r>
      <w:r w:rsidR="00A80D78">
        <w:rPr>
          <w:color w:val="000000"/>
        </w:rPr>
        <w:t xml:space="preserve"> </w:t>
      </w:r>
      <w:r w:rsidR="00210D1B">
        <w:rPr>
          <w:color w:val="000000"/>
        </w:rPr>
        <w:t xml:space="preserve">EQ Emporium </w:t>
      </w:r>
      <w:r w:rsidR="00210D1B" w:rsidRPr="00210D1B">
        <w:rPr>
          <w:i/>
          <w:iCs/>
          <w:color w:val="000000"/>
        </w:rPr>
        <w:t>bona</w:t>
      </w:r>
      <w:r w:rsidR="00210D1B">
        <w:rPr>
          <w:color w:val="000000"/>
        </w:rPr>
        <w:t xml:space="preserve"> </w:t>
      </w:r>
      <w:r w:rsidR="00210D1B" w:rsidRPr="00210D1B">
        <w:rPr>
          <w:i/>
          <w:iCs/>
          <w:color w:val="000000"/>
        </w:rPr>
        <w:t>fide</w:t>
      </w:r>
      <w:r w:rsidR="00210D1B">
        <w:rPr>
          <w:color w:val="000000"/>
        </w:rPr>
        <w:t xml:space="preserve"> disputes its indebtedness to Bidvest Bank on reasonable grounds. That, in turn, requires an assessment of the sustainability from a legal point of view of EQ Emporium’s contention that the bank breached the agreement in refusing to make payment of trade bills presented to it by EQ Emporium for settlement. This </w:t>
      </w:r>
      <w:r w:rsidR="00210D1B">
        <w:rPr>
          <w:color w:val="000000"/>
        </w:rPr>
        <w:lastRenderedPageBreak/>
        <w:t>assessment would, in my view, also take care of the ‘defence’ based on a counterclaim for damages. The point is that, if the defence against the indebtedness is bad in law, the counterclaim also falls flat.</w:t>
      </w:r>
    </w:p>
    <w:p w14:paraId="27C1BBBD" w14:textId="44816049" w:rsidR="0018590F" w:rsidRDefault="005B0288" w:rsidP="005B0288">
      <w:pPr>
        <w:spacing w:after="120" w:line="360" w:lineRule="auto"/>
        <w:jc w:val="both"/>
        <w:outlineLvl w:val="0"/>
        <w:rPr>
          <w:color w:val="000000"/>
        </w:rPr>
      </w:pPr>
      <w:r>
        <w:rPr>
          <w:color w:val="000000"/>
        </w:rPr>
        <w:t>[9].</w:t>
      </w:r>
      <w:r>
        <w:rPr>
          <w:color w:val="000000"/>
        </w:rPr>
        <w:tab/>
      </w:r>
      <w:r w:rsidR="00210D1B">
        <w:rPr>
          <w:color w:val="000000"/>
        </w:rPr>
        <w:t>Before dealing with the sustainability of the defence raised by EQ Emporium</w:t>
      </w:r>
      <w:r w:rsidR="0018590F">
        <w:rPr>
          <w:color w:val="000000"/>
        </w:rPr>
        <w:t xml:space="preserve">, I need to address a preliminary point relied upon by it and that relates to the service of the </w:t>
      </w:r>
      <w:r w:rsidR="00824F5A" w:rsidRPr="00824F5A">
        <w:rPr>
          <w:color w:val="000000"/>
        </w:rPr>
        <w:t>section 345</w:t>
      </w:r>
      <w:r w:rsidR="00DA1585">
        <w:rPr>
          <w:color w:val="000000"/>
        </w:rPr>
        <w:t>(1)(a)(i)</w:t>
      </w:r>
      <w:r w:rsidR="00824F5A" w:rsidRPr="00824F5A">
        <w:rPr>
          <w:color w:val="000000"/>
        </w:rPr>
        <w:t xml:space="preserve"> statutory demand</w:t>
      </w:r>
      <w:r w:rsidR="0018590F">
        <w:rPr>
          <w:color w:val="000000"/>
        </w:rPr>
        <w:t>, which, according to EQ Emporium,</w:t>
      </w:r>
      <w:r w:rsidR="00824F5A" w:rsidRPr="00824F5A">
        <w:rPr>
          <w:color w:val="000000"/>
        </w:rPr>
        <w:t xml:space="preserve"> was not served on </w:t>
      </w:r>
      <w:r w:rsidR="0018590F">
        <w:rPr>
          <w:color w:val="000000"/>
        </w:rPr>
        <w:t>it</w:t>
      </w:r>
      <w:r w:rsidR="00824F5A" w:rsidRPr="00824F5A">
        <w:rPr>
          <w:color w:val="000000"/>
        </w:rPr>
        <w:t xml:space="preserve">. </w:t>
      </w:r>
      <w:r w:rsidR="0018590F">
        <w:rPr>
          <w:color w:val="000000"/>
        </w:rPr>
        <w:t xml:space="preserve">I intend giving short thrift to this issue as it clearly lacks merit. </w:t>
      </w:r>
    </w:p>
    <w:p w14:paraId="3B902FA1" w14:textId="64C7151A" w:rsidR="003405F5" w:rsidRDefault="005B0288" w:rsidP="005B0288">
      <w:pPr>
        <w:spacing w:after="120" w:line="360" w:lineRule="auto"/>
        <w:jc w:val="both"/>
        <w:outlineLvl w:val="0"/>
        <w:rPr>
          <w:color w:val="000000"/>
        </w:rPr>
      </w:pPr>
      <w:r>
        <w:rPr>
          <w:color w:val="000000"/>
        </w:rPr>
        <w:t>[10].</w:t>
      </w:r>
      <w:r>
        <w:rPr>
          <w:color w:val="000000"/>
        </w:rPr>
        <w:tab/>
      </w:r>
      <w:r w:rsidR="0018590F">
        <w:rPr>
          <w:color w:val="000000"/>
        </w:rPr>
        <w:t>According to the sheriff’s return of service</w:t>
      </w:r>
      <w:r w:rsidR="003405F5">
        <w:rPr>
          <w:color w:val="000000"/>
        </w:rPr>
        <w:t xml:space="preserve"> relating to the s 345 notice</w:t>
      </w:r>
      <w:r w:rsidR="0018590F">
        <w:rPr>
          <w:color w:val="000000"/>
        </w:rPr>
        <w:t xml:space="preserve">, </w:t>
      </w:r>
      <w:r w:rsidR="003405F5">
        <w:rPr>
          <w:color w:val="000000"/>
        </w:rPr>
        <w:t xml:space="preserve">same </w:t>
      </w:r>
      <w:r w:rsidR="0018590F">
        <w:rPr>
          <w:color w:val="000000"/>
        </w:rPr>
        <w:t>was served</w:t>
      </w:r>
      <w:r w:rsidR="003405F5">
        <w:rPr>
          <w:color w:val="000000"/>
        </w:rPr>
        <w:t xml:space="preserve"> at the registered address of EQ Emporium</w:t>
      </w:r>
      <w:r w:rsidR="0018590F">
        <w:rPr>
          <w:color w:val="000000"/>
        </w:rPr>
        <w:t xml:space="preserve"> on</w:t>
      </w:r>
      <w:r w:rsidR="003405F5">
        <w:rPr>
          <w:color w:val="000000"/>
        </w:rPr>
        <w:t xml:space="preserve"> 25 November 2022 at 12:33 by service on </w:t>
      </w:r>
      <w:r w:rsidR="0018590F">
        <w:rPr>
          <w:color w:val="000000"/>
        </w:rPr>
        <w:t>one</w:t>
      </w:r>
      <w:r w:rsidR="003405F5">
        <w:rPr>
          <w:color w:val="000000"/>
        </w:rPr>
        <w:t xml:space="preserve"> </w:t>
      </w:r>
      <w:r w:rsidR="0018590F">
        <w:rPr>
          <w:color w:val="000000"/>
        </w:rPr>
        <w:t>‘</w:t>
      </w:r>
      <w:r w:rsidR="003405F5">
        <w:rPr>
          <w:color w:val="000000"/>
        </w:rPr>
        <w:t>Mr Brynalon</w:t>
      </w:r>
      <w:r w:rsidR="0018590F">
        <w:rPr>
          <w:color w:val="000000"/>
        </w:rPr>
        <w:t>’</w:t>
      </w:r>
      <w:r w:rsidR="00824F5A" w:rsidRPr="00824F5A">
        <w:rPr>
          <w:color w:val="000000"/>
        </w:rPr>
        <w:t>.</w:t>
      </w:r>
      <w:r w:rsidR="00824F5A" w:rsidRPr="00824F5A">
        <w:rPr>
          <w:color w:val="000000"/>
        </w:rPr>
        <w:tab/>
      </w:r>
      <w:r w:rsidR="003405F5">
        <w:rPr>
          <w:color w:val="000000"/>
        </w:rPr>
        <w:t>As correctly pointed out by Mr Kairinos SC, who appeared on behalf of Bidvest Bank</w:t>
      </w:r>
      <w:r w:rsidR="00824F5A" w:rsidRPr="00824F5A">
        <w:rPr>
          <w:color w:val="000000"/>
        </w:rPr>
        <w:t>,</w:t>
      </w:r>
      <w:r w:rsidR="003405F5">
        <w:rPr>
          <w:color w:val="000000"/>
        </w:rPr>
        <w:t xml:space="preserve"> the deponent to EQ Emporium’s answering affidavit</w:t>
      </w:r>
      <w:r w:rsidR="00430927">
        <w:rPr>
          <w:color w:val="000000"/>
        </w:rPr>
        <w:t>,</w:t>
      </w:r>
      <w:r w:rsidR="003405F5">
        <w:rPr>
          <w:color w:val="000000"/>
        </w:rPr>
        <w:t xml:space="preserve"> dated</w:t>
      </w:r>
      <w:r w:rsidR="00430927">
        <w:rPr>
          <w:color w:val="000000"/>
        </w:rPr>
        <w:t xml:space="preserve"> 15 June 2023,</w:t>
      </w:r>
      <w:r w:rsidR="003405F5">
        <w:rPr>
          <w:color w:val="000000"/>
        </w:rPr>
        <w:t xml:space="preserve"> is Brynalyn Roland Tuckett,</w:t>
      </w:r>
      <w:r w:rsidR="00430927">
        <w:rPr>
          <w:color w:val="000000"/>
        </w:rPr>
        <w:t xml:space="preserve"> its sole director, who also happens to reside at the registered address at which the notice was served by the sheriff. It is, as submitted by Mr Kairinos, way too much of a coincidence that the name of the person mentioned in the sheriff’s return so close</w:t>
      </w:r>
      <w:r w:rsidR="00DA1585">
        <w:rPr>
          <w:color w:val="000000"/>
        </w:rPr>
        <w:t>ly</w:t>
      </w:r>
      <w:r w:rsidR="00430927">
        <w:rPr>
          <w:color w:val="000000"/>
        </w:rPr>
        <w:t xml:space="preserve"> resembles the name of the director of EQ Emporium. The point is that, in these circumstances, it is highly unlikely, </w:t>
      </w:r>
      <w:r w:rsidR="00430927" w:rsidRPr="00430927">
        <w:rPr>
          <w:i/>
          <w:iCs/>
          <w:color w:val="000000"/>
        </w:rPr>
        <w:t>nay</w:t>
      </w:r>
      <w:r w:rsidR="00430927">
        <w:rPr>
          <w:color w:val="000000"/>
        </w:rPr>
        <w:t xml:space="preserve"> nigh impossible, that the said notice was not served as per the sheriff’s return at the registered address of the respondent. The version by EQ Emporium on this aspect of the matter – its denial that the </w:t>
      </w:r>
      <w:r w:rsidR="00392FCA">
        <w:rPr>
          <w:color w:val="000000"/>
        </w:rPr>
        <w:t xml:space="preserve">notice was ever served on it – </w:t>
      </w:r>
      <w:r w:rsidR="00430927">
        <w:rPr>
          <w:color w:val="000000"/>
        </w:rPr>
        <w:t>can</w:t>
      </w:r>
      <w:r w:rsidR="00392FCA">
        <w:rPr>
          <w:color w:val="000000"/>
        </w:rPr>
        <w:t xml:space="preserve"> </w:t>
      </w:r>
      <w:r w:rsidR="00430927">
        <w:rPr>
          <w:color w:val="000000"/>
        </w:rPr>
        <w:t xml:space="preserve">and therefore should be rejected on the papers </w:t>
      </w:r>
      <w:r w:rsidR="00392FCA">
        <w:rPr>
          <w:color w:val="000000"/>
        </w:rPr>
        <w:t>as being far-fetched and untenable.</w:t>
      </w:r>
    </w:p>
    <w:p w14:paraId="68EA1A61" w14:textId="78F832F0" w:rsidR="005728F2" w:rsidRDefault="005B0288" w:rsidP="005B0288">
      <w:pPr>
        <w:spacing w:after="120" w:line="360" w:lineRule="auto"/>
        <w:jc w:val="both"/>
        <w:outlineLvl w:val="0"/>
        <w:rPr>
          <w:color w:val="000000"/>
        </w:rPr>
      </w:pPr>
      <w:r>
        <w:rPr>
          <w:color w:val="000000"/>
        </w:rPr>
        <w:t>[11].</w:t>
      </w:r>
      <w:r>
        <w:rPr>
          <w:color w:val="000000"/>
        </w:rPr>
        <w:tab/>
      </w:r>
      <w:r w:rsidR="00392FCA">
        <w:rPr>
          <w:color w:val="000000"/>
        </w:rPr>
        <w:t xml:space="preserve">That point on behalf of EQ Emporium therefore falls to be rejected out of hand. Moreover, </w:t>
      </w:r>
      <w:r w:rsidR="00824F5A" w:rsidRPr="00392FCA">
        <w:rPr>
          <w:color w:val="000000"/>
        </w:rPr>
        <w:t xml:space="preserve">the </w:t>
      </w:r>
      <w:r w:rsidR="00824F5A" w:rsidRPr="00392FCA">
        <w:rPr>
          <w:i/>
          <w:iCs/>
          <w:color w:val="000000"/>
        </w:rPr>
        <w:t>prima</w:t>
      </w:r>
      <w:r w:rsidR="00824F5A" w:rsidRPr="00392FCA">
        <w:rPr>
          <w:color w:val="000000"/>
        </w:rPr>
        <w:t xml:space="preserve"> </w:t>
      </w:r>
      <w:r w:rsidR="00824F5A" w:rsidRPr="00392FCA">
        <w:rPr>
          <w:i/>
          <w:iCs/>
          <w:color w:val="000000"/>
        </w:rPr>
        <w:t>facie</w:t>
      </w:r>
      <w:r w:rsidR="00824F5A" w:rsidRPr="00392FCA">
        <w:rPr>
          <w:color w:val="000000"/>
        </w:rPr>
        <w:t xml:space="preserve"> nature of the </w:t>
      </w:r>
      <w:r w:rsidR="00392FCA">
        <w:rPr>
          <w:color w:val="000000"/>
        </w:rPr>
        <w:t>s</w:t>
      </w:r>
      <w:r w:rsidR="00824F5A" w:rsidRPr="00392FCA">
        <w:rPr>
          <w:color w:val="000000"/>
        </w:rPr>
        <w:t>heriff</w:t>
      </w:r>
      <w:r w:rsidR="00392FCA">
        <w:rPr>
          <w:color w:val="000000"/>
        </w:rPr>
        <w:t>’</w:t>
      </w:r>
      <w:r w:rsidR="00824F5A" w:rsidRPr="00392FCA">
        <w:rPr>
          <w:color w:val="000000"/>
        </w:rPr>
        <w:t xml:space="preserve">s return of service as indicating that he indeed served the statutory notice of demand at the registered address of </w:t>
      </w:r>
      <w:r w:rsidR="00392FCA">
        <w:rPr>
          <w:color w:val="000000"/>
        </w:rPr>
        <w:t>EQ Emporium</w:t>
      </w:r>
      <w:r w:rsidR="00824F5A" w:rsidRPr="00392FCA">
        <w:rPr>
          <w:color w:val="000000"/>
        </w:rPr>
        <w:t xml:space="preserve"> and did so by serving it on the deponent</w:t>
      </w:r>
      <w:r w:rsidR="00392FCA">
        <w:rPr>
          <w:color w:val="000000"/>
        </w:rPr>
        <w:t xml:space="preserve">, </w:t>
      </w:r>
      <w:r w:rsidR="00824F5A" w:rsidRPr="00392FCA">
        <w:rPr>
          <w:color w:val="000000"/>
        </w:rPr>
        <w:t xml:space="preserve">being the sole director of the </w:t>
      </w:r>
      <w:r w:rsidR="00392FCA">
        <w:rPr>
          <w:color w:val="000000"/>
        </w:rPr>
        <w:t>r</w:t>
      </w:r>
      <w:r w:rsidR="00824F5A" w:rsidRPr="00392FCA">
        <w:rPr>
          <w:color w:val="000000"/>
        </w:rPr>
        <w:t>espondent</w:t>
      </w:r>
      <w:r w:rsidR="00392FCA">
        <w:rPr>
          <w:color w:val="000000"/>
        </w:rPr>
        <w:t xml:space="preserve">, means that </w:t>
      </w:r>
      <w:r w:rsidR="005728F2">
        <w:rPr>
          <w:color w:val="000000"/>
        </w:rPr>
        <w:t>I have to accept as a fact, as I do, that the notice was duly served as required by the said section</w:t>
      </w:r>
      <w:r w:rsidR="00824F5A" w:rsidRPr="00392FCA">
        <w:rPr>
          <w:color w:val="000000"/>
        </w:rPr>
        <w:t>.</w:t>
      </w:r>
      <w:r w:rsidR="005728F2">
        <w:rPr>
          <w:color w:val="000000"/>
        </w:rPr>
        <w:t xml:space="preserve"> That, as I indicated, is the end of that preliminary point. T</w:t>
      </w:r>
      <w:r w:rsidR="00824F5A" w:rsidRPr="005728F2">
        <w:rPr>
          <w:color w:val="000000"/>
        </w:rPr>
        <w:t>he</w:t>
      </w:r>
      <w:r w:rsidR="005728F2">
        <w:rPr>
          <w:color w:val="000000"/>
        </w:rPr>
        <w:t xml:space="preserve"> point is that the</w:t>
      </w:r>
      <w:r w:rsidR="00824F5A" w:rsidRPr="005728F2">
        <w:rPr>
          <w:color w:val="000000"/>
        </w:rPr>
        <w:t xml:space="preserve"> Companies Act requires no more than that the statutory notice of demand be </w:t>
      </w:r>
      <w:r w:rsidR="005728F2">
        <w:rPr>
          <w:color w:val="000000"/>
        </w:rPr>
        <w:t>‘</w:t>
      </w:r>
      <w:r w:rsidR="00824F5A" w:rsidRPr="005728F2">
        <w:rPr>
          <w:color w:val="000000"/>
        </w:rPr>
        <w:t>left</w:t>
      </w:r>
      <w:r w:rsidR="005728F2">
        <w:rPr>
          <w:color w:val="000000"/>
        </w:rPr>
        <w:t>’</w:t>
      </w:r>
      <w:r w:rsidR="00824F5A" w:rsidRPr="005728F2">
        <w:rPr>
          <w:color w:val="000000"/>
        </w:rPr>
        <w:t xml:space="preserve"> at the registered address</w:t>
      </w:r>
      <w:r w:rsidR="005728F2">
        <w:rPr>
          <w:color w:val="000000"/>
        </w:rPr>
        <w:t xml:space="preserve"> of the company – </w:t>
      </w:r>
      <w:r w:rsidR="00824F5A" w:rsidRPr="005728F2">
        <w:rPr>
          <w:color w:val="000000"/>
        </w:rPr>
        <w:t>it</w:t>
      </w:r>
      <w:r w:rsidR="005728F2">
        <w:rPr>
          <w:color w:val="000000"/>
        </w:rPr>
        <w:t xml:space="preserve"> </w:t>
      </w:r>
      <w:r w:rsidR="00824F5A" w:rsidRPr="005728F2">
        <w:rPr>
          <w:color w:val="000000"/>
        </w:rPr>
        <w:t>need not be served personally on a person at such address</w:t>
      </w:r>
      <w:r w:rsidR="005728F2">
        <w:rPr>
          <w:color w:val="000000"/>
        </w:rPr>
        <w:t>.</w:t>
      </w:r>
    </w:p>
    <w:p w14:paraId="6A677F4D" w14:textId="3DFEF48A" w:rsidR="005728F2" w:rsidRDefault="005B0288" w:rsidP="005B0288">
      <w:pPr>
        <w:spacing w:after="120" w:line="360" w:lineRule="auto"/>
        <w:jc w:val="both"/>
        <w:outlineLvl w:val="0"/>
        <w:rPr>
          <w:color w:val="000000"/>
        </w:rPr>
      </w:pPr>
      <w:r>
        <w:rPr>
          <w:color w:val="000000"/>
        </w:rPr>
        <w:lastRenderedPageBreak/>
        <w:t>[12].</w:t>
      </w:r>
      <w:r>
        <w:rPr>
          <w:color w:val="000000"/>
        </w:rPr>
        <w:tab/>
      </w:r>
      <w:r w:rsidR="005728F2">
        <w:rPr>
          <w:color w:val="000000"/>
        </w:rPr>
        <w:t xml:space="preserve">That bring me back to EQ Emporium’s indebtedness to </w:t>
      </w:r>
      <w:r w:rsidR="00564E59">
        <w:rPr>
          <w:color w:val="000000"/>
        </w:rPr>
        <w:t xml:space="preserve">Bidvest Bank and to whether its disputing same is </w:t>
      </w:r>
      <w:r w:rsidR="00564E59" w:rsidRPr="00564E59">
        <w:rPr>
          <w:i/>
          <w:iCs/>
          <w:color w:val="000000"/>
        </w:rPr>
        <w:t>bona fide</w:t>
      </w:r>
      <w:r w:rsidR="00564E59">
        <w:rPr>
          <w:color w:val="000000"/>
        </w:rPr>
        <w:t xml:space="preserve"> and on reasonable grounds.</w:t>
      </w:r>
    </w:p>
    <w:p w14:paraId="36EB307C" w14:textId="322B30E1" w:rsidR="00564E59" w:rsidRDefault="005B0288" w:rsidP="005B0288">
      <w:pPr>
        <w:spacing w:after="120" w:line="360" w:lineRule="auto"/>
        <w:jc w:val="both"/>
        <w:outlineLvl w:val="0"/>
        <w:rPr>
          <w:color w:val="000000"/>
        </w:rPr>
      </w:pPr>
      <w:r>
        <w:rPr>
          <w:color w:val="000000"/>
        </w:rPr>
        <w:t>[13].</w:t>
      </w:r>
      <w:r>
        <w:rPr>
          <w:color w:val="000000"/>
        </w:rPr>
        <w:tab/>
      </w:r>
      <w:r w:rsidR="00564E59">
        <w:rPr>
          <w:color w:val="000000"/>
        </w:rPr>
        <w:t xml:space="preserve">In its answering affidavit, EQ Emporium </w:t>
      </w:r>
      <w:r w:rsidR="00824F5A" w:rsidRPr="00824F5A">
        <w:rPr>
          <w:color w:val="000000"/>
        </w:rPr>
        <w:t>admit</w:t>
      </w:r>
      <w:r w:rsidR="00564E59">
        <w:rPr>
          <w:color w:val="000000"/>
        </w:rPr>
        <w:t xml:space="preserve">s </w:t>
      </w:r>
      <w:r w:rsidR="00824F5A" w:rsidRPr="00824F5A">
        <w:rPr>
          <w:color w:val="000000"/>
        </w:rPr>
        <w:t>that</w:t>
      </w:r>
      <w:r w:rsidR="00564E59">
        <w:rPr>
          <w:color w:val="000000"/>
        </w:rPr>
        <w:t xml:space="preserve"> as and at 30 August 2022, </w:t>
      </w:r>
      <w:r w:rsidR="00824F5A" w:rsidRPr="00824F5A">
        <w:rPr>
          <w:color w:val="000000"/>
        </w:rPr>
        <w:t>trade bills</w:t>
      </w:r>
      <w:r w:rsidR="00564E59">
        <w:rPr>
          <w:color w:val="000000"/>
        </w:rPr>
        <w:t xml:space="preserve"> amounting in total to R7 947 898.57 had been paid on its behalf by the bank in respect of </w:t>
      </w:r>
      <w:r w:rsidR="004E6930">
        <w:rPr>
          <w:color w:val="000000"/>
        </w:rPr>
        <w:t xml:space="preserve">trade bills dated from 22 March 2022 to 30 August 2022. In terms of the agreement between the parties and the terms and conditions of the credit facilities afforded to EQ Emporium, the due dates for repayment of these amounts paid on behalf of the said company ranged from 19 July 2022 to 23 November 2022. </w:t>
      </w:r>
    </w:p>
    <w:p w14:paraId="4CD6CE3E" w14:textId="2150C1E5" w:rsidR="00233EB7" w:rsidRDefault="005B0288" w:rsidP="005B0288">
      <w:pPr>
        <w:spacing w:after="120" w:line="360" w:lineRule="auto"/>
        <w:jc w:val="both"/>
        <w:outlineLvl w:val="0"/>
        <w:rPr>
          <w:color w:val="000000"/>
        </w:rPr>
      </w:pPr>
      <w:r>
        <w:rPr>
          <w:color w:val="000000"/>
        </w:rPr>
        <w:t>[14].</w:t>
      </w:r>
      <w:r>
        <w:rPr>
          <w:color w:val="000000"/>
        </w:rPr>
        <w:tab/>
      </w:r>
      <w:r w:rsidR="00233EB7">
        <w:rPr>
          <w:color w:val="000000"/>
        </w:rPr>
        <w:t xml:space="preserve">By 30 August 2022, tax invoices to the tune of about R2.064 million had become overdue and payable by EQ Emporium to Bidvest Bank. It was at that stage that the bank decided that </w:t>
      </w:r>
      <w:r w:rsidR="000B58E3">
        <w:rPr>
          <w:color w:val="000000"/>
        </w:rPr>
        <w:t xml:space="preserve">it </w:t>
      </w:r>
      <w:r w:rsidR="00233EB7">
        <w:rPr>
          <w:color w:val="000000"/>
        </w:rPr>
        <w:t xml:space="preserve">would not continue paying trade bills as and when presented to it for payment by the company. Its </w:t>
      </w:r>
      <w:r w:rsidR="00824F5A" w:rsidRPr="00233EB7">
        <w:rPr>
          <w:color w:val="000000"/>
        </w:rPr>
        <w:t>obligation to pay future trade bills</w:t>
      </w:r>
      <w:r w:rsidR="00233EB7">
        <w:rPr>
          <w:color w:val="000000"/>
        </w:rPr>
        <w:t>, so Bidvest Bank contends,</w:t>
      </w:r>
      <w:r w:rsidR="00824F5A" w:rsidRPr="00233EB7">
        <w:rPr>
          <w:color w:val="000000"/>
        </w:rPr>
        <w:t xml:space="preserve"> was conditional upon </w:t>
      </w:r>
      <w:r w:rsidR="00233EB7">
        <w:rPr>
          <w:color w:val="000000"/>
        </w:rPr>
        <w:t>EQ Emporium</w:t>
      </w:r>
      <w:r w:rsidR="00824F5A" w:rsidRPr="00233EB7">
        <w:rPr>
          <w:color w:val="000000"/>
        </w:rPr>
        <w:t xml:space="preserve"> having made payment timeously of invoices for previous trade bills paid by the </w:t>
      </w:r>
      <w:r w:rsidR="00233EB7">
        <w:rPr>
          <w:color w:val="000000"/>
        </w:rPr>
        <w:t>bank</w:t>
      </w:r>
      <w:r w:rsidR="00824F5A" w:rsidRPr="00233EB7">
        <w:rPr>
          <w:color w:val="000000"/>
        </w:rPr>
        <w:t xml:space="preserve"> on </w:t>
      </w:r>
      <w:r w:rsidR="00233EB7">
        <w:rPr>
          <w:color w:val="000000"/>
        </w:rPr>
        <w:t>EQ Emporium’s</w:t>
      </w:r>
      <w:r w:rsidR="00824F5A" w:rsidRPr="00233EB7">
        <w:rPr>
          <w:color w:val="000000"/>
        </w:rPr>
        <w:t xml:space="preserve"> behalf</w:t>
      </w:r>
      <w:r w:rsidR="00233EB7">
        <w:rPr>
          <w:color w:val="000000"/>
        </w:rPr>
        <w:t xml:space="preserve">. </w:t>
      </w:r>
    </w:p>
    <w:p w14:paraId="1A7B511A" w14:textId="3B64B3C1" w:rsidR="000B58E3" w:rsidRDefault="005B0288" w:rsidP="005B0288">
      <w:pPr>
        <w:spacing w:after="120" w:line="360" w:lineRule="auto"/>
        <w:jc w:val="both"/>
        <w:outlineLvl w:val="0"/>
      </w:pPr>
      <w:r>
        <w:t>[15].</w:t>
      </w:r>
      <w:r>
        <w:tab/>
      </w:r>
      <w:r w:rsidR="000B58E3">
        <w:t xml:space="preserve">EQ Emporium’s defence, as already indicated, </w:t>
      </w:r>
      <w:r w:rsidR="00824F5A" w:rsidRPr="000B58E3">
        <w:t xml:space="preserve">is that </w:t>
      </w:r>
      <w:r w:rsidR="000B58E3">
        <w:t>it was</w:t>
      </w:r>
      <w:r w:rsidR="00824F5A" w:rsidRPr="000B58E3">
        <w:t xml:space="preserve"> excused from making payment pending performance by </w:t>
      </w:r>
      <w:r w:rsidR="000B58E3">
        <w:t xml:space="preserve">Bidvest Bank </w:t>
      </w:r>
      <w:r w:rsidR="00824F5A" w:rsidRPr="000B58E3">
        <w:t xml:space="preserve">of its reciprocal obligations in terms of the trade finance facility and/or </w:t>
      </w:r>
      <w:r w:rsidR="000B58E3">
        <w:t>a</w:t>
      </w:r>
      <w:r w:rsidR="00824F5A" w:rsidRPr="000B58E3">
        <w:t xml:space="preserve"> compromise agreement subsequently reached regarding payment of arrear amounts. </w:t>
      </w:r>
      <w:r w:rsidR="000B58E3">
        <w:t xml:space="preserve">I revert to the compromise agreement shortly. Bidvest Bank is alleged to have </w:t>
      </w:r>
      <w:r w:rsidR="00824F5A" w:rsidRPr="000B58E3">
        <w:t xml:space="preserve">breached the terms of the trade finance facility by not making payment </w:t>
      </w:r>
      <w:r w:rsidR="000B58E3">
        <w:t xml:space="preserve">of </w:t>
      </w:r>
      <w:r w:rsidR="00824F5A" w:rsidRPr="000B58E3">
        <w:t xml:space="preserve">trade bills presented by </w:t>
      </w:r>
      <w:r w:rsidR="000B58E3">
        <w:t>EQ Emporium</w:t>
      </w:r>
      <w:r w:rsidR="00824F5A" w:rsidRPr="000B58E3">
        <w:t xml:space="preserve"> during June 2022</w:t>
      </w:r>
      <w:r w:rsidR="000B58E3">
        <w:t>. The first difficulty with this so-called defence is that it is factually incorrect.</w:t>
      </w:r>
      <w:r w:rsidR="00E125CB">
        <w:t xml:space="preserve"> During June 2022 five trade bills were presented to Bidvest Bank by EQ Emporium for payment to their suppliers. These payments were, by admission by EQ Emporium in its answering affidavit, in fact paid by the bank on behalf of EQ Emporium. It is therefore difficult to understand the case on behalf of EQ Emporium</w:t>
      </w:r>
      <w:r w:rsidR="00DA1585">
        <w:t xml:space="preserve">, which is clearly </w:t>
      </w:r>
      <w:r w:rsidR="00E125CB">
        <w:t xml:space="preserve">devoid of a factual basis. That, in my view, spells the end of the defence on behalf of EQ Emporium – there is no defence whatsoever let alone a </w:t>
      </w:r>
      <w:r w:rsidR="00E125CB" w:rsidRPr="00E125CB">
        <w:rPr>
          <w:i/>
          <w:iCs/>
        </w:rPr>
        <w:t>bona fide</w:t>
      </w:r>
      <w:r w:rsidR="00E125CB">
        <w:t xml:space="preserve"> one.</w:t>
      </w:r>
    </w:p>
    <w:p w14:paraId="2C8166B9" w14:textId="01A894E5" w:rsidR="00824F5A" w:rsidRPr="00824F5A" w:rsidRDefault="005B0288" w:rsidP="005B0288">
      <w:pPr>
        <w:spacing w:after="120" w:line="360" w:lineRule="auto"/>
        <w:jc w:val="both"/>
        <w:outlineLvl w:val="0"/>
        <w:rPr>
          <w:color w:val="000000"/>
        </w:rPr>
      </w:pPr>
      <w:r w:rsidRPr="00824F5A">
        <w:rPr>
          <w:color w:val="000000"/>
        </w:rPr>
        <w:lastRenderedPageBreak/>
        <w:t>[16].</w:t>
      </w:r>
      <w:r w:rsidRPr="00824F5A">
        <w:rPr>
          <w:color w:val="000000"/>
        </w:rPr>
        <w:tab/>
      </w:r>
      <w:r w:rsidR="00E125CB">
        <w:rPr>
          <w:color w:val="000000"/>
        </w:rPr>
        <w:t xml:space="preserve">Moreover, and as indicated </w:t>
      </w:r>
      <w:r w:rsidR="00E125CB" w:rsidRPr="00E125CB">
        <w:rPr>
          <w:i/>
          <w:iCs/>
          <w:color w:val="000000"/>
        </w:rPr>
        <w:t>supra</w:t>
      </w:r>
      <w:r w:rsidR="00E125CB">
        <w:rPr>
          <w:color w:val="000000"/>
        </w:rPr>
        <w:t>, by the end of August 2022, payment of invoices from Bidvest Bank to EQ Emporium, amounting in total to over R2</w:t>
      </w:r>
      <w:r w:rsidR="008222B6">
        <w:rPr>
          <w:color w:val="000000"/>
        </w:rPr>
        <w:t> </w:t>
      </w:r>
      <w:r w:rsidR="00E125CB">
        <w:rPr>
          <w:color w:val="000000"/>
        </w:rPr>
        <w:t>million, was already overdue and payable. This then means that it was in fact EQ Emporium, and not the bank, which was in default of its obligations to perform pursuant to and in terms of the credit facility</w:t>
      </w:r>
      <w:r w:rsidR="004A54B7">
        <w:rPr>
          <w:color w:val="000000"/>
        </w:rPr>
        <w:t xml:space="preserve">. By all accounts, EQ Emporium’s admitted indebtedness to the bank is not disputed </w:t>
      </w:r>
      <w:r w:rsidR="004A54B7" w:rsidRPr="004A54B7">
        <w:rPr>
          <w:i/>
          <w:iCs/>
          <w:color w:val="000000"/>
        </w:rPr>
        <w:t>bona fide</w:t>
      </w:r>
      <w:r w:rsidR="004A54B7">
        <w:rPr>
          <w:color w:val="000000"/>
        </w:rPr>
        <w:t xml:space="preserve"> on reasonable grounds.</w:t>
      </w:r>
    </w:p>
    <w:p w14:paraId="6A59B41F" w14:textId="07A28A84" w:rsidR="00771926" w:rsidRDefault="005B0288" w:rsidP="005B0288">
      <w:pPr>
        <w:spacing w:after="120" w:line="360" w:lineRule="auto"/>
        <w:jc w:val="both"/>
        <w:outlineLvl w:val="0"/>
        <w:rPr>
          <w:color w:val="000000"/>
        </w:rPr>
      </w:pPr>
      <w:r>
        <w:rPr>
          <w:color w:val="000000"/>
        </w:rPr>
        <w:t>[17].</w:t>
      </w:r>
      <w:r>
        <w:rPr>
          <w:color w:val="000000"/>
        </w:rPr>
        <w:tab/>
      </w:r>
      <w:r w:rsidR="00771926">
        <w:rPr>
          <w:color w:val="000000"/>
        </w:rPr>
        <w:t xml:space="preserve">EQ Emporium also disputes liability for its indebtedness to Bidvest Bank on the basis of a compromise agreement concluded between the parties on or about 11 August 2022, in terms of which the bank agreed to reinstate the facility on condition that the EQ Emporium was to make weekly payments in settlement of the overdue amounts. The first payment was due on 24 August 2022 and </w:t>
      </w:r>
      <w:r w:rsidR="00362C0A">
        <w:rPr>
          <w:color w:val="000000"/>
        </w:rPr>
        <w:t>thereafter</w:t>
      </w:r>
      <w:r w:rsidR="00771926">
        <w:rPr>
          <w:color w:val="000000"/>
        </w:rPr>
        <w:t xml:space="preserve"> subsequent payments </w:t>
      </w:r>
      <w:r w:rsidR="00362C0A">
        <w:rPr>
          <w:color w:val="000000"/>
        </w:rPr>
        <w:t xml:space="preserve">at regular </w:t>
      </w:r>
      <w:r w:rsidR="00771926">
        <w:rPr>
          <w:color w:val="000000"/>
        </w:rPr>
        <w:t xml:space="preserve">seven day </w:t>
      </w:r>
      <w:r w:rsidR="00362C0A">
        <w:rPr>
          <w:color w:val="000000"/>
        </w:rPr>
        <w:t>intervals</w:t>
      </w:r>
      <w:r w:rsidR="00771926">
        <w:rPr>
          <w:color w:val="000000"/>
        </w:rPr>
        <w:t xml:space="preserve">, until the whole arrear amounts </w:t>
      </w:r>
      <w:r w:rsidR="00362C0A">
        <w:rPr>
          <w:color w:val="000000"/>
        </w:rPr>
        <w:t>had been</w:t>
      </w:r>
      <w:r w:rsidR="00771926">
        <w:rPr>
          <w:color w:val="000000"/>
        </w:rPr>
        <w:t xml:space="preserve"> brought up to date. It does not appear to be in dispute that, but for payment of the first two instalments, EQ Emporium failed to effect payment of the subsequent instalments and it cannot therefore place any reliance on the compromise agreement.  </w:t>
      </w:r>
    </w:p>
    <w:p w14:paraId="262260F7" w14:textId="0020DBF2" w:rsidR="00C86619" w:rsidRPr="00217F08" w:rsidRDefault="005B0288" w:rsidP="005B0288">
      <w:pPr>
        <w:spacing w:after="120" w:line="360" w:lineRule="auto"/>
        <w:jc w:val="both"/>
        <w:outlineLvl w:val="0"/>
        <w:rPr>
          <w:color w:val="000000"/>
        </w:rPr>
      </w:pPr>
      <w:r w:rsidRPr="00217F08">
        <w:rPr>
          <w:color w:val="000000"/>
        </w:rPr>
        <w:t>[18].</w:t>
      </w:r>
      <w:r w:rsidRPr="00217F08">
        <w:rPr>
          <w:color w:val="000000"/>
        </w:rPr>
        <w:tab/>
      </w:r>
      <w:r w:rsidR="00C86619" w:rsidRPr="00C86619">
        <w:rPr>
          <w:color w:val="000000"/>
        </w:rPr>
        <w:t>A company is conclusively deemed unable to pay its debts when it fails to positively respond to a demand in terms of section 345 of the Companies</w:t>
      </w:r>
      <w:r w:rsidR="00217F08">
        <w:rPr>
          <w:color w:val="000000"/>
        </w:rPr>
        <w:t xml:space="preserve"> </w:t>
      </w:r>
      <w:r w:rsidR="00C86619" w:rsidRPr="00217F08">
        <w:rPr>
          <w:color w:val="000000"/>
        </w:rPr>
        <w:t xml:space="preserve">Act.  The phrase </w:t>
      </w:r>
      <w:r w:rsidR="00217F08">
        <w:rPr>
          <w:color w:val="000000"/>
        </w:rPr>
        <w:t>‘</w:t>
      </w:r>
      <w:r w:rsidR="00C86619" w:rsidRPr="00217F08">
        <w:rPr>
          <w:color w:val="000000"/>
        </w:rPr>
        <w:t>unable to pay its debts</w:t>
      </w:r>
      <w:r w:rsidR="00217F08">
        <w:rPr>
          <w:color w:val="000000"/>
        </w:rPr>
        <w:t>’</w:t>
      </w:r>
      <w:r w:rsidR="00C86619" w:rsidRPr="00217F08">
        <w:rPr>
          <w:color w:val="000000"/>
        </w:rPr>
        <w:t xml:space="preserve"> connotes insolvency in the commercial sense, namely an inability to meet its day-to-day liabilities, even though the company’s assets may exceed its liabilities.   </w:t>
      </w:r>
    </w:p>
    <w:p w14:paraId="600533EA" w14:textId="4FAECDFA" w:rsidR="00C86619" w:rsidRPr="00630816" w:rsidRDefault="005B0288" w:rsidP="005B0288">
      <w:pPr>
        <w:spacing w:after="120" w:line="360" w:lineRule="auto"/>
        <w:jc w:val="both"/>
        <w:outlineLvl w:val="0"/>
        <w:rPr>
          <w:color w:val="000000"/>
        </w:rPr>
      </w:pPr>
      <w:r w:rsidRPr="00630816">
        <w:rPr>
          <w:color w:val="000000"/>
        </w:rPr>
        <w:t>[19].</w:t>
      </w:r>
      <w:r w:rsidRPr="00630816">
        <w:rPr>
          <w:color w:val="000000"/>
        </w:rPr>
        <w:tab/>
      </w:r>
      <w:r w:rsidR="00217F08" w:rsidRPr="00217F08">
        <w:rPr>
          <w:i/>
          <w:iCs/>
          <w:color w:val="000000"/>
        </w:rPr>
        <w:t>In casu</w:t>
      </w:r>
      <w:r w:rsidR="00217F08">
        <w:rPr>
          <w:color w:val="000000"/>
        </w:rPr>
        <w:t xml:space="preserve">, an amount </w:t>
      </w:r>
      <w:r w:rsidR="0012279D">
        <w:rPr>
          <w:color w:val="000000"/>
        </w:rPr>
        <w:t xml:space="preserve">of about </w:t>
      </w:r>
      <w:r w:rsidR="00D25037">
        <w:rPr>
          <w:color w:val="000000"/>
        </w:rPr>
        <w:t>R8</w:t>
      </w:r>
      <w:r w:rsidR="00217F08">
        <w:rPr>
          <w:color w:val="000000"/>
        </w:rPr>
        <w:t xml:space="preserve"> million is presently</w:t>
      </w:r>
      <w:r w:rsidR="00362C0A">
        <w:rPr>
          <w:color w:val="000000"/>
        </w:rPr>
        <w:t xml:space="preserve"> – and has been since November 2022 – </w:t>
      </w:r>
      <w:r w:rsidR="00217F08">
        <w:rPr>
          <w:color w:val="000000"/>
        </w:rPr>
        <w:t xml:space="preserve">owing, due and payable by </w:t>
      </w:r>
      <w:r w:rsidR="00D25037">
        <w:rPr>
          <w:color w:val="000000"/>
        </w:rPr>
        <w:t>EQ Emporium</w:t>
      </w:r>
      <w:r w:rsidR="00217F08">
        <w:rPr>
          <w:color w:val="000000"/>
        </w:rPr>
        <w:t xml:space="preserve"> to </w:t>
      </w:r>
      <w:r w:rsidR="00D25037">
        <w:rPr>
          <w:color w:val="000000"/>
        </w:rPr>
        <w:t>Bidvest</w:t>
      </w:r>
      <w:r w:rsidR="00217F08">
        <w:rPr>
          <w:color w:val="000000"/>
        </w:rPr>
        <w:t xml:space="preserve"> Bank. It is not able to pay this amount, which makes it commercially insolvent in that it is ‘unable to pay its debts’. What is more is that </w:t>
      </w:r>
      <w:r w:rsidR="00D25037">
        <w:rPr>
          <w:color w:val="000000"/>
        </w:rPr>
        <w:t>EQ Emporium</w:t>
      </w:r>
      <w:r w:rsidR="00217F08">
        <w:rPr>
          <w:color w:val="000000"/>
        </w:rPr>
        <w:t xml:space="preserve">, which failed to comply with the s 345 demand from the bank, </w:t>
      </w:r>
      <w:r w:rsidR="00630816">
        <w:rPr>
          <w:color w:val="000000"/>
        </w:rPr>
        <w:t>is conclusively deemed to</w:t>
      </w:r>
      <w:r w:rsidR="00362C0A">
        <w:rPr>
          <w:color w:val="000000"/>
        </w:rPr>
        <w:t xml:space="preserve"> be</w:t>
      </w:r>
      <w:r w:rsidR="00630816">
        <w:rPr>
          <w:color w:val="000000"/>
        </w:rPr>
        <w:t xml:space="preserve"> </w:t>
      </w:r>
      <w:r w:rsidR="00C86619" w:rsidRPr="00630816">
        <w:rPr>
          <w:color w:val="000000"/>
        </w:rPr>
        <w:t xml:space="preserve">unable to pay its debts. </w:t>
      </w:r>
    </w:p>
    <w:p w14:paraId="47D7D8C1" w14:textId="742F2517" w:rsidR="0066433A" w:rsidRPr="0066433A" w:rsidRDefault="005B0288" w:rsidP="005B0288">
      <w:pPr>
        <w:spacing w:line="360" w:lineRule="auto"/>
        <w:jc w:val="both"/>
        <w:outlineLvl w:val="0"/>
        <w:rPr>
          <w:color w:val="000000"/>
        </w:rPr>
      </w:pPr>
      <w:r w:rsidRPr="0066433A">
        <w:rPr>
          <w:color w:val="000000"/>
        </w:rPr>
        <w:t>[20].</w:t>
      </w:r>
      <w:r w:rsidRPr="0066433A">
        <w:rPr>
          <w:color w:val="000000"/>
        </w:rPr>
        <w:tab/>
      </w:r>
      <w:r w:rsidR="0066433A" w:rsidRPr="0066433A">
        <w:rPr>
          <w:color w:val="000000"/>
        </w:rPr>
        <w:t xml:space="preserve">There is one more issue which I need to address and that relates the alleged non-compliance by </w:t>
      </w:r>
      <w:r w:rsidR="0066433A">
        <w:rPr>
          <w:color w:val="000000"/>
        </w:rPr>
        <w:t>Bidvest Bank</w:t>
      </w:r>
      <w:r w:rsidR="0066433A" w:rsidRPr="0066433A">
        <w:rPr>
          <w:color w:val="000000"/>
        </w:rPr>
        <w:t xml:space="preserve"> with the provisions of s 346(4A) of the Companies Act, which provides as follows: -</w:t>
      </w:r>
    </w:p>
    <w:p w14:paraId="3EA32E38" w14:textId="5ED4592D" w:rsidR="0066433A" w:rsidRPr="00EA30C1" w:rsidRDefault="0066433A" w:rsidP="00EA30C1">
      <w:pPr>
        <w:spacing w:line="360" w:lineRule="auto"/>
        <w:jc w:val="both"/>
        <w:outlineLvl w:val="0"/>
        <w:rPr>
          <w:color w:val="000000"/>
          <w:sz w:val="22"/>
          <w:szCs w:val="22"/>
        </w:rPr>
      </w:pPr>
      <w:r w:rsidRPr="00EA30C1">
        <w:rPr>
          <w:color w:val="000000"/>
          <w:sz w:val="22"/>
          <w:szCs w:val="22"/>
        </w:rPr>
        <w:lastRenderedPageBreak/>
        <w:t>'(4A)</w:t>
      </w:r>
      <w:r w:rsidRPr="00EA30C1">
        <w:rPr>
          <w:color w:val="000000"/>
          <w:sz w:val="22"/>
          <w:szCs w:val="22"/>
        </w:rPr>
        <w:tab/>
        <w:t>(a)</w:t>
      </w:r>
      <w:r w:rsidRPr="00EA30C1">
        <w:rPr>
          <w:color w:val="000000"/>
          <w:sz w:val="22"/>
          <w:szCs w:val="22"/>
        </w:rPr>
        <w:tab/>
        <w:t>When an application is presented to the court in terms of this section, the applicant must furnish a copy of the application –</w:t>
      </w:r>
    </w:p>
    <w:p w14:paraId="1530E679" w14:textId="0996AB1D" w:rsidR="0066433A" w:rsidRPr="005B0288" w:rsidRDefault="005B0288" w:rsidP="005B0288">
      <w:pPr>
        <w:spacing w:line="360" w:lineRule="auto"/>
        <w:ind w:left="567" w:hanging="567"/>
        <w:jc w:val="both"/>
        <w:outlineLvl w:val="0"/>
        <w:rPr>
          <w:color w:val="000000"/>
          <w:sz w:val="22"/>
          <w:szCs w:val="22"/>
        </w:rPr>
      </w:pPr>
      <w:r w:rsidRPr="00EA30C1">
        <w:rPr>
          <w:color w:val="000000"/>
          <w:sz w:val="22"/>
          <w:szCs w:val="22"/>
        </w:rPr>
        <w:t>(i)</w:t>
      </w:r>
      <w:r w:rsidRPr="00EA30C1">
        <w:rPr>
          <w:color w:val="000000"/>
          <w:sz w:val="22"/>
          <w:szCs w:val="22"/>
        </w:rPr>
        <w:tab/>
      </w:r>
      <w:r w:rsidR="0066433A" w:rsidRPr="005B0288">
        <w:rPr>
          <w:color w:val="000000"/>
          <w:sz w:val="22"/>
          <w:szCs w:val="22"/>
        </w:rPr>
        <w:t>to every registered trade union that, as far as the applicant can reasonably ascertain, represents any of the employees of the company; and</w:t>
      </w:r>
    </w:p>
    <w:p w14:paraId="1006786A" w14:textId="2F7E16C5" w:rsidR="0066433A" w:rsidRPr="005B0288" w:rsidRDefault="005B0288" w:rsidP="005B0288">
      <w:pPr>
        <w:spacing w:line="360" w:lineRule="auto"/>
        <w:ind w:left="567" w:hanging="567"/>
        <w:jc w:val="both"/>
        <w:outlineLvl w:val="0"/>
        <w:rPr>
          <w:color w:val="000000"/>
          <w:sz w:val="22"/>
          <w:szCs w:val="22"/>
        </w:rPr>
      </w:pPr>
      <w:r w:rsidRPr="00EA30C1">
        <w:rPr>
          <w:color w:val="000000"/>
          <w:sz w:val="22"/>
          <w:szCs w:val="22"/>
        </w:rPr>
        <w:t>(ii)</w:t>
      </w:r>
      <w:r w:rsidRPr="00EA30C1">
        <w:rPr>
          <w:color w:val="000000"/>
          <w:sz w:val="22"/>
          <w:szCs w:val="22"/>
        </w:rPr>
        <w:tab/>
      </w:r>
      <w:r w:rsidR="0066433A" w:rsidRPr="005B0288">
        <w:rPr>
          <w:color w:val="000000"/>
          <w:sz w:val="22"/>
          <w:szCs w:val="22"/>
        </w:rPr>
        <w:t>to the employees themselves –</w:t>
      </w:r>
    </w:p>
    <w:p w14:paraId="634646C8" w14:textId="6E6EB32B" w:rsidR="0066433A" w:rsidRPr="00EA30C1" w:rsidRDefault="0066433A" w:rsidP="00EA30C1">
      <w:pPr>
        <w:spacing w:line="360" w:lineRule="auto"/>
        <w:ind w:left="1134" w:hanging="567"/>
        <w:jc w:val="both"/>
        <w:outlineLvl w:val="0"/>
        <w:rPr>
          <w:color w:val="000000"/>
          <w:sz w:val="22"/>
          <w:szCs w:val="22"/>
        </w:rPr>
      </w:pPr>
      <w:r w:rsidRPr="00EA30C1">
        <w:rPr>
          <w:color w:val="000000"/>
          <w:sz w:val="22"/>
          <w:szCs w:val="22"/>
        </w:rPr>
        <w:t>(aa)</w:t>
      </w:r>
      <w:r w:rsidRPr="00EA30C1">
        <w:rPr>
          <w:color w:val="000000"/>
          <w:sz w:val="22"/>
          <w:szCs w:val="22"/>
        </w:rPr>
        <w:tab/>
        <w:t xml:space="preserve"> by affixing a copy of the application to any notice board to which the applicant and the employees have access inside the premises of the company; or</w:t>
      </w:r>
    </w:p>
    <w:p w14:paraId="1A16636A" w14:textId="36A08D18" w:rsidR="0066433A" w:rsidRPr="00EA30C1" w:rsidRDefault="0066433A" w:rsidP="00EA30C1">
      <w:pPr>
        <w:spacing w:line="360" w:lineRule="auto"/>
        <w:ind w:left="1134" w:hanging="567"/>
        <w:jc w:val="both"/>
        <w:outlineLvl w:val="0"/>
        <w:rPr>
          <w:color w:val="000000"/>
          <w:sz w:val="22"/>
          <w:szCs w:val="22"/>
        </w:rPr>
      </w:pPr>
      <w:r w:rsidRPr="00EA30C1">
        <w:rPr>
          <w:color w:val="000000"/>
          <w:sz w:val="22"/>
          <w:szCs w:val="22"/>
        </w:rPr>
        <w:t>(bb)</w:t>
      </w:r>
      <w:r w:rsidRPr="00EA30C1">
        <w:rPr>
          <w:color w:val="000000"/>
          <w:sz w:val="22"/>
          <w:szCs w:val="22"/>
        </w:rPr>
        <w:tab/>
        <w:t>if there is no access to the premises by the applicant and the employees, by affixing a copy of the application to the front gate of the premises, where applicable, failing which to the front door of the premises from which the company conducted any business at the time of the application;</w:t>
      </w:r>
    </w:p>
    <w:p w14:paraId="67F09D8A" w14:textId="3C86838A" w:rsidR="0066433A" w:rsidRPr="00EA30C1" w:rsidRDefault="0066433A" w:rsidP="0066433A">
      <w:pPr>
        <w:spacing w:after="120" w:line="360" w:lineRule="auto"/>
        <w:jc w:val="both"/>
        <w:outlineLvl w:val="0"/>
        <w:rPr>
          <w:color w:val="000000"/>
          <w:sz w:val="22"/>
          <w:szCs w:val="22"/>
        </w:rPr>
      </w:pPr>
      <w:r w:rsidRPr="00EA30C1">
        <w:rPr>
          <w:color w:val="000000"/>
          <w:sz w:val="22"/>
          <w:szCs w:val="22"/>
        </w:rPr>
        <w:t xml:space="preserve">(iii)   </w:t>
      </w:r>
      <w:r w:rsidR="00EA30C1">
        <w:rPr>
          <w:color w:val="000000"/>
          <w:sz w:val="22"/>
          <w:szCs w:val="22"/>
        </w:rPr>
        <w:t>… … …’.</w:t>
      </w:r>
    </w:p>
    <w:p w14:paraId="130B94DB" w14:textId="22C66873" w:rsidR="0066537F" w:rsidRDefault="005B0288" w:rsidP="005B0288">
      <w:pPr>
        <w:spacing w:after="120" w:line="360" w:lineRule="auto"/>
        <w:jc w:val="both"/>
        <w:outlineLvl w:val="0"/>
        <w:rPr>
          <w:color w:val="000000"/>
        </w:rPr>
      </w:pPr>
      <w:r>
        <w:rPr>
          <w:color w:val="000000"/>
        </w:rPr>
        <w:t>[21].</w:t>
      </w:r>
      <w:r>
        <w:rPr>
          <w:color w:val="000000"/>
        </w:rPr>
        <w:tab/>
      </w:r>
      <w:r w:rsidR="00EA30C1">
        <w:rPr>
          <w:color w:val="000000"/>
        </w:rPr>
        <w:t xml:space="preserve">Mr Saint, who appeared on behalf of EQ Emporium, </w:t>
      </w:r>
      <w:r w:rsidR="0066433A" w:rsidRPr="0066433A">
        <w:rPr>
          <w:color w:val="000000"/>
        </w:rPr>
        <w:t>takes issue</w:t>
      </w:r>
      <w:r w:rsidR="00EA30C1">
        <w:rPr>
          <w:color w:val="000000"/>
        </w:rPr>
        <w:t xml:space="preserve"> on behalf of it </w:t>
      </w:r>
      <w:r w:rsidR="0066433A" w:rsidRPr="0066433A">
        <w:rPr>
          <w:color w:val="000000"/>
        </w:rPr>
        <w:t xml:space="preserve">with the fact that the winding-up application, although addressed to the </w:t>
      </w:r>
      <w:r w:rsidR="00EA30C1">
        <w:rPr>
          <w:color w:val="000000"/>
        </w:rPr>
        <w:t xml:space="preserve">‘Possible </w:t>
      </w:r>
      <w:r w:rsidR="0066433A" w:rsidRPr="0066433A">
        <w:rPr>
          <w:color w:val="000000"/>
        </w:rPr>
        <w:t xml:space="preserve">Employees of </w:t>
      </w:r>
      <w:r w:rsidR="00EA30C1">
        <w:rPr>
          <w:color w:val="000000"/>
        </w:rPr>
        <w:t>EQ Emporium (Pty) Limited)</w:t>
      </w:r>
      <w:r w:rsidR="008222B6">
        <w:rPr>
          <w:color w:val="000000"/>
        </w:rPr>
        <w:t>’</w:t>
      </w:r>
      <w:r w:rsidR="00EA30C1">
        <w:rPr>
          <w:color w:val="000000"/>
        </w:rPr>
        <w:t xml:space="preserve"> </w:t>
      </w:r>
      <w:r w:rsidR="0066433A" w:rsidRPr="0066433A">
        <w:rPr>
          <w:color w:val="000000"/>
        </w:rPr>
        <w:t>and to the '</w:t>
      </w:r>
      <w:r w:rsidR="00EA30C1">
        <w:rPr>
          <w:color w:val="000000"/>
        </w:rPr>
        <w:t xml:space="preserve">Possible </w:t>
      </w:r>
      <w:r w:rsidR="0066433A" w:rsidRPr="0066433A">
        <w:rPr>
          <w:color w:val="000000"/>
        </w:rPr>
        <w:t>Trade Union</w:t>
      </w:r>
      <w:r w:rsidR="00EA30C1">
        <w:rPr>
          <w:color w:val="000000"/>
        </w:rPr>
        <w:t xml:space="preserve"> Representatives </w:t>
      </w:r>
      <w:r w:rsidR="0066433A" w:rsidRPr="0066433A">
        <w:rPr>
          <w:color w:val="000000"/>
        </w:rPr>
        <w:t xml:space="preserve">of </w:t>
      </w:r>
      <w:r w:rsidR="00EA30C1">
        <w:rPr>
          <w:color w:val="000000"/>
        </w:rPr>
        <w:t>EQ Emporium (Pty) Limited</w:t>
      </w:r>
      <w:r w:rsidR="008222B6">
        <w:rPr>
          <w:color w:val="000000"/>
        </w:rPr>
        <w:t>’</w:t>
      </w:r>
      <w:r w:rsidR="00EA30C1">
        <w:rPr>
          <w:color w:val="000000"/>
        </w:rPr>
        <w:t xml:space="preserve">, </w:t>
      </w:r>
      <w:r w:rsidR="0066433A" w:rsidRPr="00EA30C1">
        <w:rPr>
          <w:color w:val="000000"/>
        </w:rPr>
        <w:t xml:space="preserve">was </w:t>
      </w:r>
      <w:r w:rsidR="00EA30C1">
        <w:rPr>
          <w:color w:val="000000"/>
        </w:rPr>
        <w:t xml:space="preserve">supposedly served on the employees by the Sheriff at the registered address of the said company, which, we know, is in fact the residential address of the sole director. This means, so the argument by Mr Saint goes, </w:t>
      </w:r>
      <w:r w:rsidR="0066537F">
        <w:rPr>
          <w:color w:val="000000"/>
        </w:rPr>
        <w:t xml:space="preserve">that the application was not properly served on the employees – which reportedly are about eighty in number – </w:t>
      </w:r>
      <w:r w:rsidR="0066433A" w:rsidRPr="0066537F">
        <w:rPr>
          <w:color w:val="000000"/>
        </w:rPr>
        <w:t>as</w:t>
      </w:r>
      <w:r w:rsidR="0066537F">
        <w:rPr>
          <w:color w:val="000000"/>
        </w:rPr>
        <w:t xml:space="preserve"> </w:t>
      </w:r>
      <w:r w:rsidR="0066433A" w:rsidRPr="0066537F">
        <w:rPr>
          <w:color w:val="000000"/>
        </w:rPr>
        <w:t xml:space="preserve">required by subsection (4A)(ii). </w:t>
      </w:r>
    </w:p>
    <w:p w14:paraId="0DF0910A" w14:textId="087C4742" w:rsidR="00B84C44" w:rsidRDefault="005B0288" w:rsidP="005B0288">
      <w:pPr>
        <w:spacing w:after="120" w:line="360" w:lineRule="auto"/>
        <w:jc w:val="both"/>
        <w:outlineLvl w:val="0"/>
        <w:rPr>
          <w:color w:val="000000"/>
        </w:rPr>
      </w:pPr>
      <w:r>
        <w:rPr>
          <w:color w:val="000000"/>
        </w:rPr>
        <w:t>[22].</w:t>
      </w:r>
      <w:r>
        <w:rPr>
          <w:color w:val="000000"/>
        </w:rPr>
        <w:tab/>
      </w:r>
      <w:r w:rsidR="0066537F">
        <w:rPr>
          <w:color w:val="000000"/>
        </w:rPr>
        <w:t xml:space="preserve">There appears to be merit in this contention on behalf of EQ Emporium. However, as was held by this court in </w:t>
      </w:r>
      <w:r w:rsidR="0066537F" w:rsidRPr="00B84C44">
        <w:rPr>
          <w:i/>
          <w:iCs/>
          <w:color w:val="000000"/>
        </w:rPr>
        <w:t>Intello Capital CC v</w:t>
      </w:r>
      <w:r w:rsidR="0066537F" w:rsidRPr="0066537F">
        <w:rPr>
          <w:color w:val="000000"/>
        </w:rPr>
        <w:t xml:space="preserve"> </w:t>
      </w:r>
      <w:r w:rsidR="0066537F" w:rsidRPr="0066537F">
        <w:rPr>
          <w:i/>
          <w:iCs/>
          <w:color w:val="000000"/>
        </w:rPr>
        <w:t>Sigge Managed Solutions (Pty) Limited</w:t>
      </w:r>
      <w:r w:rsidR="00B84C44">
        <w:rPr>
          <w:rStyle w:val="FootnoteReference"/>
          <w:i/>
          <w:iCs/>
          <w:color w:val="000000"/>
        </w:rPr>
        <w:footnoteReference w:id="5"/>
      </w:r>
      <w:r w:rsidR="0066537F">
        <w:rPr>
          <w:color w:val="000000"/>
        </w:rPr>
        <w:t>,</w:t>
      </w:r>
      <w:r w:rsidR="0066537F" w:rsidRPr="00B84C44">
        <w:rPr>
          <w:color w:val="000000"/>
        </w:rPr>
        <w:t xml:space="preserve"> on the SCA authority in </w:t>
      </w:r>
      <w:r w:rsidR="0066537F" w:rsidRPr="00B84C44">
        <w:rPr>
          <w:i/>
          <w:iCs/>
          <w:color w:val="000000"/>
        </w:rPr>
        <w:t>EB Steam Co (Pty) Ltd v Eskom Holdings SOC Ltd</w:t>
      </w:r>
      <w:r w:rsidR="0066537F">
        <w:rPr>
          <w:rStyle w:val="FootnoteReference"/>
          <w:i/>
          <w:iCs/>
          <w:color w:val="000000"/>
        </w:rPr>
        <w:footnoteReference w:id="6"/>
      </w:r>
      <w:r w:rsidR="0066537F" w:rsidRPr="00B84C44">
        <w:rPr>
          <w:color w:val="000000"/>
        </w:rPr>
        <w:t>,</w:t>
      </w:r>
      <w:r w:rsidR="00B84C44">
        <w:rPr>
          <w:color w:val="000000"/>
        </w:rPr>
        <w:t xml:space="preserve"> </w:t>
      </w:r>
      <w:r w:rsidR="0066537F" w:rsidRPr="00B84C44">
        <w:rPr>
          <w:color w:val="000000"/>
        </w:rPr>
        <w:t>even if the applicant is, for whatever reason, not able to furnish the application papers to the employees before the hearing, a court could still grant relief in the form of a provisional winding-up order. Put another way, there will be circumstance</w:t>
      </w:r>
      <w:r w:rsidR="00B84C44">
        <w:rPr>
          <w:color w:val="000000"/>
        </w:rPr>
        <w:t>s</w:t>
      </w:r>
      <w:r w:rsidR="0066537F" w:rsidRPr="00B84C44">
        <w:rPr>
          <w:color w:val="000000"/>
        </w:rPr>
        <w:t xml:space="preserve"> in which a court will be justified in granting a provisional winding-up order. An important consideration in that regard would, in </w:t>
      </w:r>
      <w:r w:rsidR="0066537F" w:rsidRPr="00B84C44">
        <w:rPr>
          <w:color w:val="000000"/>
        </w:rPr>
        <w:lastRenderedPageBreak/>
        <w:t xml:space="preserve">my view, relate to whether or not the respondent is </w:t>
      </w:r>
      <w:r w:rsidR="0066537F" w:rsidRPr="00B84C44">
        <w:rPr>
          <w:i/>
          <w:iCs/>
          <w:color w:val="000000"/>
        </w:rPr>
        <w:t>bona fide</w:t>
      </w:r>
      <w:r w:rsidR="0066537F" w:rsidRPr="00B84C44">
        <w:rPr>
          <w:color w:val="000000"/>
        </w:rPr>
        <w:t xml:space="preserve"> in its opposition to the winding-up application. </w:t>
      </w:r>
    </w:p>
    <w:p w14:paraId="037FE2B8" w14:textId="464CB7D3" w:rsidR="00B84C44" w:rsidRDefault="005B0288" w:rsidP="005B0288">
      <w:pPr>
        <w:spacing w:after="120" w:line="360" w:lineRule="auto"/>
        <w:jc w:val="both"/>
        <w:outlineLvl w:val="0"/>
        <w:rPr>
          <w:color w:val="000000"/>
        </w:rPr>
      </w:pPr>
      <w:r>
        <w:rPr>
          <w:color w:val="000000"/>
        </w:rPr>
        <w:t>[23].</w:t>
      </w:r>
      <w:r>
        <w:rPr>
          <w:color w:val="000000"/>
        </w:rPr>
        <w:tab/>
      </w:r>
      <w:r w:rsidR="00B84C44">
        <w:rPr>
          <w:color w:val="000000"/>
        </w:rPr>
        <w:t xml:space="preserve">In my view, such a case is made out </w:t>
      </w:r>
      <w:r w:rsidR="00B84C44" w:rsidRPr="00B84C44">
        <w:rPr>
          <w:i/>
          <w:iCs/>
          <w:color w:val="000000"/>
        </w:rPr>
        <w:t>in casu</w:t>
      </w:r>
      <w:r w:rsidR="00B84C44">
        <w:rPr>
          <w:color w:val="000000"/>
        </w:rPr>
        <w:t xml:space="preserve"> in that </w:t>
      </w:r>
      <w:r w:rsidR="0066537F" w:rsidRPr="00B84C44">
        <w:rPr>
          <w:color w:val="000000"/>
        </w:rPr>
        <w:t xml:space="preserve">an overwhelming case is made </w:t>
      </w:r>
      <w:r w:rsidR="008222B6">
        <w:rPr>
          <w:color w:val="000000"/>
        </w:rPr>
        <w:t xml:space="preserve">out </w:t>
      </w:r>
      <w:r w:rsidR="0066537F" w:rsidRPr="00B84C44">
        <w:rPr>
          <w:color w:val="000000"/>
        </w:rPr>
        <w:t>on the papers for the grant of a winding-up order</w:t>
      </w:r>
      <w:r w:rsidR="00B84C44">
        <w:rPr>
          <w:color w:val="000000"/>
        </w:rPr>
        <w:t>.</w:t>
      </w:r>
    </w:p>
    <w:p w14:paraId="44AEFF9C" w14:textId="1188C07A" w:rsidR="0066537F" w:rsidRPr="00B84C44" w:rsidRDefault="005B0288" w:rsidP="005B0288">
      <w:pPr>
        <w:spacing w:after="240" w:line="360" w:lineRule="auto"/>
        <w:jc w:val="both"/>
        <w:outlineLvl w:val="0"/>
        <w:rPr>
          <w:color w:val="000000"/>
        </w:rPr>
      </w:pPr>
      <w:r w:rsidRPr="00B84C44">
        <w:rPr>
          <w:color w:val="000000"/>
        </w:rPr>
        <w:t>[24].</w:t>
      </w:r>
      <w:r w:rsidRPr="00B84C44">
        <w:rPr>
          <w:color w:val="000000"/>
        </w:rPr>
        <w:tab/>
      </w:r>
      <w:r w:rsidR="00B84C44">
        <w:rPr>
          <w:color w:val="000000"/>
        </w:rPr>
        <w:t>In all the circumstances, I believe that a provisional winding-up order should be granted against the respondent.</w:t>
      </w:r>
    </w:p>
    <w:p w14:paraId="4B22AE90" w14:textId="48309CBB" w:rsidR="007D27AD" w:rsidRPr="007D27AD" w:rsidRDefault="0093484E" w:rsidP="007D27AD">
      <w:pPr>
        <w:keepNext/>
        <w:spacing w:after="120" w:line="360" w:lineRule="auto"/>
        <w:jc w:val="both"/>
        <w:rPr>
          <w:b/>
          <w:caps/>
        </w:rPr>
      </w:pPr>
      <w:r>
        <w:rPr>
          <w:b/>
        </w:rPr>
        <w:t xml:space="preserve">Conclusion and </w:t>
      </w:r>
      <w:r w:rsidR="007D27AD" w:rsidRPr="007D27AD">
        <w:rPr>
          <w:b/>
        </w:rPr>
        <w:t>Costs</w:t>
      </w:r>
    </w:p>
    <w:p w14:paraId="29C2B428" w14:textId="463C4751" w:rsidR="00B84C44" w:rsidRDefault="005B0288" w:rsidP="005B0288">
      <w:pPr>
        <w:spacing w:after="120" w:line="360" w:lineRule="auto"/>
        <w:jc w:val="both"/>
        <w:outlineLvl w:val="0"/>
        <w:rPr>
          <w:color w:val="000000"/>
        </w:rPr>
      </w:pPr>
      <w:r>
        <w:rPr>
          <w:color w:val="000000"/>
        </w:rPr>
        <w:t>[25].</w:t>
      </w:r>
      <w:r>
        <w:rPr>
          <w:color w:val="000000"/>
        </w:rPr>
        <w:tab/>
      </w:r>
      <w:r w:rsidR="00B067BE">
        <w:rPr>
          <w:color w:val="000000"/>
        </w:rPr>
        <w:t xml:space="preserve">Accordingly, </w:t>
      </w:r>
      <w:r w:rsidR="00B84C44">
        <w:rPr>
          <w:color w:val="000000"/>
        </w:rPr>
        <w:t>a provisional winding-up order should be granted against the</w:t>
      </w:r>
      <w:r w:rsidR="008222B6">
        <w:rPr>
          <w:color w:val="000000"/>
        </w:rPr>
        <w:t xml:space="preserve"> respondent.</w:t>
      </w:r>
      <w:r w:rsidR="00B84C44">
        <w:rPr>
          <w:color w:val="000000"/>
        </w:rPr>
        <w:t xml:space="preserve"> </w:t>
      </w:r>
    </w:p>
    <w:p w14:paraId="0417C173" w14:textId="3BF1CC6D" w:rsidR="008222B6" w:rsidRPr="008222B6" w:rsidRDefault="005B0288" w:rsidP="005B0288">
      <w:pPr>
        <w:suppressAutoHyphens w:val="0"/>
        <w:autoSpaceDE w:val="0"/>
        <w:autoSpaceDN w:val="0"/>
        <w:adjustRightInd w:val="0"/>
        <w:spacing w:after="240" w:line="360" w:lineRule="auto"/>
        <w:jc w:val="both"/>
        <w:rPr>
          <w:rFonts w:cs="Arial"/>
          <w:lang w:eastAsia="en-ZA"/>
        </w:rPr>
      </w:pPr>
      <w:r w:rsidRPr="008222B6">
        <w:rPr>
          <w:rFonts w:cs="Arial"/>
          <w:lang w:eastAsia="en-ZA"/>
        </w:rPr>
        <w:t>[26].</w:t>
      </w:r>
      <w:r w:rsidRPr="008222B6">
        <w:rPr>
          <w:rFonts w:cs="Arial"/>
          <w:lang w:eastAsia="en-ZA"/>
        </w:rPr>
        <w:tab/>
      </w:r>
      <w:r w:rsidR="00B84C44">
        <w:rPr>
          <w:rFonts w:cs="Arial"/>
        </w:rPr>
        <w:t xml:space="preserve">As regards costs, I am of the view that </w:t>
      </w:r>
      <w:r w:rsidR="00B84C44">
        <w:rPr>
          <w:rFonts w:cs="Arial"/>
          <w:lang w:eastAsia="en-ZA"/>
        </w:rPr>
        <w:t>t</w:t>
      </w:r>
      <w:r w:rsidR="00D0268F" w:rsidRPr="00B84C44">
        <w:rPr>
          <w:rFonts w:cs="Arial"/>
        </w:rPr>
        <w:t>he</w:t>
      </w:r>
      <w:r w:rsidR="00B84C44">
        <w:rPr>
          <w:rFonts w:cs="Arial"/>
        </w:rPr>
        <w:t xml:space="preserve"> standard costs order normally granted in liquidation applications should be granted in </w:t>
      </w:r>
      <w:r w:rsidR="00683134">
        <w:rPr>
          <w:rFonts w:cs="Arial"/>
        </w:rPr>
        <w:t xml:space="preserve">this matter, that being an order </w:t>
      </w:r>
      <w:r w:rsidR="008222B6">
        <w:rPr>
          <w:rFonts w:cs="Arial"/>
        </w:rPr>
        <w:t>to the effect that the costs of the winding-up application should be costs in the winding-up of the respondent.</w:t>
      </w:r>
      <w:r w:rsidR="008222B6">
        <w:rPr>
          <w:rFonts w:cs="Arial"/>
          <w:lang w:eastAsia="en-ZA"/>
        </w:rPr>
        <w:t xml:space="preserve"> </w:t>
      </w:r>
      <w:r w:rsidR="007D27AD" w:rsidRPr="007D27AD">
        <w:t xml:space="preserve">I therefore intend </w:t>
      </w:r>
      <w:r w:rsidR="008222B6">
        <w:t>granting such a costs order.</w:t>
      </w:r>
    </w:p>
    <w:p w14:paraId="019DC8D4" w14:textId="77777777" w:rsidR="007D27AD" w:rsidRPr="007320C6" w:rsidRDefault="007D27AD" w:rsidP="007320C6">
      <w:pPr>
        <w:suppressAutoHyphens w:val="0"/>
        <w:autoSpaceDE w:val="0"/>
        <w:autoSpaceDN w:val="0"/>
        <w:adjustRightInd w:val="0"/>
        <w:spacing w:after="120" w:line="360" w:lineRule="auto"/>
        <w:jc w:val="both"/>
        <w:rPr>
          <w:rFonts w:cs="Arial"/>
          <w:lang w:eastAsia="en-ZA"/>
        </w:rPr>
      </w:pPr>
      <w:r w:rsidRPr="007320C6">
        <w:rPr>
          <w:b/>
          <w:lang w:val="en-ZA" w:eastAsia="en-ZA"/>
        </w:rPr>
        <w:t>Order</w:t>
      </w:r>
    </w:p>
    <w:p w14:paraId="1D2E2331" w14:textId="633679F6" w:rsidR="007D27AD" w:rsidRPr="007320C6" w:rsidRDefault="005B0288" w:rsidP="005B0288">
      <w:pPr>
        <w:suppressAutoHyphens w:val="0"/>
        <w:autoSpaceDE w:val="0"/>
        <w:autoSpaceDN w:val="0"/>
        <w:adjustRightInd w:val="0"/>
        <w:spacing w:after="120" w:line="360" w:lineRule="auto"/>
        <w:jc w:val="both"/>
        <w:rPr>
          <w:rFonts w:cs="Arial"/>
          <w:lang w:eastAsia="en-ZA"/>
        </w:rPr>
      </w:pPr>
      <w:r w:rsidRPr="007320C6">
        <w:rPr>
          <w:rFonts w:cs="Arial"/>
          <w:lang w:eastAsia="en-ZA"/>
        </w:rPr>
        <w:t>[27].</w:t>
      </w:r>
      <w:r w:rsidRPr="007320C6">
        <w:rPr>
          <w:rFonts w:cs="Arial"/>
          <w:lang w:eastAsia="en-ZA"/>
        </w:rPr>
        <w:tab/>
      </w:r>
      <w:r w:rsidR="007D27AD" w:rsidRPr="007D27AD">
        <w:t xml:space="preserve">Accordingly, I make the following </w:t>
      </w:r>
      <w:r w:rsidR="00593B64" w:rsidRPr="007D27AD">
        <w:t>order</w:t>
      </w:r>
      <w:r w:rsidR="00005F11">
        <w:t>s</w:t>
      </w:r>
      <w:r w:rsidR="00593B64" w:rsidRPr="007D27AD">
        <w:t>: -</w:t>
      </w:r>
    </w:p>
    <w:p w14:paraId="4A3E45FB" w14:textId="509E47D4" w:rsidR="009A3C9E" w:rsidRDefault="005B0288" w:rsidP="005B0288">
      <w:pPr>
        <w:spacing w:after="120" w:line="360" w:lineRule="auto"/>
        <w:ind w:left="567" w:hanging="567"/>
        <w:jc w:val="both"/>
        <w:outlineLvl w:val="0"/>
      </w:pPr>
      <w:r>
        <w:t>(1)</w:t>
      </w:r>
      <w:r>
        <w:tab/>
      </w:r>
      <w:r w:rsidR="009A3C9E">
        <w:t>The respondent be and is hereby placed under provisional winding-up in the hands of the Master of the High Court of South Africa.</w:t>
      </w:r>
    </w:p>
    <w:p w14:paraId="520F98A8" w14:textId="310F62D8" w:rsidR="009A3C9E" w:rsidRDefault="005B0288" w:rsidP="005B0288">
      <w:pPr>
        <w:spacing w:after="120" w:line="360" w:lineRule="auto"/>
        <w:ind w:left="567" w:hanging="567"/>
        <w:jc w:val="both"/>
        <w:outlineLvl w:val="0"/>
      </w:pPr>
      <w:r>
        <w:t>(2)</w:t>
      </w:r>
      <w:r>
        <w:tab/>
      </w:r>
      <w:r w:rsidR="009A3C9E">
        <w:t xml:space="preserve">All persons who have a legitimate interest are called upon to put forward their reasons why this court should not order the final winding up of the respondent on </w:t>
      </w:r>
      <w:r w:rsidR="00325C72" w:rsidRPr="005B0288">
        <w:rPr>
          <w:b/>
          <w:bCs/>
        </w:rPr>
        <w:t>Mon</w:t>
      </w:r>
      <w:r w:rsidR="009A3C9E" w:rsidRPr="005B0288">
        <w:rPr>
          <w:b/>
          <w:bCs/>
        </w:rPr>
        <w:t xml:space="preserve">day, </w:t>
      </w:r>
      <w:r w:rsidR="00325C72" w:rsidRPr="005B0288">
        <w:rPr>
          <w:b/>
          <w:bCs/>
        </w:rPr>
        <w:t>10</w:t>
      </w:r>
      <w:r w:rsidR="009A3C9E" w:rsidRPr="005B0288">
        <w:rPr>
          <w:b/>
          <w:bCs/>
        </w:rPr>
        <w:t xml:space="preserve"> June 2024, </w:t>
      </w:r>
      <w:r w:rsidR="009A3C9E" w:rsidRPr="00362C0A">
        <w:t>at</w:t>
      </w:r>
      <w:r w:rsidR="009A3C9E" w:rsidRPr="005B0288">
        <w:rPr>
          <w:b/>
          <w:bCs/>
        </w:rPr>
        <w:t xml:space="preserve"> 10:00</w:t>
      </w:r>
      <w:r w:rsidR="009A3C9E">
        <w:t xml:space="preserve"> am or so soon thereafter as the matter may be heard.</w:t>
      </w:r>
    </w:p>
    <w:p w14:paraId="3B604324" w14:textId="2C3C72B3" w:rsidR="009A3C9E" w:rsidRPr="00897AD7" w:rsidRDefault="005B0288" w:rsidP="005B0288">
      <w:pPr>
        <w:spacing w:after="120" w:line="360" w:lineRule="auto"/>
        <w:ind w:left="567" w:hanging="567"/>
        <w:jc w:val="both"/>
        <w:outlineLvl w:val="0"/>
      </w:pPr>
      <w:r w:rsidRPr="00897AD7">
        <w:t>(3)</w:t>
      </w:r>
      <w:r w:rsidRPr="00897AD7">
        <w:tab/>
      </w:r>
      <w:r w:rsidR="009A3C9E">
        <w:t>A</w:t>
      </w:r>
      <w:r w:rsidR="009A3C9E" w:rsidRPr="00897AD7">
        <w:t xml:space="preserve"> copy of this order</w:t>
      </w:r>
      <w:r w:rsidR="009A3C9E">
        <w:t xml:space="preserve"> shall </w:t>
      </w:r>
      <w:r w:rsidR="009A3C9E" w:rsidRPr="00897AD7">
        <w:t xml:space="preserve">be served </w:t>
      </w:r>
      <w:r w:rsidR="009A3C9E">
        <w:t xml:space="preserve">by the Sheriff of this Court </w:t>
      </w:r>
      <w:r w:rsidR="009A3C9E" w:rsidRPr="00897AD7">
        <w:t>on the respondent at its registered office</w:t>
      </w:r>
      <w:r w:rsidR="009A3C9E">
        <w:t>.</w:t>
      </w:r>
    </w:p>
    <w:p w14:paraId="76FC9B4F" w14:textId="4768D732" w:rsidR="009A3C9E" w:rsidRDefault="005B0288" w:rsidP="005B0288">
      <w:pPr>
        <w:spacing w:after="120" w:line="360" w:lineRule="auto"/>
        <w:ind w:left="567" w:hanging="567"/>
        <w:jc w:val="both"/>
        <w:outlineLvl w:val="0"/>
      </w:pPr>
      <w:r>
        <w:t>(4)</w:t>
      </w:r>
      <w:r>
        <w:tab/>
      </w:r>
      <w:r w:rsidR="009A3C9E">
        <w:t>A copy of this order shall be published forthwith once in the Government Gazette.</w:t>
      </w:r>
    </w:p>
    <w:p w14:paraId="53DF20BB" w14:textId="4D45ED0D" w:rsidR="009A3C9E" w:rsidRDefault="005B0288" w:rsidP="005B0288">
      <w:pPr>
        <w:spacing w:after="120" w:line="360" w:lineRule="auto"/>
        <w:ind w:left="567" w:hanging="567"/>
        <w:jc w:val="both"/>
        <w:outlineLvl w:val="0"/>
      </w:pPr>
      <w:r>
        <w:t>(5)</w:t>
      </w:r>
      <w:r>
        <w:tab/>
      </w:r>
      <w:r w:rsidR="009A3C9E">
        <w:t>A copy of this order shall be forthwith forwarded to each known creditor by electronically receipted telefax transmission or by electronically receipted email.</w:t>
      </w:r>
    </w:p>
    <w:p w14:paraId="31F789AA" w14:textId="00F4398B" w:rsidR="009A3C9E" w:rsidRDefault="005B0288" w:rsidP="005B0288">
      <w:pPr>
        <w:spacing w:line="360" w:lineRule="auto"/>
        <w:ind w:left="567" w:hanging="567"/>
        <w:jc w:val="both"/>
        <w:outlineLvl w:val="0"/>
      </w:pPr>
      <w:r>
        <w:lastRenderedPageBreak/>
        <w:t>(6)</w:t>
      </w:r>
      <w:r>
        <w:tab/>
      </w:r>
      <w:r w:rsidR="009A3C9E">
        <w:t xml:space="preserve">A copy of this provisional winding-up order must be served on: - </w:t>
      </w:r>
    </w:p>
    <w:p w14:paraId="74EEDBBA" w14:textId="3930A0DB" w:rsidR="00325C72" w:rsidRDefault="005B0288" w:rsidP="005B0288">
      <w:pPr>
        <w:spacing w:line="360" w:lineRule="auto"/>
        <w:ind w:left="851" w:hanging="567"/>
        <w:jc w:val="both"/>
        <w:outlineLvl w:val="0"/>
      </w:pPr>
      <w:r>
        <w:t>(a)</w:t>
      </w:r>
      <w:r>
        <w:tab/>
      </w:r>
      <w:r w:rsidR="00325C72">
        <w:t>Every trade union or trade union representative who represents any and/or all of the employees of the respondent;</w:t>
      </w:r>
    </w:p>
    <w:p w14:paraId="5985A6E7" w14:textId="69CC24A0" w:rsidR="009A3C9E" w:rsidRDefault="005B0288" w:rsidP="005B0288">
      <w:pPr>
        <w:spacing w:line="360" w:lineRule="auto"/>
        <w:ind w:left="851" w:hanging="567"/>
        <w:jc w:val="both"/>
        <w:outlineLvl w:val="0"/>
      </w:pPr>
      <w:r>
        <w:t>(b)</w:t>
      </w:r>
      <w:r>
        <w:tab/>
      </w:r>
      <w:r w:rsidR="009A3C9E">
        <w:t>The employees of the respondent by affixing a copy of the application to any notice board to which the employees have access inside the respondent's business premises and/or principal place of business, or if there is no access to the premises or to the principal place of business by the employees, by affixing a copy to the front gate, where applicable, failing which to the front door of the premises or the place of business from which the respondent conducted any business at the time of the presentation of the application;</w:t>
      </w:r>
    </w:p>
    <w:p w14:paraId="7760C53B" w14:textId="4233E524" w:rsidR="009A3C9E" w:rsidRDefault="005B0288" w:rsidP="005B0288">
      <w:pPr>
        <w:spacing w:line="360" w:lineRule="auto"/>
        <w:ind w:left="851" w:hanging="567"/>
        <w:jc w:val="both"/>
        <w:outlineLvl w:val="0"/>
      </w:pPr>
      <w:r>
        <w:t>(c)</w:t>
      </w:r>
      <w:r>
        <w:tab/>
      </w:r>
      <w:r w:rsidR="009A3C9E">
        <w:t>The South African Revenue Service; and</w:t>
      </w:r>
    </w:p>
    <w:p w14:paraId="567B6470" w14:textId="3BD2B716" w:rsidR="009A3C9E" w:rsidRDefault="005B0288" w:rsidP="005B0288">
      <w:pPr>
        <w:spacing w:after="120" w:line="360" w:lineRule="auto"/>
        <w:ind w:left="851" w:hanging="567"/>
        <w:jc w:val="both"/>
        <w:outlineLvl w:val="0"/>
      </w:pPr>
      <w:r>
        <w:t>(d)</w:t>
      </w:r>
      <w:r>
        <w:tab/>
      </w:r>
      <w:r w:rsidR="009A3C9E">
        <w:t>The respondent.</w:t>
      </w:r>
    </w:p>
    <w:p w14:paraId="56C90E34" w14:textId="0EF4CAE0" w:rsidR="009A3C9E" w:rsidRDefault="005B0288" w:rsidP="005B0288">
      <w:pPr>
        <w:spacing w:after="240" w:line="360" w:lineRule="auto"/>
        <w:ind w:left="851" w:hanging="851"/>
        <w:jc w:val="both"/>
        <w:outlineLvl w:val="0"/>
      </w:pPr>
      <w:r>
        <w:t>(7)</w:t>
      </w:r>
      <w:r>
        <w:tab/>
      </w:r>
      <w:r w:rsidR="009A3C9E">
        <w:t xml:space="preserve">The costs of this application shall be costs in the winding-up of the respondent. </w:t>
      </w:r>
    </w:p>
    <w:p w14:paraId="75D0A4FA" w14:textId="77777777" w:rsidR="009C20CE" w:rsidRDefault="009C20CE" w:rsidP="009C20CE">
      <w:pPr>
        <w:keepNext/>
        <w:keepLines/>
        <w:tabs>
          <w:tab w:val="left" w:pos="0"/>
        </w:tabs>
        <w:spacing w:before="1200" w:line="360" w:lineRule="auto"/>
        <w:jc w:val="right"/>
        <w:rPr>
          <w:b/>
          <w:u w:val="single"/>
        </w:rPr>
      </w:pPr>
      <w:r>
        <w:rPr>
          <w:b/>
          <w:u w:val="single"/>
        </w:rPr>
        <w:t>________________________________</w:t>
      </w:r>
    </w:p>
    <w:p w14:paraId="6055F764" w14:textId="77777777" w:rsidR="009C20CE" w:rsidRDefault="009C20CE" w:rsidP="009C20CE">
      <w:pPr>
        <w:keepNext/>
        <w:jc w:val="right"/>
        <w:rPr>
          <w:rFonts w:cs="Arial"/>
          <w:b/>
        </w:rPr>
      </w:pPr>
      <w:r>
        <w:rPr>
          <w:rFonts w:cs="Arial"/>
          <w:b/>
        </w:rPr>
        <w:t>L R ADAMS</w:t>
      </w:r>
    </w:p>
    <w:p w14:paraId="5D0098CF" w14:textId="77777777" w:rsidR="009C20CE" w:rsidRDefault="009C20CE" w:rsidP="009C20CE">
      <w:pPr>
        <w:keepNext/>
        <w:jc w:val="right"/>
        <w:rPr>
          <w:rFonts w:cs="Arial"/>
          <w:i/>
        </w:rPr>
      </w:pPr>
      <w:r>
        <w:rPr>
          <w:rFonts w:cs="Arial"/>
          <w:i/>
        </w:rPr>
        <w:t>Judge of the High Court of South Africa</w:t>
      </w:r>
    </w:p>
    <w:p w14:paraId="7AF32319" w14:textId="77777777" w:rsidR="009C20CE" w:rsidRDefault="009C20CE" w:rsidP="00C83537">
      <w:pPr>
        <w:pBdr>
          <w:bottom w:val="single" w:sz="6" w:space="1" w:color="auto"/>
        </w:pBdr>
        <w:spacing w:after="600" w:line="360" w:lineRule="auto"/>
        <w:jc w:val="right"/>
        <w:rPr>
          <w:rFonts w:cs="Arial"/>
          <w:i/>
        </w:rPr>
      </w:pPr>
      <w:r>
        <w:rPr>
          <w:rFonts w:cs="Arial"/>
          <w:i/>
        </w:rPr>
        <w:t>Gauteng Division, Johannesburg</w:t>
      </w:r>
    </w:p>
    <w:p w14:paraId="5C96777B" w14:textId="77777777" w:rsidR="009C20CE" w:rsidRDefault="009C20CE" w:rsidP="009C20CE">
      <w:pPr>
        <w:spacing w:line="360" w:lineRule="auto"/>
        <w:rPr>
          <w:rFonts w:cs="Arial"/>
          <w:i/>
        </w:rPr>
      </w:pPr>
    </w:p>
    <w:p w14:paraId="2BD536C1" w14:textId="77777777" w:rsidR="00C83537" w:rsidRDefault="00C83537">
      <w:r>
        <w:br w:type="page"/>
      </w:r>
    </w:p>
    <w:tbl>
      <w:tblPr>
        <w:tblW w:w="7621" w:type="dxa"/>
        <w:tblLook w:val="04A0" w:firstRow="1" w:lastRow="0" w:firstColumn="1" w:lastColumn="0" w:noHBand="0" w:noVBand="1"/>
      </w:tblPr>
      <w:tblGrid>
        <w:gridCol w:w="3794"/>
        <w:gridCol w:w="3827"/>
      </w:tblGrid>
      <w:tr w:rsidR="007D27AD" w:rsidRPr="007D27AD" w14:paraId="3EBD0029" w14:textId="77777777" w:rsidTr="007D27AD">
        <w:tc>
          <w:tcPr>
            <w:tcW w:w="3794" w:type="dxa"/>
            <w:tcMar>
              <w:top w:w="32" w:type="dxa"/>
              <w:left w:w="108" w:type="dxa"/>
              <w:bottom w:w="32" w:type="dxa"/>
              <w:right w:w="108" w:type="dxa"/>
            </w:tcMar>
            <w:vAlign w:val="center"/>
            <w:hideMark/>
          </w:tcPr>
          <w:p w14:paraId="13729E33" w14:textId="046B84E0" w:rsidR="007D27AD" w:rsidRPr="007D27AD" w:rsidRDefault="007D27AD" w:rsidP="009C20CE">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14:paraId="2F2BCF50" w14:textId="3C5305D5" w:rsidR="007D27AD" w:rsidRPr="007D27AD" w:rsidRDefault="00864E4C" w:rsidP="00905D5D">
            <w:pPr>
              <w:keepNext/>
              <w:spacing w:before="120" w:after="120"/>
              <w:ind w:left="-108"/>
              <w:rPr>
                <w:sz w:val="22"/>
                <w:szCs w:val="22"/>
                <w:lang w:eastAsia="en-US"/>
              </w:rPr>
            </w:pPr>
            <w:r>
              <w:t>4</w:t>
            </w:r>
            <w:r w:rsidRPr="00864E4C">
              <w:rPr>
                <w:vertAlign w:val="superscript"/>
              </w:rPr>
              <w:t>th</w:t>
            </w:r>
            <w:r w:rsidR="00E11E64">
              <w:t xml:space="preserve"> </w:t>
            </w:r>
            <w:r w:rsidR="005B5E73">
              <w:t>March</w:t>
            </w:r>
            <w:r w:rsidR="009C20CE">
              <w:t xml:space="preserve"> 202</w:t>
            </w:r>
            <w:r>
              <w:t>4</w:t>
            </w:r>
          </w:p>
        </w:tc>
      </w:tr>
      <w:tr w:rsidR="007D27AD" w:rsidRPr="007D27AD" w14:paraId="103F2AD5" w14:textId="77777777" w:rsidTr="007D27AD">
        <w:tc>
          <w:tcPr>
            <w:tcW w:w="3794" w:type="dxa"/>
            <w:tcMar>
              <w:top w:w="32" w:type="dxa"/>
              <w:left w:w="108" w:type="dxa"/>
              <w:bottom w:w="32" w:type="dxa"/>
              <w:right w:w="108" w:type="dxa"/>
            </w:tcMar>
            <w:vAlign w:val="center"/>
            <w:hideMark/>
          </w:tcPr>
          <w:p w14:paraId="73BC0566" w14:textId="77777777" w:rsidR="007D27AD" w:rsidRPr="007D27AD" w:rsidRDefault="007D27AD" w:rsidP="009C20C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14:paraId="0F281876" w14:textId="627F148F" w:rsidR="007D27AD" w:rsidRPr="007D27AD" w:rsidRDefault="008222B6" w:rsidP="00905D5D">
            <w:pPr>
              <w:keepNext/>
              <w:spacing w:before="120" w:after="120"/>
              <w:ind w:left="-108"/>
            </w:pPr>
            <w:r>
              <w:t>26</w:t>
            </w:r>
            <w:r w:rsidRPr="008222B6">
              <w:rPr>
                <w:vertAlign w:val="superscript"/>
              </w:rPr>
              <w:t>th</w:t>
            </w:r>
            <w:r>
              <w:t xml:space="preserve"> </w:t>
            </w:r>
            <w:r w:rsidR="005B5E73">
              <w:t>March</w:t>
            </w:r>
            <w:r w:rsidR="007D27AD" w:rsidRPr="007D27AD">
              <w:t xml:space="preserve"> 20</w:t>
            </w:r>
            <w:r w:rsidR="004E644B">
              <w:t>2</w:t>
            </w:r>
            <w:r w:rsidR="00864E4C">
              <w:t>4</w:t>
            </w:r>
            <w:r w:rsidR="00C54E42">
              <w:t xml:space="preserve"> – judgment handed down electronically.</w:t>
            </w:r>
          </w:p>
        </w:tc>
      </w:tr>
      <w:tr w:rsidR="007D27AD" w:rsidRPr="007D27AD" w14:paraId="201A6BEE" w14:textId="77777777" w:rsidTr="007D27AD">
        <w:tc>
          <w:tcPr>
            <w:tcW w:w="3794" w:type="dxa"/>
            <w:tcMar>
              <w:top w:w="32" w:type="dxa"/>
              <w:left w:w="108" w:type="dxa"/>
              <w:bottom w:w="32" w:type="dxa"/>
              <w:right w:w="108" w:type="dxa"/>
            </w:tcMar>
            <w:vAlign w:val="center"/>
            <w:hideMark/>
          </w:tcPr>
          <w:p w14:paraId="625AD730" w14:textId="62E82F59" w:rsidR="007D27AD" w:rsidRPr="007D27AD" w:rsidRDefault="007D27AD" w:rsidP="009C20CE">
            <w:pPr>
              <w:keepNext/>
              <w:spacing w:before="120" w:after="120"/>
              <w:rPr>
                <w:sz w:val="22"/>
                <w:szCs w:val="22"/>
                <w:lang w:eastAsia="en-US"/>
              </w:rPr>
            </w:pPr>
            <w:r w:rsidRPr="007D27AD">
              <w:t xml:space="preserve">FOR </w:t>
            </w:r>
            <w:r w:rsidR="005B5E73">
              <w:t xml:space="preserve">THE </w:t>
            </w:r>
            <w:r w:rsidR="009C20CE">
              <w:t>APPLICANT</w:t>
            </w:r>
            <w:r w:rsidRPr="007D27AD">
              <w:t>: </w:t>
            </w:r>
          </w:p>
        </w:tc>
        <w:tc>
          <w:tcPr>
            <w:tcW w:w="0" w:type="auto"/>
            <w:tcMar>
              <w:top w:w="32" w:type="dxa"/>
              <w:left w:w="108" w:type="dxa"/>
              <w:bottom w:w="32" w:type="dxa"/>
              <w:right w:w="108" w:type="dxa"/>
            </w:tcMar>
            <w:vAlign w:val="center"/>
            <w:hideMark/>
          </w:tcPr>
          <w:p w14:paraId="51FE33EA" w14:textId="36EAA5D2" w:rsidR="00E11E64" w:rsidRPr="00E11E64" w:rsidRDefault="007D27AD" w:rsidP="00E11E64">
            <w:pPr>
              <w:keepNext/>
              <w:spacing w:before="120" w:after="120"/>
              <w:ind w:left="-108"/>
            </w:pPr>
            <w:r w:rsidRPr="007D27AD">
              <w:t>Adv</w:t>
            </w:r>
            <w:r w:rsidR="00E11E64">
              <w:t>ocate</w:t>
            </w:r>
            <w:r w:rsidRPr="007D27AD">
              <w:t xml:space="preserve"> </w:t>
            </w:r>
            <w:r w:rsidR="005B5E73">
              <w:t>George Kairinos</w:t>
            </w:r>
            <w:r w:rsidR="00D10D0C">
              <w:t xml:space="preserve"> SC </w:t>
            </w:r>
          </w:p>
        </w:tc>
      </w:tr>
      <w:tr w:rsidR="007D27AD" w:rsidRPr="007D27AD" w14:paraId="1CF13CD3" w14:textId="77777777" w:rsidTr="007D27AD">
        <w:tc>
          <w:tcPr>
            <w:tcW w:w="3794" w:type="dxa"/>
            <w:tcMar>
              <w:top w:w="32" w:type="dxa"/>
              <w:left w:w="108" w:type="dxa"/>
              <w:bottom w:w="32" w:type="dxa"/>
              <w:right w:w="108" w:type="dxa"/>
            </w:tcMar>
            <w:vAlign w:val="center"/>
            <w:hideMark/>
          </w:tcPr>
          <w:p w14:paraId="30AB4DB9" w14:textId="77777777" w:rsidR="007D27AD" w:rsidRPr="007D27AD" w:rsidRDefault="007D27AD" w:rsidP="009C20C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14:paraId="36D177E4" w14:textId="4C6D72E6" w:rsidR="007D27AD" w:rsidRPr="007D27AD" w:rsidRDefault="00D10D0C" w:rsidP="00C54E42">
            <w:pPr>
              <w:keepNext/>
              <w:spacing w:before="120" w:after="120"/>
              <w:ind w:left="-108"/>
              <w:rPr>
                <w:sz w:val="22"/>
                <w:szCs w:val="22"/>
                <w:lang w:eastAsia="en-US"/>
              </w:rPr>
            </w:pPr>
            <w:r>
              <w:t>Du Toit – Sanchez – Moodley</w:t>
            </w:r>
            <w:r w:rsidR="00C3064A">
              <w:t xml:space="preserve"> </w:t>
            </w:r>
            <w:r>
              <w:t>Inc</w:t>
            </w:r>
            <w:r w:rsidR="009C20CE">
              <w:t>,</w:t>
            </w:r>
            <w:r w:rsidR="00C3064A">
              <w:t xml:space="preserve"> </w:t>
            </w:r>
            <w:r>
              <w:t>Darrenwood, Randburg</w:t>
            </w:r>
          </w:p>
        </w:tc>
      </w:tr>
      <w:tr w:rsidR="00E11E64" w:rsidRPr="007D27AD" w14:paraId="613E2A4F" w14:textId="77777777" w:rsidTr="00102484">
        <w:tc>
          <w:tcPr>
            <w:tcW w:w="3794" w:type="dxa"/>
            <w:tcMar>
              <w:top w:w="32" w:type="dxa"/>
              <w:left w:w="108" w:type="dxa"/>
              <w:bottom w:w="32" w:type="dxa"/>
              <w:right w:w="108" w:type="dxa"/>
            </w:tcMar>
            <w:vAlign w:val="center"/>
            <w:hideMark/>
          </w:tcPr>
          <w:p w14:paraId="6DB719B4" w14:textId="78BA315C" w:rsidR="00E11E64" w:rsidRPr="00102484" w:rsidRDefault="00E11E64" w:rsidP="00E11E64">
            <w:pPr>
              <w:keepNext/>
              <w:spacing w:before="120" w:after="120"/>
            </w:pPr>
            <w:r w:rsidRPr="007D27AD">
              <w:t xml:space="preserve">FOR THE </w:t>
            </w:r>
            <w:r w:rsidR="00C3064A">
              <w:t>RESPONDENT</w:t>
            </w:r>
            <w:r w:rsidRPr="007D27AD">
              <w:t>: </w:t>
            </w:r>
          </w:p>
        </w:tc>
        <w:tc>
          <w:tcPr>
            <w:tcW w:w="0" w:type="auto"/>
            <w:tcMar>
              <w:top w:w="32" w:type="dxa"/>
              <w:left w:w="108" w:type="dxa"/>
              <w:bottom w:w="32" w:type="dxa"/>
              <w:right w:w="108" w:type="dxa"/>
            </w:tcMar>
            <w:vAlign w:val="center"/>
            <w:hideMark/>
          </w:tcPr>
          <w:p w14:paraId="2462114B" w14:textId="4F293590" w:rsidR="00E11E64" w:rsidRPr="00E11E64" w:rsidRDefault="00D10D0C" w:rsidP="00E11E64">
            <w:pPr>
              <w:keepNext/>
              <w:spacing w:before="120" w:after="120"/>
              <w:ind w:left="-108"/>
            </w:pPr>
            <w:r>
              <w:t>Advocate F A Saint</w:t>
            </w:r>
          </w:p>
        </w:tc>
      </w:tr>
      <w:tr w:rsidR="00E11E64" w:rsidRPr="007D27AD" w14:paraId="192BFA48" w14:textId="77777777" w:rsidTr="00102484">
        <w:tc>
          <w:tcPr>
            <w:tcW w:w="3794" w:type="dxa"/>
            <w:tcMar>
              <w:top w:w="32" w:type="dxa"/>
              <w:left w:w="108" w:type="dxa"/>
              <w:bottom w:w="32" w:type="dxa"/>
              <w:right w:w="108" w:type="dxa"/>
            </w:tcMar>
            <w:vAlign w:val="center"/>
            <w:hideMark/>
          </w:tcPr>
          <w:p w14:paraId="28E9FE27" w14:textId="77777777" w:rsidR="00E11E64" w:rsidRPr="00102484" w:rsidRDefault="00E11E64" w:rsidP="00E11E64">
            <w:pPr>
              <w:keepNext/>
              <w:spacing w:before="120" w:after="120"/>
            </w:pPr>
            <w:r w:rsidRPr="007D27AD">
              <w:t>INSTRUCTED BY: </w:t>
            </w:r>
          </w:p>
        </w:tc>
        <w:tc>
          <w:tcPr>
            <w:tcW w:w="0" w:type="auto"/>
            <w:tcMar>
              <w:top w:w="32" w:type="dxa"/>
              <w:left w:w="108" w:type="dxa"/>
              <w:bottom w:w="32" w:type="dxa"/>
              <w:right w:w="108" w:type="dxa"/>
            </w:tcMar>
            <w:vAlign w:val="center"/>
            <w:hideMark/>
          </w:tcPr>
          <w:p w14:paraId="33C7F5C3" w14:textId="7D698C46" w:rsidR="00E11E64" w:rsidRPr="007D27AD" w:rsidRDefault="00D10D0C" w:rsidP="00E11E64">
            <w:pPr>
              <w:keepNext/>
              <w:spacing w:before="120" w:after="120"/>
              <w:ind w:left="-108"/>
              <w:rPr>
                <w:sz w:val="22"/>
                <w:szCs w:val="22"/>
                <w:lang w:eastAsia="en-US"/>
              </w:rPr>
            </w:pPr>
            <w:r>
              <w:t>Reddy</w:t>
            </w:r>
            <w:r w:rsidR="00C3064A">
              <w:t xml:space="preserve"> Incorporated</w:t>
            </w:r>
            <w:r w:rsidR="00E11E64">
              <w:t xml:space="preserve">, </w:t>
            </w:r>
            <w:r>
              <w:t>Bedfordview</w:t>
            </w:r>
            <w:r w:rsidR="00E11E64">
              <w:t xml:space="preserve"> </w:t>
            </w:r>
          </w:p>
        </w:tc>
      </w:tr>
    </w:tbl>
    <w:p w14:paraId="2F5C5BE9" w14:textId="77777777" w:rsidR="002F15F5" w:rsidRPr="00D63801" w:rsidRDefault="002F15F5" w:rsidP="00C3064A">
      <w:pPr>
        <w:pStyle w:val="LegalMAINHEADING"/>
        <w:spacing w:before="0" w:after="120" w:line="360" w:lineRule="auto"/>
        <w:rPr>
          <w:b w:val="0"/>
        </w:rPr>
      </w:pPr>
    </w:p>
    <w:sectPr w:rsidR="002F15F5" w:rsidRPr="00D63801" w:rsidSect="00432A1D">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229C9" w14:textId="77777777" w:rsidR="00432A1D" w:rsidRDefault="00432A1D">
      <w:pPr>
        <w:spacing w:line="20" w:lineRule="exact"/>
      </w:pPr>
    </w:p>
  </w:endnote>
  <w:endnote w:type="continuationSeparator" w:id="0">
    <w:p w14:paraId="49549A5A" w14:textId="77777777" w:rsidR="00432A1D" w:rsidRDefault="00432A1D">
      <w:r>
        <w:t xml:space="preserve"> </w:t>
      </w:r>
    </w:p>
  </w:endnote>
  <w:endnote w:type="continuationNotice" w:id="1">
    <w:p w14:paraId="4E13A4BB" w14:textId="77777777" w:rsidR="00432A1D" w:rsidRDefault="00432A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9B2E0" w14:textId="77777777" w:rsidR="00432A1D" w:rsidRDefault="00432A1D">
      <w:r>
        <w:separator/>
      </w:r>
    </w:p>
  </w:footnote>
  <w:footnote w:type="continuationSeparator" w:id="0">
    <w:p w14:paraId="62DDE78B" w14:textId="77777777" w:rsidR="00432A1D" w:rsidRDefault="00432A1D">
      <w:r>
        <w:continuationSeparator/>
      </w:r>
    </w:p>
  </w:footnote>
  <w:footnote w:id="1">
    <w:p w14:paraId="12A40854" w14:textId="77777777" w:rsidR="006C68D7" w:rsidRPr="006C68D7" w:rsidRDefault="006C68D7" w:rsidP="006C68D7">
      <w:pPr>
        <w:pStyle w:val="FootnoteText"/>
        <w:rPr>
          <w:b/>
          <w:bCs/>
        </w:rPr>
      </w:pPr>
      <w:r>
        <w:rPr>
          <w:rStyle w:val="FootnoteReference"/>
        </w:rPr>
        <w:footnoteRef/>
      </w:r>
      <w:r>
        <w:t xml:space="preserve"> </w:t>
      </w:r>
      <w:r w:rsidRPr="006C68D7">
        <w:t>‘345</w:t>
      </w:r>
      <w:r w:rsidRPr="006C68D7">
        <w:tab/>
      </w:r>
      <w:r w:rsidRPr="006C68D7">
        <w:rPr>
          <w:b/>
          <w:bCs/>
        </w:rPr>
        <w:t>When company deemed unable to pay its debts</w:t>
      </w:r>
    </w:p>
    <w:p w14:paraId="39E042C7" w14:textId="263CCB00" w:rsidR="006C68D7" w:rsidRPr="006C68D7" w:rsidRDefault="005B0288" w:rsidP="005B0288">
      <w:pPr>
        <w:pStyle w:val="FootnoteText"/>
        <w:ind w:left="720" w:hanging="360"/>
      </w:pPr>
      <w:r w:rsidRPr="006C68D7">
        <w:t>(1)</w:t>
      </w:r>
      <w:r w:rsidRPr="006C68D7">
        <w:tab/>
      </w:r>
      <w:r w:rsidR="006C68D7" w:rsidRPr="006C68D7">
        <w:t xml:space="preserve">A company or body corporate shall be deemed to be unable to pay its debts if – </w:t>
      </w:r>
    </w:p>
    <w:p w14:paraId="6B6E91F9" w14:textId="051F8BA4" w:rsidR="006C68D7" w:rsidRPr="006C68D7" w:rsidRDefault="005B0288" w:rsidP="005B0288">
      <w:pPr>
        <w:pStyle w:val="FootnoteText"/>
        <w:ind w:left="720" w:hanging="360"/>
      </w:pPr>
      <w:r w:rsidRPr="006C68D7">
        <w:t>(a)</w:t>
      </w:r>
      <w:r w:rsidRPr="006C68D7">
        <w:tab/>
      </w:r>
      <w:r w:rsidR="006C68D7" w:rsidRPr="006C68D7">
        <w:t xml:space="preserve">a creditor … …, to whom the company is indebted in a sum not less than one hundred rand then due – </w:t>
      </w:r>
    </w:p>
    <w:p w14:paraId="0BE2FAD1" w14:textId="762F06AA" w:rsidR="006C68D7" w:rsidRPr="006C68D7" w:rsidRDefault="005B0288" w:rsidP="005B0288">
      <w:pPr>
        <w:pStyle w:val="FootnoteText"/>
        <w:ind w:left="1080" w:hanging="720"/>
      </w:pPr>
      <w:r w:rsidRPr="006C68D7">
        <w:t>(i)</w:t>
      </w:r>
      <w:r w:rsidRPr="006C68D7">
        <w:tab/>
      </w:r>
      <w:r w:rsidR="006C68D7" w:rsidRPr="006C68D7">
        <w:t>has served on the company, by leaving the same at its registered office, a demand requiring the company to pay the sum so due; or</w:t>
      </w:r>
    </w:p>
    <w:p w14:paraId="1DBCD30F" w14:textId="67A9BFC6" w:rsidR="006C68D7" w:rsidRPr="006C68D7" w:rsidRDefault="005B0288" w:rsidP="005B0288">
      <w:pPr>
        <w:pStyle w:val="FootnoteText"/>
        <w:ind w:left="1080" w:hanging="720"/>
      </w:pPr>
      <w:r w:rsidRPr="006C68D7">
        <w:t>(ii)</w:t>
      </w:r>
      <w:r w:rsidRPr="006C68D7">
        <w:tab/>
      </w:r>
      <w:r w:rsidR="006C68D7" w:rsidRPr="006C68D7">
        <w:t>in the case of any body corporate not incorporated under this Act, has served such demand by leaving it at its main office or delivering it to the secretary or some director, manager or principal officer of such body corporate or in such other manner as the Court may direct,</w:t>
      </w:r>
    </w:p>
    <w:p w14:paraId="6FF9A397" w14:textId="77777777" w:rsidR="006C68D7" w:rsidRPr="006C68D7" w:rsidRDefault="006C68D7" w:rsidP="006C68D7">
      <w:pPr>
        <w:pStyle w:val="FootnoteText"/>
        <w:tabs>
          <w:tab w:val="clear" w:pos="340"/>
        </w:tabs>
        <w:ind w:left="709" w:firstLine="0"/>
      </w:pPr>
      <w:r w:rsidRPr="006C68D7">
        <w:t>and the company or body corporate has for three weeks thereafter neglected to pay the sum, or to secure or compound for it to the reasonable satisfaction of the creditor; or</w:t>
      </w:r>
    </w:p>
    <w:p w14:paraId="2BD3E2DE" w14:textId="2D717DC9" w:rsidR="006C68D7" w:rsidRPr="006C68D7" w:rsidRDefault="006C68D7" w:rsidP="006C68D7">
      <w:pPr>
        <w:pStyle w:val="FootnoteText"/>
        <w:tabs>
          <w:tab w:val="clear" w:pos="340"/>
        </w:tabs>
        <w:ind w:left="709" w:firstLine="0"/>
        <w:rPr>
          <w:lang w:val="en-ZA"/>
        </w:rPr>
      </w:pPr>
      <w:r w:rsidRPr="006C68D7">
        <w:t>… … …’.</w:t>
      </w:r>
    </w:p>
  </w:footnote>
  <w:footnote w:id="2">
    <w:p w14:paraId="2E9D6475" w14:textId="7A844F6B" w:rsidR="00824F5A" w:rsidRPr="00824F5A" w:rsidRDefault="00824F5A">
      <w:pPr>
        <w:pStyle w:val="FootnoteText"/>
        <w:rPr>
          <w:lang w:val="en-US"/>
        </w:rPr>
      </w:pPr>
      <w:r>
        <w:rPr>
          <w:rStyle w:val="FootnoteReference"/>
        </w:rPr>
        <w:footnoteRef/>
      </w:r>
      <w:r>
        <w:t xml:space="preserve"> </w:t>
      </w:r>
      <w:r w:rsidRPr="00824F5A">
        <w:rPr>
          <w:color w:val="000000"/>
        </w:rPr>
        <w:t xml:space="preserve">Companies Act, </w:t>
      </w:r>
      <w:r>
        <w:rPr>
          <w:color w:val="000000"/>
        </w:rPr>
        <w:t xml:space="preserve">Act </w:t>
      </w:r>
      <w:r w:rsidRPr="00824F5A">
        <w:rPr>
          <w:color w:val="000000"/>
        </w:rPr>
        <w:t>61 of 1973</w:t>
      </w:r>
      <w:r>
        <w:rPr>
          <w:color w:val="000000"/>
        </w:rPr>
        <w:t xml:space="preserve">. </w:t>
      </w:r>
    </w:p>
  </w:footnote>
  <w:footnote w:id="3">
    <w:p w14:paraId="45EE0207" w14:textId="4DDC07C6" w:rsidR="00E73623" w:rsidRPr="00E73623" w:rsidRDefault="00E73623" w:rsidP="00E73623">
      <w:pPr>
        <w:pStyle w:val="FootnoteText"/>
      </w:pPr>
      <w:r>
        <w:rPr>
          <w:rStyle w:val="FootnoteReference"/>
        </w:rPr>
        <w:footnoteRef/>
      </w:r>
      <w:r>
        <w:t xml:space="preserve"> </w:t>
      </w:r>
      <w:r w:rsidRPr="00E73623">
        <w:t>The ‘</w:t>
      </w:r>
      <w:r w:rsidRPr="00E73623">
        <w:rPr>
          <w:i/>
          <w:iCs/>
        </w:rPr>
        <w:t>Badenhorst</w:t>
      </w:r>
      <w:r w:rsidRPr="00E73623">
        <w:t xml:space="preserve"> rule’ after </w:t>
      </w:r>
      <w:r w:rsidRPr="00E73623">
        <w:rPr>
          <w:i/>
          <w:iCs/>
        </w:rPr>
        <w:t xml:space="preserve">Badenhorst v Northern Construction Enterprises (Pty) Ltd </w:t>
      </w:r>
      <w:r w:rsidRPr="00E73623">
        <w:t xml:space="preserve">1956 (2) SA 346 (T) at 347 – 348 and authorities there cited; </w:t>
      </w:r>
      <w:r w:rsidRPr="00E73623">
        <w:rPr>
          <w:i/>
          <w:iCs/>
        </w:rPr>
        <w:t>Gillis-Mason Construction Co (Pty) Ltd v Overvaal Crushers (Pty) Ltd</w:t>
      </w:r>
      <w:r w:rsidRPr="00E73623">
        <w:t xml:space="preserve"> 1971 (1) SA 524 (T) at 529-530; </w:t>
      </w:r>
      <w:r w:rsidRPr="00E73623">
        <w:rPr>
          <w:i/>
          <w:iCs/>
        </w:rPr>
        <w:t xml:space="preserve">Walter McNaughtan (Pty) Ltd v Impala Caravans (Pty) Ltd </w:t>
      </w:r>
      <w:r w:rsidRPr="00E73623">
        <w:t xml:space="preserve">1976 (1) SA 189 (W) at 191; </w:t>
      </w:r>
      <w:r w:rsidRPr="00E73623">
        <w:rPr>
          <w:i/>
          <w:iCs/>
        </w:rPr>
        <w:t xml:space="preserve">Machanick Steel &amp; Fencing (Pty) Ltd v Wesrhodan (Pty) Ltd </w:t>
      </w:r>
      <w:r w:rsidRPr="00E73623">
        <w:t xml:space="preserve">1979 (1) SA 265 (W) at 269; </w:t>
      </w:r>
      <w:r w:rsidRPr="00E73623">
        <w:rPr>
          <w:i/>
          <w:iCs/>
        </w:rPr>
        <w:t>Kalil v Decotex (Pty) Ltd</w:t>
      </w:r>
      <w:r w:rsidRPr="00E73623">
        <w:t xml:space="preserve"> 1988 (1) SA 943 (AD) at 980; </w:t>
      </w:r>
      <w:r w:rsidRPr="00E73623">
        <w:rPr>
          <w:i/>
          <w:iCs/>
        </w:rPr>
        <w:t xml:space="preserve">Securefin Ltd v KNA Insurance and Investment Brokers (Pty) Ltd </w:t>
      </w:r>
      <w:r w:rsidRPr="00E73623">
        <w:t xml:space="preserve">[2001] 3 All SA 15 (W) at 48; </w:t>
      </w:r>
      <w:r w:rsidRPr="00E73623">
        <w:rPr>
          <w:i/>
          <w:iCs/>
        </w:rPr>
        <w:t>Robson v Wax Works (Pty) Ltd</w:t>
      </w:r>
      <w:r w:rsidRPr="00E73623">
        <w:t xml:space="preserve"> 2001 (3) SA 1117; </w:t>
      </w:r>
      <w:r w:rsidRPr="00E73623">
        <w:rPr>
          <w:i/>
          <w:iCs/>
        </w:rPr>
        <w:t>SMM Holdings (Pvt) Ltd v Southern Asbestos Sales (Pty) Ltd</w:t>
      </w:r>
      <w:r w:rsidRPr="00E73623">
        <w:t xml:space="preserve"> 120051 4 All SA 584 (W) at 591-592. </w:t>
      </w:r>
    </w:p>
  </w:footnote>
  <w:footnote w:id="4">
    <w:p w14:paraId="114C5B40" w14:textId="63B29366" w:rsidR="00D36F4F" w:rsidRPr="00D36F4F" w:rsidRDefault="00D36F4F">
      <w:pPr>
        <w:pStyle w:val="FootnoteText"/>
        <w:rPr>
          <w:lang w:val="en-ZA"/>
        </w:rPr>
      </w:pPr>
      <w:r>
        <w:rPr>
          <w:rStyle w:val="FootnoteReference"/>
        </w:rPr>
        <w:footnoteRef/>
      </w:r>
      <w:r>
        <w:t xml:space="preserve"> </w:t>
      </w:r>
      <w:r w:rsidRPr="00D36F4F">
        <w:rPr>
          <w:i/>
          <w:iCs/>
        </w:rPr>
        <w:t>Absa Bank Ltd v Rhebokskloof (Pty) Ltd</w:t>
      </w:r>
      <w:r w:rsidRPr="00D36F4F">
        <w:t xml:space="preserve"> 1993 (4) SA 436 (C) at 440</w:t>
      </w:r>
      <w:r>
        <w:t>.</w:t>
      </w:r>
    </w:p>
  </w:footnote>
  <w:footnote w:id="5">
    <w:p w14:paraId="77225D4E" w14:textId="633BB899" w:rsidR="00B84C44" w:rsidRPr="00B84C44" w:rsidRDefault="00B84C44">
      <w:pPr>
        <w:pStyle w:val="FootnoteText"/>
        <w:rPr>
          <w:lang w:val="en-US"/>
        </w:rPr>
      </w:pPr>
      <w:r>
        <w:rPr>
          <w:rStyle w:val="FootnoteReference"/>
        </w:rPr>
        <w:footnoteRef/>
      </w:r>
      <w:r>
        <w:t xml:space="preserve"> </w:t>
      </w:r>
      <w:r w:rsidRPr="00B84C44">
        <w:rPr>
          <w:i/>
          <w:iCs/>
          <w:color w:val="000000"/>
        </w:rPr>
        <w:t>Intello Capital CC v</w:t>
      </w:r>
      <w:r w:rsidRPr="0066537F">
        <w:rPr>
          <w:color w:val="000000"/>
        </w:rPr>
        <w:t xml:space="preserve"> </w:t>
      </w:r>
      <w:r w:rsidRPr="0066537F">
        <w:rPr>
          <w:i/>
          <w:iCs/>
          <w:color w:val="000000"/>
        </w:rPr>
        <w:t>Sigge Managed Solutions (Pty) Limited</w:t>
      </w:r>
      <w:r w:rsidRPr="0066537F">
        <w:rPr>
          <w:color w:val="000000"/>
        </w:rPr>
        <w:t xml:space="preserve"> 2023 JDR 0644 (GJ)</w:t>
      </w:r>
      <w:r>
        <w:rPr>
          <w:color w:val="000000"/>
        </w:rPr>
        <w:t>.</w:t>
      </w:r>
    </w:p>
  </w:footnote>
  <w:footnote w:id="6">
    <w:p w14:paraId="6F52FCCC" w14:textId="09388292" w:rsidR="0066537F" w:rsidRPr="0066537F" w:rsidRDefault="0066537F">
      <w:pPr>
        <w:pStyle w:val="FootnoteText"/>
        <w:rPr>
          <w:lang w:val="en-US"/>
        </w:rPr>
      </w:pPr>
      <w:r>
        <w:rPr>
          <w:rStyle w:val="FootnoteReference"/>
        </w:rPr>
        <w:footnoteRef/>
      </w:r>
      <w:r>
        <w:t xml:space="preserve"> </w:t>
      </w:r>
      <w:r w:rsidRPr="0066537F">
        <w:rPr>
          <w:i/>
          <w:iCs/>
          <w:color w:val="000000"/>
        </w:rPr>
        <w:t>EB Steam Co (Pty) Ltd v Eskom Holdings SOC Ltd</w:t>
      </w:r>
      <w:r w:rsidRPr="0066537F">
        <w:rPr>
          <w:color w:val="000000"/>
        </w:rPr>
        <w:t xml:space="preserve"> 2015 (2) SA 526 (SCA)</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B682F"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8BD3F" w14:textId="77777777" w:rsidR="00236346" w:rsidRDefault="0023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6084767"/>
      <w:docPartObj>
        <w:docPartGallery w:val="Page Numbers (Top of Page)"/>
        <w:docPartUnique/>
      </w:docPartObj>
    </w:sdtPr>
    <w:sdtEndPr>
      <w:rPr>
        <w:noProof/>
      </w:rPr>
    </w:sdtEndPr>
    <w:sdtContent>
      <w:p w14:paraId="7ED93EC3" w14:textId="20B333EA" w:rsidR="00236346" w:rsidRPr="00B45F72" w:rsidRDefault="00236346" w:rsidP="00766386">
        <w:pPr>
          <w:pStyle w:val="Header"/>
          <w:jc w:val="right"/>
        </w:pPr>
        <w:r>
          <w:fldChar w:fldCharType="begin"/>
        </w:r>
        <w:r>
          <w:instrText xml:space="preserve"> PAGE   \* MERGEFORMAT </w:instrText>
        </w:r>
        <w:r>
          <w:fldChar w:fldCharType="separate"/>
        </w:r>
        <w:r w:rsidR="0063498E">
          <w:rPr>
            <w:noProof/>
          </w:rPr>
          <w:t>12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30653" w14:textId="77777777" w:rsidR="00236346" w:rsidRDefault="00236346">
    <w:pPr>
      <w:pStyle w:val="Header"/>
      <w:jc w:val="right"/>
    </w:pPr>
  </w:p>
  <w:p w14:paraId="12869B10" w14:textId="77777777" w:rsidR="00236346" w:rsidRDefault="00236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50995"/>
    <w:multiLevelType w:val="hybridMultilevel"/>
    <w:tmpl w:val="945E8924"/>
    <w:lvl w:ilvl="0" w:tplc="AB4401B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7356294"/>
    <w:multiLevelType w:val="hybridMultilevel"/>
    <w:tmpl w:val="153E2AE6"/>
    <w:lvl w:ilvl="0" w:tplc="6B5891B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99B5DCD"/>
    <w:multiLevelType w:val="hybridMultilevel"/>
    <w:tmpl w:val="2DB84F76"/>
    <w:lvl w:ilvl="0" w:tplc="EA984D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4723A5"/>
    <w:multiLevelType w:val="hybridMultilevel"/>
    <w:tmpl w:val="4E86D1EE"/>
    <w:lvl w:ilvl="0" w:tplc="D10AEE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6C2C20"/>
    <w:multiLevelType w:val="hybridMultilevel"/>
    <w:tmpl w:val="EA101B4C"/>
    <w:lvl w:ilvl="0" w:tplc="F81CF0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464835"/>
    <w:multiLevelType w:val="hybridMultilevel"/>
    <w:tmpl w:val="B8B21BEC"/>
    <w:lvl w:ilvl="0" w:tplc="A1FA804E">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1A7A46"/>
    <w:multiLevelType w:val="hybridMultilevel"/>
    <w:tmpl w:val="F4809BDE"/>
    <w:lvl w:ilvl="0" w:tplc="859E9736">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3C066A94"/>
    <w:multiLevelType w:val="hybridMultilevel"/>
    <w:tmpl w:val="03788AFE"/>
    <w:lvl w:ilvl="0" w:tplc="D7461A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B07A52"/>
    <w:multiLevelType w:val="hybridMultilevel"/>
    <w:tmpl w:val="FF90C5C2"/>
    <w:lvl w:ilvl="0" w:tplc="D51C09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774A8C"/>
    <w:multiLevelType w:val="hybridMultilevel"/>
    <w:tmpl w:val="5C42BC3C"/>
    <w:lvl w:ilvl="0" w:tplc="14602AF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B3610E9"/>
    <w:multiLevelType w:val="hybridMultilevel"/>
    <w:tmpl w:val="E08A9CF6"/>
    <w:lvl w:ilvl="0" w:tplc="CC6282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2164F59"/>
    <w:multiLevelType w:val="hybridMultilevel"/>
    <w:tmpl w:val="9790F762"/>
    <w:lvl w:ilvl="0" w:tplc="86669B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FE33ED"/>
    <w:multiLevelType w:val="hybridMultilevel"/>
    <w:tmpl w:val="4822B4D6"/>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C1A1E94"/>
    <w:multiLevelType w:val="hybridMultilevel"/>
    <w:tmpl w:val="0650999A"/>
    <w:lvl w:ilvl="0" w:tplc="EAE88DF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53F77DF"/>
    <w:multiLevelType w:val="hybridMultilevel"/>
    <w:tmpl w:val="F2B23F02"/>
    <w:lvl w:ilvl="0" w:tplc="E5AEC7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5772A3"/>
    <w:multiLevelType w:val="hybridMultilevel"/>
    <w:tmpl w:val="2D52FA24"/>
    <w:lvl w:ilvl="0" w:tplc="26086C36">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D7B4863"/>
    <w:multiLevelType w:val="hybridMultilevel"/>
    <w:tmpl w:val="0668359E"/>
    <w:lvl w:ilvl="0" w:tplc="3AC4D2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64E5F5B"/>
    <w:multiLevelType w:val="hybridMultilevel"/>
    <w:tmpl w:val="C5469180"/>
    <w:lvl w:ilvl="0" w:tplc="6D96A2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82D301F"/>
    <w:multiLevelType w:val="hybridMultilevel"/>
    <w:tmpl w:val="99980AF6"/>
    <w:lvl w:ilvl="0" w:tplc="9940A7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8C33441"/>
    <w:multiLevelType w:val="hybridMultilevel"/>
    <w:tmpl w:val="506CD04C"/>
    <w:lvl w:ilvl="0" w:tplc="30D244E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78C619E8"/>
    <w:multiLevelType w:val="hybridMultilevel"/>
    <w:tmpl w:val="F8D82636"/>
    <w:lvl w:ilvl="0" w:tplc="97B81C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96F61C5"/>
    <w:multiLevelType w:val="hybridMultilevel"/>
    <w:tmpl w:val="2CFE500C"/>
    <w:lvl w:ilvl="0" w:tplc="F79A88A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13010502">
    <w:abstractNumId w:val="3"/>
  </w:num>
  <w:num w:numId="2" w16cid:durableId="37903192">
    <w:abstractNumId w:val="20"/>
  </w:num>
  <w:num w:numId="3" w16cid:durableId="298807098">
    <w:abstractNumId w:val="2"/>
    <w:lvlOverride w:ilvl="0">
      <w:startOverride w:val="1"/>
    </w:lvlOverride>
  </w:num>
  <w:num w:numId="4" w16cid:durableId="370809958">
    <w:abstractNumId w:val="1"/>
  </w:num>
  <w:num w:numId="5" w16cid:durableId="2025745784">
    <w:abstractNumId w:val="14"/>
  </w:num>
  <w:num w:numId="6" w16cid:durableId="858852631">
    <w:abstractNumId w:val="13"/>
  </w:num>
  <w:num w:numId="7" w16cid:durableId="1370687084">
    <w:abstractNumId w:val="18"/>
  </w:num>
  <w:num w:numId="8" w16cid:durableId="708803462">
    <w:abstractNumId w:val="7"/>
  </w:num>
  <w:num w:numId="9" w16cid:durableId="1498837641">
    <w:abstractNumId w:val="26"/>
  </w:num>
  <w:num w:numId="10" w16cid:durableId="7498180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3150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3060809">
    <w:abstractNumId w:val="9"/>
  </w:num>
  <w:num w:numId="13" w16cid:durableId="629750275">
    <w:abstractNumId w:val="8"/>
  </w:num>
  <w:num w:numId="14" w16cid:durableId="1555189973">
    <w:abstractNumId w:val="4"/>
  </w:num>
  <w:num w:numId="15" w16cid:durableId="1255672978">
    <w:abstractNumId w:val="0"/>
  </w:num>
  <w:num w:numId="16" w16cid:durableId="1844276629">
    <w:abstractNumId w:val="15"/>
  </w:num>
  <w:num w:numId="17" w16cid:durableId="912009934">
    <w:abstractNumId w:val="22"/>
  </w:num>
  <w:num w:numId="18" w16cid:durableId="2002846728">
    <w:abstractNumId w:val="28"/>
  </w:num>
  <w:num w:numId="19" w16cid:durableId="569197432">
    <w:abstractNumId w:val="24"/>
  </w:num>
  <w:num w:numId="20" w16cid:durableId="6823617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6373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3451472">
    <w:abstractNumId w:val="17"/>
  </w:num>
  <w:num w:numId="23" w16cid:durableId="644700492">
    <w:abstractNumId w:val="12"/>
  </w:num>
  <w:num w:numId="24" w16cid:durableId="560486868">
    <w:abstractNumId w:val="19"/>
  </w:num>
  <w:num w:numId="25" w16cid:durableId="1400441615">
    <w:abstractNumId w:val="21"/>
  </w:num>
  <w:num w:numId="26" w16cid:durableId="1433433124">
    <w:abstractNumId w:val="9"/>
  </w:num>
  <w:num w:numId="27" w16cid:durableId="1672030379">
    <w:abstractNumId w:val="16"/>
  </w:num>
  <w:num w:numId="28" w16cid:durableId="1563321590">
    <w:abstractNumId w:val="27"/>
  </w:num>
  <w:num w:numId="29" w16cid:durableId="1544714589">
    <w:abstractNumId w:val="10"/>
  </w:num>
  <w:num w:numId="30" w16cid:durableId="2014674369">
    <w:abstractNumId w:val="11"/>
  </w:num>
  <w:num w:numId="31" w16cid:durableId="1441681108">
    <w:abstractNumId w:val="25"/>
  </w:num>
  <w:num w:numId="32" w16cid:durableId="1770347523">
    <w:abstractNumId w:val="6"/>
  </w:num>
  <w:num w:numId="33" w16cid:durableId="1099370783">
    <w:abstractNumId w:val="23"/>
  </w:num>
  <w:num w:numId="34" w16cid:durableId="101845983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NDMyMrY0NjUwMbZU0lEKTi0uzszPAykwrAUAe460qywAAAA="/>
  </w:docVars>
  <w:rsids>
    <w:rsidRoot w:val="00A84826"/>
    <w:rsid w:val="00001030"/>
    <w:rsid w:val="000023C5"/>
    <w:rsid w:val="000024F0"/>
    <w:rsid w:val="00002B00"/>
    <w:rsid w:val="000044DD"/>
    <w:rsid w:val="00005F11"/>
    <w:rsid w:val="00006C41"/>
    <w:rsid w:val="00010637"/>
    <w:rsid w:val="000201EB"/>
    <w:rsid w:val="00022460"/>
    <w:rsid w:val="00022583"/>
    <w:rsid w:val="00022C07"/>
    <w:rsid w:val="00022F88"/>
    <w:rsid w:val="00025EA8"/>
    <w:rsid w:val="00026237"/>
    <w:rsid w:val="0002792E"/>
    <w:rsid w:val="00027B5A"/>
    <w:rsid w:val="0003210B"/>
    <w:rsid w:val="0003241F"/>
    <w:rsid w:val="0003349A"/>
    <w:rsid w:val="00034856"/>
    <w:rsid w:val="000402A4"/>
    <w:rsid w:val="0004241B"/>
    <w:rsid w:val="00042885"/>
    <w:rsid w:val="000445C8"/>
    <w:rsid w:val="0004502C"/>
    <w:rsid w:val="000462E1"/>
    <w:rsid w:val="0004668A"/>
    <w:rsid w:val="00046699"/>
    <w:rsid w:val="00046706"/>
    <w:rsid w:val="00046717"/>
    <w:rsid w:val="0004728A"/>
    <w:rsid w:val="00053277"/>
    <w:rsid w:val="00053CA7"/>
    <w:rsid w:val="000542A1"/>
    <w:rsid w:val="000565DB"/>
    <w:rsid w:val="0005727B"/>
    <w:rsid w:val="000579EB"/>
    <w:rsid w:val="0006315B"/>
    <w:rsid w:val="000632FF"/>
    <w:rsid w:val="0006676B"/>
    <w:rsid w:val="00066884"/>
    <w:rsid w:val="00070D07"/>
    <w:rsid w:val="00071294"/>
    <w:rsid w:val="00071615"/>
    <w:rsid w:val="00081021"/>
    <w:rsid w:val="000814F0"/>
    <w:rsid w:val="00081D5F"/>
    <w:rsid w:val="0008219B"/>
    <w:rsid w:val="00083432"/>
    <w:rsid w:val="000844AE"/>
    <w:rsid w:val="00086BE3"/>
    <w:rsid w:val="00090F50"/>
    <w:rsid w:val="00095F0E"/>
    <w:rsid w:val="00096904"/>
    <w:rsid w:val="000A12C2"/>
    <w:rsid w:val="000A12C9"/>
    <w:rsid w:val="000A1606"/>
    <w:rsid w:val="000A3741"/>
    <w:rsid w:val="000A779C"/>
    <w:rsid w:val="000A78AB"/>
    <w:rsid w:val="000A79F5"/>
    <w:rsid w:val="000B4910"/>
    <w:rsid w:val="000B53AD"/>
    <w:rsid w:val="000B58E3"/>
    <w:rsid w:val="000B64EF"/>
    <w:rsid w:val="000C017F"/>
    <w:rsid w:val="000C2C18"/>
    <w:rsid w:val="000C3AF7"/>
    <w:rsid w:val="000C3B5F"/>
    <w:rsid w:val="000C3F2A"/>
    <w:rsid w:val="000C4A10"/>
    <w:rsid w:val="000C564F"/>
    <w:rsid w:val="000C60E4"/>
    <w:rsid w:val="000C6C30"/>
    <w:rsid w:val="000C7321"/>
    <w:rsid w:val="000D0AF6"/>
    <w:rsid w:val="000D1AE2"/>
    <w:rsid w:val="000D3D74"/>
    <w:rsid w:val="000D5E2F"/>
    <w:rsid w:val="000D6D36"/>
    <w:rsid w:val="000D7B24"/>
    <w:rsid w:val="000E01DD"/>
    <w:rsid w:val="000E091F"/>
    <w:rsid w:val="000E1836"/>
    <w:rsid w:val="000E1955"/>
    <w:rsid w:val="000E1E64"/>
    <w:rsid w:val="000E1EAC"/>
    <w:rsid w:val="000E23C0"/>
    <w:rsid w:val="000E3A95"/>
    <w:rsid w:val="000E3AAB"/>
    <w:rsid w:val="000E3C9C"/>
    <w:rsid w:val="000F0DCE"/>
    <w:rsid w:val="000F1289"/>
    <w:rsid w:val="000F3B88"/>
    <w:rsid w:val="000F441B"/>
    <w:rsid w:val="001019A5"/>
    <w:rsid w:val="00102484"/>
    <w:rsid w:val="00102771"/>
    <w:rsid w:val="00102D9D"/>
    <w:rsid w:val="0010314E"/>
    <w:rsid w:val="00105056"/>
    <w:rsid w:val="00106C97"/>
    <w:rsid w:val="00107E81"/>
    <w:rsid w:val="001103E8"/>
    <w:rsid w:val="00110BD4"/>
    <w:rsid w:val="001139A8"/>
    <w:rsid w:val="0011424F"/>
    <w:rsid w:val="00114D0F"/>
    <w:rsid w:val="0011574C"/>
    <w:rsid w:val="00115783"/>
    <w:rsid w:val="001162C4"/>
    <w:rsid w:val="00116675"/>
    <w:rsid w:val="00116EF2"/>
    <w:rsid w:val="00117E41"/>
    <w:rsid w:val="00117EE6"/>
    <w:rsid w:val="00120DE5"/>
    <w:rsid w:val="001218BA"/>
    <w:rsid w:val="0012279D"/>
    <w:rsid w:val="001230FB"/>
    <w:rsid w:val="00123FBA"/>
    <w:rsid w:val="00124B7A"/>
    <w:rsid w:val="00124F00"/>
    <w:rsid w:val="00125C7B"/>
    <w:rsid w:val="00126288"/>
    <w:rsid w:val="001263C7"/>
    <w:rsid w:val="00130E55"/>
    <w:rsid w:val="0013390C"/>
    <w:rsid w:val="00133998"/>
    <w:rsid w:val="001348F0"/>
    <w:rsid w:val="00140558"/>
    <w:rsid w:val="0014119D"/>
    <w:rsid w:val="0014239A"/>
    <w:rsid w:val="00144A31"/>
    <w:rsid w:val="00147F04"/>
    <w:rsid w:val="00155F1F"/>
    <w:rsid w:val="00157F64"/>
    <w:rsid w:val="00160E8B"/>
    <w:rsid w:val="00163BA9"/>
    <w:rsid w:val="00163C01"/>
    <w:rsid w:val="0016529B"/>
    <w:rsid w:val="001654DE"/>
    <w:rsid w:val="00171416"/>
    <w:rsid w:val="001715FC"/>
    <w:rsid w:val="001730A8"/>
    <w:rsid w:val="001732C4"/>
    <w:rsid w:val="00175079"/>
    <w:rsid w:val="001751E0"/>
    <w:rsid w:val="00176117"/>
    <w:rsid w:val="00177C74"/>
    <w:rsid w:val="0018024F"/>
    <w:rsid w:val="00183726"/>
    <w:rsid w:val="00185055"/>
    <w:rsid w:val="00185197"/>
    <w:rsid w:val="00185298"/>
    <w:rsid w:val="0018590F"/>
    <w:rsid w:val="00187DC3"/>
    <w:rsid w:val="00191CBC"/>
    <w:rsid w:val="00193988"/>
    <w:rsid w:val="0019694E"/>
    <w:rsid w:val="00196C48"/>
    <w:rsid w:val="00197892"/>
    <w:rsid w:val="001A505F"/>
    <w:rsid w:val="001A6747"/>
    <w:rsid w:val="001A7168"/>
    <w:rsid w:val="001A719F"/>
    <w:rsid w:val="001B04D1"/>
    <w:rsid w:val="001B182A"/>
    <w:rsid w:val="001B49F3"/>
    <w:rsid w:val="001C0A0D"/>
    <w:rsid w:val="001C1E85"/>
    <w:rsid w:val="001C2344"/>
    <w:rsid w:val="001C2642"/>
    <w:rsid w:val="001C2BAA"/>
    <w:rsid w:val="001D06C5"/>
    <w:rsid w:val="001D18A7"/>
    <w:rsid w:val="001D3BA6"/>
    <w:rsid w:val="001D4CB9"/>
    <w:rsid w:val="001D5D9C"/>
    <w:rsid w:val="001D5F2F"/>
    <w:rsid w:val="001D6ACD"/>
    <w:rsid w:val="001E2508"/>
    <w:rsid w:val="001E54EE"/>
    <w:rsid w:val="001E66C9"/>
    <w:rsid w:val="001E6B14"/>
    <w:rsid w:val="001E7E2A"/>
    <w:rsid w:val="001F3099"/>
    <w:rsid w:val="001F316B"/>
    <w:rsid w:val="001F4585"/>
    <w:rsid w:val="001F47D7"/>
    <w:rsid w:val="001F57B4"/>
    <w:rsid w:val="001F581D"/>
    <w:rsid w:val="001F5A8E"/>
    <w:rsid w:val="001F6D44"/>
    <w:rsid w:val="001F78C4"/>
    <w:rsid w:val="0020081C"/>
    <w:rsid w:val="00200D74"/>
    <w:rsid w:val="00200F5C"/>
    <w:rsid w:val="00202074"/>
    <w:rsid w:val="002027EC"/>
    <w:rsid w:val="00203F91"/>
    <w:rsid w:val="0020512D"/>
    <w:rsid w:val="0020582F"/>
    <w:rsid w:val="00206218"/>
    <w:rsid w:val="0020664E"/>
    <w:rsid w:val="00210D1B"/>
    <w:rsid w:val="00210E02"/>
    <w:rsid w:val="00210E35"/>
    <w:rsid w:val="00211E4E"/>
    <w:rsid w:val="0021225B"/>
    <w:rsid w:val="00213B9F"/>
    <w:rsid w:val="002149EC"/>
    <w:rsid w:val="00214A6C"/>
    <w:rsid w:val="00214E3A"/>
    <w:rsid w:val="00214FF0"/>
    <w:rsid w:val="0021531D"/>
    <w:rsid w:val="002161AB"/>
    <w:rsid w:val="00216E95"/>
    <w:rsid w:val="002178A0"/>
    <w:rsid w:val="00217CF7"/>
    <w:rsid w:val="00217F08"/>
    <w:rsid w:val="00220F12"/>
    <w:rsid w:val="0022437C"/>
    <w:rsid w:val="00224EDB"/>
    <w:rsid w:val="002271ED"/>
    <w:rsid w:val="002273D3"/>
    <w:rsid w:val="00230307"/>
    <w:rsid w:val="002303E4"/>
    <w:rsid w:val="00230C36"/>
    <w:rsid w:val="00230DF6"/>
    <w:rsid w:val="00233A6E"/>
    <w:rsid w:val="00233EB7"/>
    <w:rsid w:val="00234007"/>
    <w:rsid w:val="00234507"/>
    <w:rsid w:val="00235AC0"/>
    <w:rsid w:val="00235EBC"/>
    <w:rsid w:val="00236346"/>
    <w:rsid w:val="002367E1"/>
    <w:rsid w:val="00241069"/>
    <w:rsid w:val="002423CB"/>
    <w:rsid w:val="002425E6"/>
    <w:rsid w:val="00247370"/>
    <w:rsid w:val="00247A06"/>
    <w:rsid w:val="00252145"/>
    <w:rsid w:val="00252153"/>
    <w:rsid w:val="00253951"/>
    <w:rsid w:val="00255FAD"/>
    <w:rsid w:val="00257D52"/>
    <w:rsid w:val="00257DCC"/>
    <w:rsid w:val="002601DD"/>
    <w:rsid w:val="00261222"/>
    <w:rsid w:val="00261C84"/>
    <w:rsid w:val="00262F54"/>
    <w:rsid w:val="00263337"/>
    <w:rsid w:val="002653C0"/>
    <w:rsid w:val="00267016"/>
    <w:rsid w:val="00270461"/>
    <w:rsid w:val="0027069E"/>
    <w:rsid w:val="002707D9"/>
    <w:rsid w:val="00271071"/>
    <w:rsid w:val="00272260"/>
    <w:rsid w:val="00273196"/>
    <w:rsid w:val="00273A58"/>
    <w:rsid w:val="00275F90"/>
    <w:rsid w:val="0028129B"/>
    <w:rsid w:val="002834A9"/>
    <w:rsid w:val="00283E13"/>
    <w:rsid w:val="00284D9A"/>
    <w:rsid w:val="00285F6F"/>
    <w:rsid w:val="00286241"/>
    <w:rsid w:val="00286F5F"/>
    <w:rsid w:val="002910FD"/>
    <w:rsid w:val="002920DC"/>
    <w:rsid w:val="002924A9"/>
    <w:rsid w:val="002924E6"/>
    <w:rsid w:val="00293059"/>
    <w:rsid w:val="002935A3"/>
    <w:rsid w:val="0029407B"/>
    <w:rsid w:val="00296B4D"/>
    <w:rsid w:val="002A0339"/>
    <w:rsid w:val="002A183B"/>
    <w:rsid w:val="002A2443"/>
    <w:rsid w:val="002A24CE"/>
    <w:rsid w:val="002A4952"/>
    <w:rsid w:val="002A4C96"/>
    <w:rsid w:val="002A7B19"/>
    <w:rsid w:val="002B0F1B"/>
    <w:rsid w:val="002B1051"/>
    <w:rsid w:val="002B1ABA"/>
    <w:rsid w:val="002B3E3E"/>
    <w:rsid w:val="002B4B03"/>
    <w:rsid w:val="002B5A8F"/>
    <w:rsid w:val="002B6B65"/>
    <w:rsid w:val="002B6C0E"/>
    <w:rsid w:val="002C04E8"/>
    <w:rsid w:val="002C0FDD"/>
    <w:rsid w:val="002C15A4"/>
    <w:rsid w:val="002C2238"/>
    <w:rsid w:val="002C4309"/>
    <w:rsid w:val="002C4603"/>
    <w:rsid w:val="002C4AC3"/>
    <w:rsid w:val="002C4E65"/>
    <w:rsid w:val="002C6BC7"/>
    <w:rsid w:val="002C7929"/>
    <w:rsid w:val="002D1EDB"/>
    <w:rsid w:val="002D3126"/>
    <w:rsid w:val="002D3996"/>
    <w:rsid w:val="002D5A72"/>
    <w:rsid w:val="002D693C"/>
    <w:rsid w:val="002D6E26"/>
    <w:rsid w:val="002E0905"/>
    <w:rsid w:val="002E0C7B"/>
    <w:rsid w:val="002E2102"/>
    <w:rsid w:val="002E26DB"/>
    <w:rsid w:val="002E3B35"/>
    <w:rsid w:val="002E47C9"/>
    <w:rsid w:val="002E49A9"/>
    <w:rsid w:val="002E5934"/>
    <w:rsid w:val="002E5CDA"/>
    <w:rsid w:val="002E654A"/>
    <w:rsid w:val="002E77E2"/>
    <w:rsid w:val="002F0534"/>
    <w:rsid w:val="002F15F5"/>
    <w:rsid w:val="002F3A96"/>
    <w:rsid w:val="00300053"/>
    <w:rsid w:val="0030029A"/>
    <w:rsid w:val="003047A4"/>
    <w:rsid w:val="00305A05"/>
    <w:rsid w:val="00305A24"/>
    <w:rsid w:val="0031174A"/>
    <w:rsid w:val="00311A1A"/>
    <w:rsid w:val="003131F9"/>
    <w:rsid w:val="00313408"/>
    <w:rsid w:val="00314694"/>
    <w:rsid w:val="00314B8A"/>
    <w:rsid w:val="00314BF5"/>
    <w:rsid w:val="00314E0C"/>
    <w:rsid w:val="003156A9"/>
    <w:rsid w:val="00315B69"/>
    <w:rsid w:val="00315F1D"/>
    <w:rsid w:val="003165C3"/>
    <w:rsid w:val="00316678"/>
    <w:rsid w:val="00317219"/>
    <w:rsid w:val="00317BE4"/>
    <w:rsid w:val="00320D52"/>
    <w:rsid w:val="00322EE5"/>
    <w:rsid w:val="00322F1E"/>
    <w:rsid w:val="00323F2A"/>
    <w:rsid w:val="00324E14"/>
    <w:rsid w:val="00325C72"/>
    <w:rsid w:val="00330C8B"/>
    <w:rsid w:val="003321FE"/>
    <w:rsid w:val="00333850"/>
    <w:rsid w:val="003339AE"/>
    <w:rsid w:val="00334084"/>
    <w:rsid w:val="00340130"/>
    <w:rsid w:val="003405F5"/>
    <w:rsid w:val="00340EBC"/>
    <w:rsid w:val="00341050"/>
    <w:rsid w:val="00342132"/>
    <w:rsid w:val="00342409"/>
    <w:rsid w:val="0034377D"/>
    <w:rsid w:val="00343A76"/>
    <w:rsid w:val="00345903"/>
    <w:rsid w:val="00347F8E"/>
    <w:rsid w:val="00352BA9"/>
    <w:rsid w:val="00353027"/>
    <w:rsid w:val="00353CE9"/>
    <w:rsid w:val="00353FA4"/>
    <w:rsid w:val="003564AA"/>
    <w:rsid w:val="00360565"/>
    <w:rsid w:val="003605E3"/>
    <w:rsid w:val="00362C0A"/>
    <w:rsid w:val="00363701"/>
    <w:rsid w:val="00364F91"/>
    <w:rsid w:val="0036594C"/>
    <w:rsid w:val="003664C5"/>
    <w:rsid w:val="00366643"/>
    <w:rsid w:val="0036670F"/>
    <w:rsid w:val="00367563"/>
    <w:rsid w:val="003704DC"/>
    <w:rsid w:val="0037249E"/>
    <w:rsid w:val="00374176"/>
    <w:rsid w:val="00374BEE"/>
    <w:rsid w:val="00375DD1"/>
    <w:rsid w:val="0037738F"/>
    <w:rsid w:val="00381B82"/>
    <w:rsid w:val="003829F1"/>
    <w:rsid w:val="00384277"/>
    <w:rsid w:val="00385FAB"/>
    <w:rsid w:val="003926BE"/>
    <w:rsid w:val="00392AC0"/>
    <w:rsid w:val="00392F03"/>
    <w:rsid w:val="00392FCA"/>
    <w:rsid w:val="00392FF5"/>
    <w:rsid w:val="00395AD7"/>
    <w:rsid w:val="00395E16"/>
    <w:rsid w:val="0039631A"/>
    <w:rsid w:val="00396786"/>
    <w:rsid w:val="003A1FE4"/>
    <w:rsid w:val="003A2810"/>
    <w:rsid w:val="003A460B"/>
    <w:rsid w:val="003A4D14"/>
    <w:rsid w:val="003A5867"/>
    <w:rsid w:val="003A65DE"/>
    <w:rsid w:val="003A7624"/>
    <w:rsid w:val="003B12D2"/>
    <w:rsid w:val="003B3030"/>
    <w:rsid w:val="003B58E9"/>
    <w:rsid w:val="003B649A"/>
    <w:rsid w:val="003C30DF"/>
    <w:rsid w:val="003C5E65"/>
    <w:rsid w:val="003C6237"/>
    <w:rsid w:val="003C6C62"/>
    <w:rsid w:val="003C6EE5"/>
    <w:rsid w:val="003C75B6"/>
    <w:rsid w:val="003C7670"/>
    <w:rsid w:val="003D1620"/>
    <w:rsid w:val="003D1632"/>
    <w:rsid w:val="003D2866"/>
    <w:rsid w:val="003D67EE"/>
    <w:rsid w:val="003E1497"/>
    <w:rsid w:val="003E23C2"/>
    <w:rsid w:val="003E33C4"/>
    <w:rsid w:val="003E4FBD"/>
    <w:rsid w:val="003E51D2"/>
    <w:rsid w:val="003E7988"/>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3B01"/>
    <w:rsid w:val="00414CFD"/>
    <w:rsid w:val="00414D64"/>
    <w:rsid w:val="00415DB9"/>
    <w:rsid w:val="0041622F"/>
    <w:rsid w:val="00417F88"/>
    <w:rsid w:val="00422270"/>
    <w:rsid w:val="00422DE9"/>
    <w:rsid w:val="00422E2C"/>
    <w:rsid w:val="00423B6D"/>
    <w:rsid w:val="004247C9"/>
    <w:rsid w:val="0042486A"/>
    <w:rsid w:val="00424A84"/>
    <w:rsid w:val="00425E0A"/>
    <w:rsid w:val="00426587"/>
    <w:rsid w:val="00426DFD"/>
    <w:rsid w:val="004271FA"/>
    <w:rsid w:val="00427D7F"/>
    <w:rsid w:val="00430927"/>
    <w:rsid w:val="00430C53"/>
    <w:rsid w:val="00430C77"/>
    <w:rsid w:val="0043118E"/>
    <w:rsid w:val="00431BFE"/>
    <w:rsid w:val="00432A1D"/>
    <w:rsid w:val="0043381C"/>
    <w:rsid w:val="004341CB"/>
    <w:rsid w:val="00441F8C"/>
    <w:rsid w:val="00442BAE"/>
    <w:rsid w:val="0044319C"/>
    <w:rsid w:val="004459C6"/>
    <w:rsid w:val="004460B7"/>
    <w:rsid w:val="00447FD7"/>
    <w:rsid w:val="00451F69"/>
    <w:rsid w:val="00453830"/>
    <w:rsid w:val="00454458"/>
    <w:rsid w:val="00454D4A"/>
    <w:rsid w:val="00456058"/>
    <w:rsid w:val="00460609"/>
    <w:rsid w:val="00462F0B"/>
    <w:rsid w:val="00464253"/>
    <w:rsid w:val="004643B3"/>
    <w:rsid w:val="004650A0"/>
    <w:rsid w:val="00470F99"/>
    <w:rsid w:val="004713C0"/>
    <w:rsid w:val="004737A6"/>
    <w:rsid w:val="004738F7"/>
    <w:rsid w:val="0047446F"/>
    <w:rsid w:val="00474852"/>
    <w:rsid w:val="00475066"/>
    <w:rsid w:val="004754F7"/>
    <w:rsid w:val="004768DD"/>
    <w:rsid w:val="00476EF9"/>
    <w:rsid w:val="00477000"/>
    <w:rsid w:val="0047728D"/>
    <w:rsid w:val="00483010"/>
    <w:rsid w:val="004836A8"/>
    <w:rsid w:val="0048712D"/>
    <w:rsid w:val="00487478"/>
    <w:rsid w:val="0048792B"/>
    <w:rsid w:val="00487D66"/>
    <w:rsid w:val="00490E8F"/>
    <w:rsid w:val="004929FF"/>
    <w:rsid w:val="0049300C"/>
    <w:rsid w:val="004938E2"/>
    <w:rsid w:val="00494D5B"/>
    <w:rsid w:val="00495DFD"/>
    <w:rsid w:val="004972B5"/>
    <w:rsid w:val="004A0022"/>
    <w:rsid w:val="004A4B41"/>
    <w:rsid w:val="004A54B7"/>
    <w:rsid w:val="004A6401"/>
    <w:rsid w:val="004A64E2"/>
    <w:rsid w:val="004A6685"/>
    <w:rsid w:val="004A69D3"/>
    <w:rsid w:val="004B17F2"/>
    <w:rsid w:val="004B20DB"/>
    <w:rsid w:val="004B4386"/>
    <w:rsid w:val="004B6987"/>
    <w:rsid w:val="004B6BF6"/>
    <w:rsid w:val="004B7E32"/>
    <w:rsid w:val="004C0C23"/>
    <w:rsid w:val="004C456F"/>
    <w:rsid w:val="004C487B"/>
    <w:rsid w:val="004C672F"/>
    <w:rsid w:val="004D124F"/>
    <w:rsid w:val="004D2006"/>
    <w:rsid w:val="004D2106"/>
    <w:rsid w:val="004D4CB5"/>
    <w:rsid w:val="004D5D47"/>
    <w:rsid w:val="004D5F5C"/>
    <w:rsid w:val="004D77DB"/>
    <w:rsid w:val="004D7D69"/>
    <w:rsid w:val="004E00FA"/>
    <w:rsid w:val="004E4CEF"/>
    <w:rsid w:val="004E4F3C"/>
    <w:rsid w:val="004E5DF9"/>
    <w:rsid w:val="004E644B"/>
    <w:rsid w:val="004E6692"/>
    <w:rsid w:val="004E6930"/>
    <w:rsid w:val="004F017E"/>
    <w:rsid w:val="004F06FE"/>
    <w:rsid w:val="004F07C4"/>
    <w:rsid w:val="004F1C61"/>
    <w:rsid w:val="004F2B4D"/>
    <w:rsid w:val="004F33A2"/>
    <w:rsid w:val="004F7771"/>
    <w:rsid w:val="00501147"/>
    <w:rsid w:val="00501815"/>
    <w:rsid w:val="005038DD"/>
    <w:rsid w:val="00503A07"/>
    <w:rsid w:val="00503CE9"/>
    <w:rsid w:val="005045B5"/>
    <w:rsid w:val="00504AFC"/>
    <w:rsid w:val="005051E9"/>
    <w:rsid w:val="00505572"/>
    <w:rsid w:val="005118A6"/>
    <w:rsid w:val="00511A0B"/>
    <w:rsid w:val="00511BBC"/>
    <w:rsid w:val="00512916"/>
    <w:rsid w:val="00513653"/>
    <w:rsid w:val="00513719"/>
    <w:rsid w:val="00514B23"/>
    <w:rsid w:val="00516FF7"/>
    <w:rsid w:val="00517B08"/>
    <w:rsid w:val="0052022D"/>
    <w:rsid w:val="00520591"/>
    <w:rsid w:val="00521094"/>
    <w:rsid w:val="005220DE"/>
    <w:rsid w:val="005237CA"/>
    <w:rsid w:val="00523855"/>
    <w:rsid w:val="00523F39"/>
    <w:rsid w:val="00525DA6"/>
    <w:rsid w:val="005261D9"/>
    <w:rsid w:val="005264E8"/>
    <w:rsid w:val="005330A7"/>
    <w:rsid w:val="00533C08"/>
    <w:rsid w:val="0053743B"/>
    <w:rsid w:val="00540D08"/>
    <w:rsid w:val="00540D76"/>
    <w:rsid w:val="00540EF4"/>
    <w:rsid w:val="00542274"/>
    <w:rsid w:val="005425A5"/>
    <w:rsid w:val="00542869"/>
    <w:rsid w:val="00544DAD"/>
    <w:rsid w:val="00545D61"/>
    <w:rsid w:val="005464BD"/>
    <w:rsid w:val="00546620"/>
    <w:rsid w:val="0055313D"/>
    <w:rsid w:val="0055482B"/>
    <w:rsid w:val="005557AD"/>
    <w:rsid w:val="00555901"/>
    <w:rsid w:val="005567CB"/>
    <w:rsid w:val="00557477"/>
    <w:rsid w:val="00557B42"/>
    <w:rsid w:val="00561B3A"/>
    <w:rsid w:val="005642BB"/>
    <w:rsid w:val="00564AF0"/>
    <w:rsid w:val="00564E59"/>
    <w:rsid w:val="00564F2B"/>
    <w:rsid w:val="0056589D"/>
    <w:rsid w:val="00565A95"/>
    <w:rsid w:val="005665D4"/>
    <w:rsid w:val="00566CDC"/>
    <w:rsid w:val="005675F3"/>
    <w:rsid w:val="005717F2"/>
    <w:rsid w:val="00572554"/>
    <w:rsid w:val="005728F2"/>
    <w:rsid w:val="00572EFF"/>
    <w:rsid w:val="0057429E"/>
    <w:rsid w:val="00580142"/>
    <w:rsid w:val="0058260D"/>
    <w:rsid w:val="00582E13"/>
    <w:rsid w:val="005830FE"/>
    <w:rsid w:val="00583EF7"/>
    <w:rsid w:val="005855EA"/>
    <w:rsid w:val="00586028"/>
    <w:rsid w:val="00587EBB"/>
    <w:rsid w:val="005914A4"/>
    <w:rsid w:val="00591596"/>
    <w:rsid w:val="00591A4E"/>
    <w:rsid w:val="00592459"/>
    <w:rsid w:val="00593B64"/>
    <w:rsid w:val="005952E0"/>
    <w:rsid w:val="005958D4"/>
    <w:rsid w:val="00597786"/>
    <w:rsid w:val="00597D8B"/>
    <w:rsid w:val="005A095D"/>
    <w:rsid w:val="005A0C73"/>
    <w:rsid w:val="005A216A"/>
    <w:rsid w:val="005A22DF"/>
    <w:rsid w:val="005A43A6"/>
    <w:rsid w:val="005A4524"/>
    <w:rsid w:val="005A59A3"/>
    <w:rsid w:val="005B0288"/>
    <w:rsid w:val="005B0A20"/>
    <w:rsid w:val="005B17FC"/>
    <w:rsid w:val="005B4AB1"/>
    <w:rsid w:val="005B5E73"/>
    <w:rsid w:val="005B618E"/>
    <w:rsid w:val="005B7DA7"/>
    <w:rsid w:val="005C0303"/>
    <w:rsid w:val="005C1410"/>
    <w:rsid w:val="005C3882"/>
    <w:rsid w:val="005C4F81"/>
    <w:rsid w:val="005C5220"/>
    <w:rsid w:val="005C5505"/>
    <w:rsid w:val="005C6FB7"/>
    <w:rsid w:val="005C763B"/>
    <w:rsid w:val="005C7C82"/>
    <w:rsid w:val="005D08DC"/>
    <w:rsid w:val="005D0C11"/>
    <w:rsid w:val="005D411C"/>
    <w:rsid w:val="005D7057"/>
    <w:rsid w:val="005E0584"/>
    <w:rsid w:val="005E0981"/>
    <w:rsid w:val="005E1975"/>
    <w:rsid w:val="005E2831"/>
    <w:rsid w:val="005E3FD6"/>
    <w:rsid w:val="005E6CE5"/>
    <w:rsid w:val="005F0553"/>
    <w:rsid w:val="005F2312"/>
    <w:rsid w:val="005F49F5"/>
    <w:rsid w:val="005F68FD"/>
    <w:rsid w:val="005F72E9"/>
    <w:rsid w:val="005F7DC2"/>
    <w:rsid w:val="006000C7"/>
    <w:rsid w:val="00600E49"/>
    <w:rsid w:val="00600F23"/>
    <w:rsid w:val="0061534E"/>
    <w:rsid w:val="00615CD9"/>
    <w:rsid w:val="0062393B"/>
    <w:rsid w:val="00623FF2"/>
    <w:rsid w:val="00625747"/>
    <w:rsid w:val="00626303"/>
    <w:rsid w:val="0062690C"/>
    <w:rsid w:val="00626D4D"/>
    <w:rsid w:val="006272EE"/>
    <w:rsid w:val="00627C4C"/>
    <w:rsid w:val="006302A9"/>
    <w:rsid w:val="00630816"/>
    <w:rsid w:val="00630DF9"/>
    <w:rsid w:val="006311BA"/>
    <w:rsid w:val="006313C9"/>
    <w:rsid w:val="00632181"/>
    <w:rsid w:val="00632E6C"/>
    <w:rsid w:val="0063498E"/>
    <w:rsid w:val="00635BD5"/>
    <w:rsid w:val="00636A69"/>
    <w:rsid w:val="00640CF7"/>
    <w:rsid w:val="006413C3"/>
    <w:rsid w:val="00642074"/>
    <w:rsid w:val="00642CBF"/>
    <w:rsid w:val="00644813"/>
    <w:rsid w:val="00645334"/>
    <w:rsid w:val="00646160"/>
    <w:rsid w:val="00650507"/>
    <w:rsid w:val="00650743"/>
    <w:rsid w:val="00652E4B"/>
    <w:rsid w:val="00653587"/>
    <w:rsid w:val="0065360E"/>
    <w:rsid w:val="006544BC"/>
    <w:rsid w:val="00654B6D"/>
    <w:rsid w:val="00657245"/>
    <w:rsid w:val="00660729"/>
    <w:rsid w:val="0066114F"/>
    <w:rsid w:val="006625F0"/>
    <w:rsid w:val="006631E9"/>
    <w:rsid w:val="0066433A"/>
    <w:rsid w:val="0066537F"/>
    <w:rsid w:val="00665443"/>
    <w:rsid w:val="00665BBD"/>
    <w:rsid w:val="00665BE8"/>
    <w:rsid w:val="006677B0"/>
    <w:rsid w:val="00670AF7"/>
    <w:rsid w:val="00670BE0"/>
    <w:rsid w:val="00671456"/>
    <w:rsid w:val="00676D30"/>
    <w:rsid w:val="006815B3"/>
    <w:rsid w:val="00683015"/>
    <w:rsid w:val="00683134"/>
    <w:rsid w:val="0068348C"/>
    <w:rsid w:val="006835C8"/>
    <w:rsid w:val="00684F9C"/>
    <w:rsid w:val="00690ED4"/>
    <w:rsid w:val="00690F32"/>
    <w:rsid w:val="00696C18"/>
    <w:rsid w:val="00696E2A"/>
    <w:rsid w:val="006A0AA9"/>
    <w:rsid w:val="006A0B57"/>
    <w:rsid w:val="006A0FCA"/>
    <w:rsid w:val="006A1562"/>
    <w:rsid w:val="006A7A6C"/>
    <w:rsid w:val="006B1945"/>
    <w:rsid w:val="006B1F60"/>
    <w:rsid w:val="006B34E1"/>
    <w:rsid w:val="006B3518"/>
    <w:rsid w:val="006B45E7"/>
    <w:rsid w:val="006B5760"/>
    <w:rsid w:val="006B5C4C"/>
    <w:rsid w:val="006B6764"/>
    <w:rsid w:val="006B6D3A"/>
    <w:rsid w:val="006B7CDD"/>
    <w:rsid w:val="006C06CB"/>
    <w:rsid w:val="006C10F7"/>
    <w:rsid w:val="006C1255"/>
    <w:rsid w:val="006C68D7"/>
    <w:rsid w:val="006C75AB"/>
    <w:rsid w:val="006C7A8B"/>
    <w:rsid w:val="006D0461"/>
    <w:rsid w:val="006D063A"/>
    <w:rsid w:val="006D0990"/>
    <w:rsid w:val="006D43C4"/>
    <w:rsid w:val="006D4572"/>
    <w:rsid w:val="006D4C72"/>
    <w:rsid w:val="006D67A1"/>
    <w:rsid w:val="006D722B"/>
    <w:rsid w:val="006D7938"/>
    <w:rsid w:val="006E0E17"/>
    <w:rsid w:val="006E2A5F"/>
    <w:rsid w:val="006E2C4F"/>
    <w:rsid w:val="006E5E65"/>
    <w:rsid w:val="006E7150"/>
    <w:rsid w:val="006E79D5"/>
    <w:rsid w:val="006F16B8"/>
    <w:rsid w:val="006F3208"/>
    <w:rsid w:val="006F3DB5"/>
    <w:rsid w:val="006F4955"/>
    <w:rsid w:val="006F5DC2"/>
    <w:rsid w:val="006F6AF8"/>
    <w:rsid w:val="00700254"/>
    <w:rsid w:val="00702B56"/>
    <w:rsid w:val="0070328E"/>
    <w:rsid w:val="007040D7"/>
    <w:rsid w:val="00705082"/>
    <w:rsid w:val="00705418"/>
    <w:rsid w:val="00705E2F"/>
    <w:rsid w:val="00706D4B"/>
    <w:rsid w:val="00707AC9"/>
    <w:rsid w:val="00710722"/>
    <w:rsid w:val="00712BFD"/>
    <w:rsid w:val="007138C7"/>
    <w:rsid w:val="00713F36"/>
    <w:rsid w:val="007154DA"/>
    <w:rsid w:val="00720193"/>
    <w:rsid w:val="007204C5"/>
    <w:rsid w:val="00720DCC"/>
    <w:rsid w:val="007221E2"/>
    <w:rsid w:val="00722981"/>
    <w:rsid w:val="00726A81"/>
    <w:rsid w:val="00726C25"/>
    <w:rsid w:val="00727B75"/>
    <w:rsid w:val="00727C4C"/>
    <w:rsid w:val="007315AA"/>
    <w:rsid w:val="007320C6"/>
    <w:rsid w:val="00732BA3"/>
    <w:rsid w:val="00733068"/>
    <w:rsid w:val="007338D1"/>
    <w:rsid w:val="00733E81"/>
    <w:rsid w:val="00734A99"/>
    <w:rsid w:val="00735607"/>
    <w:rsid w:val="00736099"/>
    <w:rsid w:val="007458A7"/>
    <w:rsid w:val="00745C2A"/>
    <w:rsid w:val="007476CA"/>
    <w:rsid w:val="00755318"/>
    <w:rsid w:val="007569B6"/>
    <w:rsid w:val="007571C2"/>
    <w:rsid w:val="00757CF5"/>
    <w:rsid w:val="007610BA"/>
    <w:rsid w:val="00761D9E"/>
    <w:rsid w:val="00761FA7"/>
    <w:rsid w:val="00763355"/>
    <w:rsid w:val="00763D7C"/>
    <w:rsid w:val="007643D8"/>
    <w:rsid w:val="0076525B"/>
    <w:rsid w:val="00766386"/>
    <w:rsid w:val="00766BC0"/>
    <w:rsid w:val="00766C91"/>
    <w:rsid w:val="00766CF8"/>
    <w:rsid w:val="00771926"/>
    <w:rsid w:val="00772430"/>
    <w:rsid w:val="0077250A"/>
    <w:rsid w:val="0077388E"/>
    <w:rsid w:val="00773AAE"/>
    <w:rsid w:val="007745D6"/>
    <w:rsid w:val="00775758"/>
    <w:rsid w:val="00775826"/>
    <w:rsid w:val="007776FF"/>
    <w:rsid w:val="0077775C"/>
    <w:rsid w:val="00777DEB"/>
    <w:rsid w:val="00781994"/>
    <w:rsid w:val="00783C9A"/>
    <w:rsid w:val="00783E42"/>
    <w:rsid w:val="00786409"/>
    <w:rsid w:val="00787121"/>
    <w:rsid w:val="00787A4F"/>
    <w:rsid w:val="0079381A"/>
    <w:rsid w:val="00794889"/>
    <w:rsid w:val="007954F2"/>
    <w:rsid w:val="0079585B"/>
    <w:rsid w:val="00795974"/>
    <w:rsid w:val="00797161"/>
    <w:rsid w:val="007A0869"/>
    <w:rsid w:val="007A138E"/>
    <w:rsid w:val="007A1C5A"/>
    <w:rsid w:val="007A287B"/>
    <w:rsid w:val="007A3C61"/>
    <w:rsid w:val="007A5E12"/>
    <w:rsid w:val="007A7170"/>
    <w:rsid w:val="007A7B40"/>
    <w:rsid w:val="007B21BD"/>
    <w:rsid w:val="007B272D"/>
    <w:rsid w:val="007B3A9E"/>
    <w:rsid w:val="007B422D"/>
    <w:rsid w:val="007B5A0B"/>
    <w:rsid w:val="007B74EE"/>
    <w:rsid w:val="007B7919"/>
    <w:rsid w:val="007B7B91"/>
    <w:rsid w:val="007B7C1C"/>
    <w:rsid w:val="007C08D6"/>
    <w:rsid w:val="007C17FB"/>
    <w:rsid w:val="007C40FF"/>
    <w:rsid w:val="007C5738"/>
    <w:rsid w:val="007C5FB4"/>
    <w:rsid w:val="007C7EA3"/>
    <w:rsid w:val="007D12AF"/>
    <w:rsid w:val="007D165A"/>
    <w:rsid w:val="007D1A12"/>
    <w:rsid w:val="007D220A"/>
    <w:rsid w:val="007D247F"/>
    <w:rsid w:val="007D27AD"/>
    <w:rsid w:val="007D2A9D"/>
    <w:rsid w:val="007D2EAF"/>
    <w:rsid w:val="007D3873"/>
    <w:rsid w:val="007D3E94"/>
    <w:rsid w:val="007D4738"/>
    <w:rsid w:val="007D4F0C"/>
    <w:rsid w:val="007D600C"/>
    <w:rsid w:val="007D677C"/>
    <w:rsid w:val="007D7B75"/>
    <w:rsid w:val="007D7CB0"/>
    <w:rsid w:val="007E012D"/>
    <w:rsid w:val="007E1A67"/>
    <w:rsid w:val="007E2C1A"/>
    <w:rsid w:val="007E2C20"/>
    <w:rsid w:val="007E35AF"/>
    <w:rsid w:val="007E3F4C"/>
    <w:rsid w:val="007E418C"/>
    <w:rsid w:val="007E5976"/>
    <w:rsid w:val="007E66CE"/>
    <w:rsid w:val="007E6E8B"/>
    <w:rsid w:val="007E74C8"/>
    <w:rsid w:val="007E7C12"/>
    <w:rsid w:val="007E7DBC"/>
    <w:rsid w:val="007F049E"/>
    <w:rsid w:val="007F1C9A"/>
    <w:rsid w:val="007F2625"/>
    <w:rsid w:val="007F3DB4"/>
    <w:rsid w:val="007F4023"/>
    <w:rsid w:val="007F44E1"/>
    <w:rsid w:val="007F7AE1"/>
    <w:rsid w:val="007F7B3F"/>
    <w:rsid w:val="008002E0"/>
    <w:rsid w:val="008004D5"/>
    <w:rsid w:val="00800F99"/>
    <w:rsid w:val="0080126D"/>
    <w:rsid w:val="00802904"/>
    <w:rsid w:val="00804282"/>
    <w:rsid w:val="00804D29"/>
    <w:rsid w:val="00806FCA"/>
    <w:rsid w:val="008079AD"/>
    <w:rsid w:val="0081002B"/>
    <w:rsid w:val="0081170B"/>
    <w:rsid w:val="00812BA7"/>
    <w:rsid w:val="00813F01"/>
    <w:rsid w:val="008155F5"/>
    <w:rsid w:val="0081785F"/>
    <w:rsid w:val="0082139E"/>
    <w:rsid w:val="00821DF4"/>
    <w:rsid w:val="008222B6"/>
    <w:rsid w:val="008233A8"/>
    <w:rsid w:val="008246AB"/>
    <w:rsid w:val="00824DEB"/>
    <w:rsid w:val="00824F5A"/>
    <w:rsid w:val="008274A6"/>
    <w:rsid w:val="008278B5"/>
    <w:rsid w:val="00831AB2"/>
    <w:rsid w:val="00834122"/>
    <w:rsid w:val="00834B98"/>
    <w:rsid w:val="00836245"/>
    <w:rsid w:val="00836B1F"/>
    <w:rsid w:val="00836C74"/>
    <w:rsid w:val="008378A3"/>
    <w:rsid w:val="00841BB6"/>
    <w:rsid w:val="008421CF"/>
    <w:rsid w:val="0084371A"/>
    <w:rsid w:val="00844B9E"/>
    <w:rsid w:val="00845056"/>
    <w:rsid w:val="0084669D"/>
    <w:rsid w:val="00846F26"/>
    <w:rsid w:val="0084771B"/>
    <w:rsid w:val="0085095D"/>
    <w:rsid w:val="00851A68"/>
    <w:rsid w:val="008526BD"/>
    <w:rsid w:val="00854763"/>
    <w:rsid w:val="0085560F"/>
    <w:rsid w:val="00856B35"/>
    <w:rsid w:val="008574FB"/>
    <w:rsid w:val="0086121B"/>
    <w:rsid w:val="00862397"/>
    <w:rsid w:val="008628C4"/>
    <w:rsid w:val="00864E4C"/>
    <w:rsid w:val="00865470"/>
    <w:rsid w:val="00866B2F"/>
    <w:rsid w:val="008671AA"/>
    <w:rsid w:val="00867EAC"/>
    <w:rsid w:val="00871569"/>
    <w:rsid w:val="00872693"/>
    <w:rsid w:val="00875F01"/>
    <w:rsid w:val="00875F92"/>
    <w:rsid w:val="00876890"/>
    <w:rsid w:val="00876B1D"/>
    <w:rsid w:val="00876C73"/>
    <w:rsid w:val="00880E23"/>
    <w:rsid w:val="008827A5"/>
    <w:rsid w:val="00883096"/>
    <w:rsid w:val="0088405B"/>
    <w:rsid w:val="00886118"/>
    <w:rsid w:val="00890603"/>
    <w:rsid w:val="00890D68"/>
    <w:rsid w:val="008948FF"/>
    <w:rsid w:val="0089565B"/>
    <w:rsid w:val="008958F2"/>
    <w:rsid w:val="00897AD7"/>
    <w:rsid w:val="008A0776"/>
    <w:rsid w:val="008A0E0A"/>
    <w:rsid w:val="008A472E"/>
    <w:rsid w:val="008A4A98"/>
    <w:rsid w:val="008A509C"/>
    <w:rsid w:val="008A632B"/>
    <w:rsid w:val="008A69B2"/>
    <w:rsid w:val="008B1556"/>
    <w:rsid w:val="008B326B"/>
    <w:rsid w:val="008B3FFD"/>
    <w:rsid w:val="008B4AA8"/>
    <w:rsid w:val="008B5038"/>
    <w:rsid w:val="008B6E91"/>
    <w:rsid w:val="008C19EE"/>
    <w:rsid w:val="008C308C"/>
    <w:rsid w:val="008C535C"/>
    <w:rsid w:val="008C5A3A"/>
    <w:rsid w:val="008C7E0F"/>
    <w:rsid w:val="008D03DA"/>
    <w:rsid w:val="008D1209"/>
    <w:rsid w:val="008D2CA9"/>
    <w:rsid w:val="008D2DA8"/>
    <w:rsid w:val="008D2E6F"/>
    <w:rsid w:val="008E040E"/>
    <w:rsid w:val="008E09B8"/>
    <w:rsid w:val="008E2DAB"/>
    <w:rsid w:val="008E3A95"/>
    <w:rsid w:val="008E4025"/>
    <w:rsid w:val="008E4A54"/>
    <w:rsid w:val="008E4DD4"/>
    <w:rsid w:val="008E6058"/>
    <w:rsid w:val="008E6A17"/>
    <w:rsid w:val="008E731C"/>
    <w:rsid w:val="008F2574"/>
    <w:rsid w:val="008F37BE"/>
    <w:rsid w:val="008F419F"/>
    <w:rsid w:val="008F4562"/>
    <w:rsid w:val="008F6ADE"/>
    <w:rsid w:val="008F7163"/>
    <w:rsid w:val="0090139D"/>
    <w:rsid w:val="009020BE"/>
    <w:rsid w:val="0090343D"/>
    <w:rsid w:val="00903BE2"/>
    <w:rsid w:val="00904BA1"/>
    <w:rsid w:val="00904C2E"/>
    <w:rsid w:val="009059FD"/>
    <w:rsid w:val="00905D5D"/>
    <w:rsid w:val="00906022"/>
    <w:rsid w:val="00910CE2"/>
    <w:rsid w:val="0091102F"/>
    <w:rsid w:val="009115DE"/>
    <w:rsid w:val="00913EDB"/>
    <w:rsid w:val="00915507"/>
    <w:rsid w:val="009169B6"/>
    <w:rsid w:val="0091748B"/>
    <w:rsid w:val="00920109"/>
    <w:rsid w:val="00920875"/>
    <w:rsid w:val="00920C67"/>
    <w:rsid w:val="009234DE"/>
    <w:rsid w:val="0092394C"/>
    <w:rsid w:val="00923A53"/>
    <w:rsid w:val="00923A6B"/>
    <w:rsid w:val="009240A7"/>
    <w:rsid w:val="00927C0C"/>
    <w:rsid w:val="009304A4"/>
    <w:rsid w:val="009314F3"/>
    <w:rsid w:val="00931B02"/>
    <w:rsid w:val="0093484E"/>
    <w:rsid w:val="00934E22"/>
    <w:rsid w:val="00935089"/>
    <w:rsid w:val="00935966"/>
    <w:rsid w:val="00940584"/>
    <w:rsid w:val="0094113B"/>
    <w:rsid w:val="00944F8F"/>
    <w:rsid w:val="0094538C"/>
    <w:rsid w:val="00946F23"/>
    <w:rsid w:val="00946F8A"/>
    <w:rsid w:val="00952064"/>
    <w:rsid w:val="009537B9"/>
    <w:rsid w:val="00953A0B"/>
    <w:rsid w:val="00954CE3"/>
    <w:rsid w:val="009603BB"/>
    <w:rsid w:val="00960A29"/>
    <w:rsid w:val="00960DCF"/>
    <w:rsid w:val="009610C4"/>
    <w:rsid w:val="009621CF"/>
    <w:rsid w:val="009626F0"/>
    <w:rsid w:val="00962749"/>
    <w:rsid w:val="0096333F"/>
    <w:rsid w:val="00963AE3"/>
    <w:rsid w:val="00963D79"/>
    <w:rsid w:val="009657B4"/>
    <w:rsid w:val="00966386"/>
    <w:rsid w:val="00966B92"/>
    <w:rsid w:val="00967D07"/>
    <w:rsid w:val="009704CC"/>
    <w:rsid w:val="00971499"/>
    <w:rsid w:val="009716CC"/>
    <w:rsid w:val="00973A1E"/>
    <w:rsid w:val="00973C02"/>
    <w:rsid w:val="0097497A"/>
    <w:rsid w:val="009757AD"/>
    <w:rsid w:val="00980229"/>
    <w:rsid w:val="00981DAF"/>
    <w:rsid w:val="00984E7A"/>
    <w:rsid w:val="009851E3"/>
    <w:rsid w:val="00985B0B"/>
    <w:rsid w:val="0099021B"/>
    <w:rsid w:val="00991BE6"/>
    <w:rsid w:val="0099237C"/>
    <w:rsid w:val="00993153"/>
    <w:rsid w:val="0099352B"/>
    <w:rsid w:val="00995500"/>
    <w:rsid w:val="0099681B"/>
    <w:rsid w:val="009A143F"/>
    <w:rsid w:val="009A3C9E"/>
    <w:rsid w:val="009A3E79"/>
    <w:rsid w:val="009A5024"/>
    <w:rsid w:val="009A7E98"/>
    <w:rsid w:val="009B1265"/>
    <w:rsid w:val="009B15BA"/>
    <w:rsid w:val="009B1FF9"/>
    <w:rsid w:val="009B2E80"/>
    <w:rsid w:val="009B38B7"/>
    <w:rsid w:val="009B43DE"/>
    <w:rsid w:val="009B4708"/>
    <w:rsid w:val="009B4BB4"/>
    <w:rsid w:val="009B56E5"/>
    <w:rsid w:val="009B6537"/>
    <w:rsid w:val="009C20CE"/>
    <w:rsid w:val="009C2505"/>
    <w:rsid w:val="009C5162"/>
    <w:rsid w:val="009C6EAA"/>
    <w:rsid w:val="009C6F66"/>
    <w:rsid w:val="009D15B1"/>
    <w:rsid w:val="009D1B99"/>
    <w:rsid w:val="009D4766"/>
    <w:rsid w:val="009D5356"/>
    <w:rsid w:val="009D57A8"/>
    <w:rsid w:val="009D5AC0"/>
    <w:rsid w:val="009D5EA2"/>
    <w:rsid w:val="009D70B4"/>
    <w:rsid w:val="009D76F3"/>
    <w:rsid w:val="009D7A09"/>
    <w:rsid w:val="009E07F6"/>
    <w:rsid w:val="009E17B4"/>
    <w:rsid w:val="009E31C2"/>
    <w:rsid w:val="009E4764"/>
    <w:rsid w:val="009E515E"/>
    <w:rsid w:val="009E5CB7"/>
    <w:rsid w:val="009E64BB"/>
    <w:rsid w:val="009E66E8"/>
    <w:rsid w:val="009E7B20"/>
    <w:rsid w:val="009F2D0C"/>
    <w:rsid w:val="009F45E0"/>
    <w:rsid w:val="009F5172"/>
    <w:rsid w:val="009F5D6E"/>
    <w:rsid w:val="009F6C26"/>
    <w:rsid w:val="00A00A33"/>
    <w:rsid w:val="00A02DE5"/>
    <w:rsid w:val="00A03AB5"/>
    <w:rsid w:val="00A042B8"/>
    <w:rsid w:val="00A05C82"/>
    <w:rsid w:val="00A06BE7"/>
    <w:rsid w:val="00A11793"/>
    <w:rsid w:val="00A13D95"/>
    <w:rsid w:val="00A159C8"/>
    <w:rsid w:val="00A1750E"/>
    <w:rsid w:val="00A2126A"/>
    <w:rsid w:val="00A2171C"/>
    <w:rsid w:val="00A2271E"/>
    <w:rsid w:val="00A23A34"/>
    <w:rsid w:val="00A2434F"/>
    <w:rsid w:val="00A24C05"/>
    <w:rsid w:val="00A24FDD"/>
    <w:rsid w:val="00A258BD"/>
    <w:rsid w:val="00A25CBA"/>
    <w:rsid w:val="00A26A2F"/>
    <w:rsid w:val="00A30ADB"/>
    <w:rsid w:val="00A311D3"/>
    <w:rsid w:val="00A316B4"/>
    <w:rsid w:val="00A320EA"/>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54FF0"/>
    <w:rsid w:val="00A55736"/>
    <w:rsid w:val="00A5695A"/>
    <w:rsid w:val="00A57C8A"/>
    <w:rsid w:val="00A61396"/>
    <w:rsid w:val="00A6157A"/>
    <w:rsid w:val="00A62088"/>
    <w:rsid w:val="00A62B2F"/>
    <w:rsid w:val="00A63DEF"/>
    <w:rsid w:val="00A64E6B"/>
    <w:rsid w:val="00A66C3F"/>
    <w:rsid w:val="00A67802"/>
    <w:rsid w:val="00A67E64"/>
    <w:rsid w:val="00A70430"/>
    <w:rsid w:val="00A70CDF"/>
    <w:rsid w:val="00A71EFE"/>
    <w:rsid w:val="00A73B4D"/>
    <w:rsid w:val="00A7536E"/>
    <w:rsid w:val="00A75FCD"/>
    <w:rsid w:val="00A774F3"/>
    <w:rsid w:val="00A77B2F"/>
    <w:rsid w:val="00A80D38"/>
    <w:rsid w:val="00A80D78"/>
    <w:rsid w:val="00A811F0"/>
    <w:rsid w:val="00A814AF"/>
    <w:rsid w:val="00A81EFD"/>
    <w:rsid w:val="00A82835"/>
    <w:rsid w:val="00A8327C"/>
    <w:rsid w:val="00A84826"/>
    <w:rsid w:val="00A850CE"/>
    <w:rsid w:val="00A85311"/>
    <w:rsid w:val="00A8540F"/>
    <w:rsid w:val="00A87399"/>
    <w:rsid w:val="00A87C30"/>
    <w:rsid w:val="00A900DE"/>
    <w:rsid w:val="00A903A4"/>
    <w:rsid w:val="00A90B05"/>
    <w:rsid w:val="00A93CA5"/>
    <w:rsid w:val="00A946DB"/>
    <w:rsid w:val="00A97871"/>
    <w:rsid w:val="00AA092F"/>
    <w:rsid w:val="00AA5F6D"/>
    <w:rsid w:val="00AB11CA"/>
    <w:rsid w:val="00AB1BD1"/>
    <w:rsid w:val="00AB1EFE"/>
    <w:rsid w:val="00AB3F07"/>
    <w:rsid w:val="00AB49DF"/>
    <w:rsid w:val="00AB70D9"/>
    <w:rsid w:val="00AB71B9"/>
    <w:rsid w:val="00AB74F0"/>
    <w:rsid w:val="00AC0562"/>
    <w:rsid w:val="00AC0E7E"/>
    <w:rsid w:val="00AC4F0A"/>
    <w:rsid w:val="00AC5668"/>
    <w:rsid w:val="00AC5A33"/>
    <w:rsid w:val="00AC6ED9"/>
    <w:rsid w:val="00AC6FCA"/>
    <w:rsid w:val="00AC7A58"/>
    <w:rsid w:val="00AC7FD0"/>
    <w:rsid w:val="00AD06C4"/>
    <w:rsid w:val="00AD24E6"/>
    <w:rsid w:val="00AD32FF"/>
    <w:rsid w:val="00AD3E8F"/>
    <w:rsid w:val="00AD41F8"/>
    <w:rsid w:val="00AD4E45"/>
    <w:rsid w:val="00AD7511"/>
    <w:rsid w:val="00AD7CD9"/>
    <w:rsid w:val="00AE4747"/>
    <w:rsid w:val="00AE654D"/>
    <w:rsid w:val="00AE69DC"/>
    <w:rsid w:val="00AF2673"/>
    <w:rsid w:val="00AF4BC8"/>
    <w:rsid w:val="00AF5008"/>
    <w:rsid w:val="00AF601F"/>
    <w:rsid w:val="00AF61C0"/>
    <w:rsid w:val="00B0058A"/>
    <w:rsid w:val="00B01D18"/>
    <w:rsid w:val="00B02383"/>
    <w:rsid w:val="00B03E45"/>
    <w:rsid w:val="00B04AD3"/>
    <w:rsid w:val="00B05E39"/>
    <w:rsid w:val="00B067BE"/>
    <w:rsid w:val="00B070B0"/>
    <w:rsid w:val="00B07D3A"/>
    <w:rsid w:val="00B07D41"/>
    <w:rsid w:val="00B1098F"/>
    <w:rsid w:val="00B11188"/>
    <w:rsid w:val="00B11363"/>
    <w:rsid w:val="00B14866"/>
    <w:rsid w:val="00B162AD"/>
    <w:rsid w:val="00B1686D"/>
    <w:rsid w:val="00B17416"/>
    <w:rsid w:val="00B20F4C"/>
    <w:rsid w:val="00B229CB"/>
    <w:rsid w:val="00B2528C"/>
    <w:rsid w:val="00B2782A"/>
    <w:rsid w:val="00B30389"/>
    <w:rsid w:val="00B318EF"/>
    <w:rsid w:val="00B32378"/>
    <w:rsid w:val="00B324BE"/>
    <w:rsid w:val="00B33307"/>
    <w:rsid w:val="00B34B54"/>
    <w:rsid w:val="00B359C2"/>
    <w:rsid w:val="00B36B5A"/>
    <w:rsid w:val="00B37A94"/>
    <w:rsid w:val="00B410AD"/>
    <w:rsid w:val="00B427FF"/>
    <w:rsid w:val="00B429B6"/>
    <w:rsid w:val="00B449DC"/>
    <w:rsid w:val="00B45957"/>
    <w:rsid w:val="00B45F72"/>
    <w:rsid w:val="00B52DB8"/>
    <w:rsid w:val="00B53C4C"/>
    <w:rsid w:val="00B5477F"/>
    <w:rsid w:val="00B55F2E"/>
    <w:rsid w:val="00B55F9D"/>
    <w:rsid w:val="00B56937"/>
    <w:rsid w:val="00B60E3D"/>
    <w:rsid w:val="00B63E74"/>
    <w:rsid w:val="00B64DDB"/>
    <w:rsid w:val="00B713E8"/>
    <w:rsid w:val="00B71A61"/>
    <w:rsid w:val="00B71DC2"/>
    <w:rsid w:val="00B7493D"/>
    <w:rsid w:val="00B74B43"/>
    <w:rsid w:val="00B74D6C"/>
    <w:rsid w:val="00B74FAB"/>
    <w:rsid w:val="00B84047"/>
    <w:rsid w:val="00B847F3"/>
    <w:rsid w:val="00B84C44"/>
    <w:rsid w:val="00B85096"/>
    <w:rsid w:val="00B8552F"/>
    <w:rsid w:val="00B86246"/>
    <w:rsid w:val="00B86D7B"/>
    <w:rsid w:val="00B9020E"/>
    <w:rsid w:val="00B92B7B"/>
    <w:rsid w:val="00B939C0"/>
    <w:rsid w:val="00B93A86"/>
    <w:rsid w:val="00B95F71"/>
    <w:rsid w:val="00B965F6"/>
    <w:rsid w:val="00B9693A"/>
    <w:rsid w:val="00B96E6F"/>
    <w:rsid w:val="00BA34EF"/>
    <w:rsid w:val="00BA362B"/>
    <w:rsid w:val="00BA3B7F"/>
    <w:rsid w:val="00BA40C7"/>
    <w:rsid w:val="00BA5186"/>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467"/>
    <w:rsid w:val="00BC7CEB"/>
    <w:rsid w:val="00BD2198"/>
    <w:rsid w:val="00BD241C"/>
    <w:rsid w:val="00BD279E"/>
    <w:rsid w:val="00BD30FE"/>
    <w:rsid w:val="00BD351B"/>
    <w:rsid w:val="00BD35C6"/>
    <w:rsid w:val="00BD6F9F"/>
    <w:rsid w:val="00BD7C19"/>
    <w:rsid w:val="00BE253F"/>
    <w:rsid w:val="00BE3209"/>
    <w:rsid w:val="00BE34C3"/>
    <w:rsid w:val="00BE3FF2"/>
    <w:rsid w:val="00BE4BE4"/>
    <w:rsid w:val="00BE5508"/>
    <w:rsid w:val="00BE5C18"/>
    <w:rsid w:val="00BE6294"/>
    <w:rsid w:val="00BE7BC4"/>
    <w:rsid w:val="00BF1F90"/>
    <w:rsid w:val="00BF3770"/>
    <w:rsid w:val="00BF3809"/>
    <w:rsid w:val="00BF38D9"/>
    <w:rsid w:val="00BF3AE2"/>
    <w:rsid w:val="00BF415E"/>
    <w:rsid w:val="00BF4192"/>
    <w:rsid w:val="00BF6DC1"/>
    <w:rsid w:val="00C019EF"/>
    <w:rsid w:val="00C02379"/>
    <w:rsid w:val="00C03EB3"/>
    <w:rsid w:val="00C04027"/>
    <w:rsid w:val="00C07048"/>
    <w:rsid w:val="00C0771D"/>
    <w:rsid w:val="00C0791B"/>
    <w:rsid w:val="00C12BFC"/>
    <w:rsid w:val="00C1307E"/>
    <w:rsid w:val="00C13A01"/>
    <w:rsid w:val="00C1441D"/>
    <w:rsid w:val="00C175FD"/>
    <w:rsid w:val="00C22A64"/>
    <w:rsid w:val="00C237F1"/>
    <w:rsid w:val="00C243AE"/>
    <w:rsid w:val="00C2489B"/>
    <w:rsid w:val="00C2576D"/>
    <w:rsid w:val="00C26D57"/>
    <w:rsid w:val="00C274CB"/>
    <w:rsid w:val="00C27973"/>
    <w:rsid w:val="00C3064A"/>
    <w:rsid w:val="00C30AB3"/>
    <w:rsid w:val="00C31797"/>
    <w:rsid w:val="00C33E37"/>
    <w:rsid w:val="00C33E77"/>
    <w:rsid w:val="00C36137"/>
    <w:rsid w:val="00C374AB"/>
    <w:rsid w:val="00C422E3"/>
    <w:rsid w:val="00C4250C"/>
    <w:rsid w:val="00C437FB"/>
    <w:rsid w:val="00C460B6"/>
    <w:rsid w:val="00C46184"/>
    <w:rsid w:val="00C474E5"/>
    <w:rsid w:val="00C47F78"/>
    <w:rsid w:val="00C52B2F"/>
    <w:rsid w:val="00C54E42"/>
    <w:rsid w:val="00C561B1"/>
    <w:rsid w:val="00C56E50"/>
    <w:rsid w:val="00C5766D"/>
    <w:rsid w:val="00C57975"/>
    <w:rsid w:val="00C57C9A"/>
    <w:rsid w:val="00C57E35"/>
    <w:rsid w:val="00C60C3E"/>
    <w:rsid w:val="00C61684"/>
    <w:rsid w:val="00C61E65"/>
    <w:rsid w:val="00C62247"/>
    <w:rsid w:val="00C624EB"/>
    <w:rsid w:val="00C62AAB"/>
    <w:rsid w:val="00C636A9"/>
    <w:rsid w:val="00C642CA"/>
    <w:rsid w:val="00C651D2"/>
    <w:rsid w:val="00C6578F"/>
    <w:rsid w:val="00C66738"/>
    <w:rsid w:val="00C66C79"/>
    <w:rsid w:val="00C70A93"/>
    <w:rsid w:val="00C71C93"/>
    <w:rsid w:val="00C74692"/>
    <w:rsid w:val="00C747C7"/>
    <w:rsid w:val="00C75847"/>
    <w:rsid w:val="00C75943"/>
    <w:rsid w:val="00C7729D"/>
    <w:rsid w:val="00C77A9F"/>
    <w:rsid w:val="00C8037F"/>
    <w:rsid w:val="00C803E4"/>
    <w:rsid w:val="00C80A65"/>
    <w:rsid w:val="00C80BAB"/>
    <w:rsid w:val="00C80D5E"/>
    <w:rsid w:val="00C80DDA"/>
    <w:rsid w:val="00C815D7"/>
    <w:rsid w:val="00C82A9F"/>
    <w:rsid w:val="00C82B5B"/>
    <w:rsid w:val="00C82C88"/>
    <w:rsid w:val="00C82ECE"/>
    <w:rsid w:val="00C83537"/>
    <w:rsid w:val="00C8419E"/>
    <w:rsid w:val="00C86619"/>
    <w:rsid w:val="00C86B49"/>
    <w:rsid w:val="00C86D50"/>
    <w:rsid w:val="00C870DC"/>
    <w:rsid w:val="00C87933"/>
    <w:rsid w:val="00C91F36"/>
    <w:rsid w:val="00C941AE"/>
    <w:rsid w:val="00C9445F"/>
    <w:rsid w:val="00C95C34"/>
    <w:rsid w:val="00C96006"/>
    <w:rsid w:val="00C963F2"/>
    <w:rsid w:val="00C96903"/>
    <w:rsid w:val="00CA137A"/>
    <w:rsid w:val="00CA17AB"/>
    <w:rsid w:val="00CA2132"/>
    <w:rsid w:val="00CA2F29"/>
    <w:rsid w:val="00CA44D3"/>
    <w:rsid w:val="00CA4B4D"/>
    <w:rsid w:val="00CA4EAE"/>
    <w:rsid w:val="00CB20C0"/>
    <w:rsid w:val="00CB41BB"/>
    <w:rsid w:val="00CB465C"/>
    <w:rsid w:val="00CB5734"/>
    <w:rsid w:val="00CB5780"/>
    <w:rsid w:val="00CB629C"/>
    <w:rsid w:val="00CB7993"/>
    <w:rsid w:val="00CC1622"/>
    <w:rsid w:val="00CC2854"/>
    <w:rsid w:val="00CC37B5"/>
    <w:rsid w:val="00CC40E7"/>
    <w:rsid w:val="00CC49F7"/>
    <w:rsid w:val="00CC6058"/>
    <w:rsid w:val="00CC66F1"/>
    <w:rsid w:val="00CC7B5B"/>
    <w:rsid w:val="00CD06C7"/>
    <w:rsid w:val="00CD23BE"/>
    <w:rsid w:val="00CD564C"/>
    <w:rsid w:val="00CE02E1"/>
    <w:rsid w:val="00CE0657"/>
    <w:rsid w:val="00CE134C"/>
    <w:rsid w:val="00CE3785"/>
    <w:rsid w:val="00CE3B3E"/>
    <w:rsid w:val="00CE3EDF"/>
    <w:rsid w:val="00CE5F0E"/>
    <w:rsid w:val="00CE5F37"/>
    <w:rsid w:val="00CF01CD"/>
    <w:rsid w:val="00CF05ED"/>
    <w:rsid w:val="00CF313B"/>
    <w:rsid w:val="00CF72F5"/>
    <w:rsid w:val="00D00887"/>
    <w:rsid w:val="00D01545"/>
    <w:rsid w:val="00D0268F"/>
    <w:rsid w:val="00D02B71"/>
    <w:rsid w:val="00D10D0C"/>
    <w:rsid w:val="00D1192E"/>
    <w:rsid w:val="00D14696"/>
    <w:rsid w:val="00D153D4"/>
    <w:rsid w:val="00D16098"/>
    <w:rsid w:val="00D17BCE"/>
    <w:rsid w:val="00D20C7E"/>
    <w:rsid w:val="00D20CE2"/>
    <w:rsid w:val="00D23C19"/>
    <w:rsid w:val="00D25037"/>
    <w:rsid w:val="00D25AB2"/>
    <w:rsid w:val="00D30A84"/>
    <w:rsid w:val="00D30E9F"/>
    <w:rsid w:val="00D31D26"/>
    <w:rsid w:val="00D33E0D"/>
    <w:rsid w:val="00D346AB"/>
    <w:rsid w:val="00D3618B"/>
    <w:rsid w:val="00D3646B"/>
    <w:rsid w:val="00D36C6D"/>
    <w:rsid w:val="00D36DD4"/>
    <w:rsid w:val="00D36F4F"/>
    <w:rsid w:val="00D3701B"/>
    <w:rsid w:val="00D37C97"/>
    <w:rsid w:val="00D37D12"/>
    <w:rsid w:val="00D40FF0"/>
    <w:rsid w:val="00D42513"/>
    <w:rsid w:val="00D43F98"/>
    <w:rsid w:val="00D44DF6"/>
    <w:rsid w:val="00D45D05"/>
    <w:rsid w:val="00D46047"/>
    <w:rsid w:val="00D460FE"/>
    <w:rsid w:val="00D46D79"/>
    <w:rsid w:val="00D47D0F"/>
    <w:rsid w:val="00D509E5"/>
    <w:rsid w:val="00D52053"/>
    <w:rsid w:val="00D5330B"/>
    <w:rsid w:val="00D537B2"/>
    <w:rsid w:val="00D54C34"/>
    <w:rsid w:val="00D56B92"/>
    <w:rsid w:val="00D612D6"/>
    <w:rsid w:val="00D61A0D"/>
    <w:rsid w:val="00D6327C"/>
    <w:rsid w:val="00D63801"/>
    <w:rsid w:val="00D656DA"/>
    <w:rsid w:val="00D66175"/>
    <w:rsid w:val="00D6777D"/>
    <w:rsid w:val="00D760BA"/>
    <w:rsid w:val="00D76D65"/>
    <w:rsid w:val="00D812F1"/>
    <w:rsid w:val="00D814DE"/>
    <w:rsid w:val="00D84443"/>
    <w:rsid w:val="00D84DE6"/>
    <w:rsid w:val="00D84E91"/>
    <w:rsid w:val="00D93D01"/>
    <w:rsid w:val="00D94C12"/>
    <w:rsid w:val="00D955E1"/>
    <w:rsid w:val="00D95635"/>
    <w:rsid w:val="00D95C4D"/>
    <w:rsid w:val="00D96D5A"/>
    <w:rsid w:val="00DA02E1"/>
    <w:rsid w:val="00DA1585"/>
    <w:rsid w:val="00DA3815"/>
    <w:rsid w:val="00DA3FFC"/>
    <w:rsid w:val="00DA434B"/>
    <w:rsid w:val="00DA43FF"/>
    <w:rsid w:val="00DA4DDD"/>
    <w:rsid w:val="00DA6625"/>
    <w:rsid w:val="00DA6EDC"/>
    <w:rsid w:val="00DB1A1D"/>
    <w:rsid w:val="00DB24DB"/>
    <w:rsid w:val="00DB4C5C"/>
    <w:rsid w:val="00DB6966"/>
    <w:rsid w:val="00DB6F72"/>
    <w:rsid w:val="00DC2BF5"/>
    <w:rsid w:val="00DC3DF6"/>
    <w:rsid w:val="00DC3E47"/>
    <w:rsid w:val="00DC4C5F"/>
    <w:rsid w:val="00DC658B"/>
    <w:rsid w:val="00DC766D"/>
    <w:rsid w:val="00DD04BB"/>
    <w:rsid w:val="00DD1208"/>
    <w:rsid w:val="00DD2128"/>
    <w:rsid w:val="00DD26CC"/>
    <w:rsid w:val="00DD43A0"/>
    <w:rsid w:val="00DD5BA7"/>
    <w:rsid w:val="00DD5D1E"/>
    <w:rsid w:val="00DD649A"/>
    <w:rsid w:val="00DE25F1"/>
    <w:rsid w:val="00DE50B4"/>
    <w:rsid w:val="00DE5FBD"/>
    <w:rsid w:val="00DE621A"/>
    <w:rsid w:val="00DE6787"/>
    <w:rsid w:val="00DF188A"/>
    <w:rsid w:val="00DF19EE"/>
    <w:rsid w:val="00DF29D3"/>
    <w:rsid w:val="00DF2FD7"/>
    <w:rsid w:val="00DF6C04"/>
    <w:rsid w:val="00DF7585"/>
    <w:rsid w:val="00E005B2"/>
    <w:rsid w:val="00E02FB2"/>
    <w:rsid w:val="00E05383"/>
    <w:rsid w:val="00E0678B"/>
    <w:rsid w:val="00E06BC1"/>
    <w:rsid w:val="00E06CD4"/>
    <w:rsid w:val="00E0711D"/>
    <w:rsid w:val="00E11CBB"/>
    <w:rsid w:val="00E11E64"/>
    <w:rsid w:val="00E125CB"/>
    <w:rsid w:val="00E12691"/>
    <w:rsid w:val="00E1398A"/>
    <w:rsid w:val="00E149D0"/>
    <w:rsid w:val="00E1634B"/>
    <w:rsid w:val="00E2047B"/>
    <w:rsid w:val="00E206ED"/>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24F8"/>
    <w:rsid w:val="00E54DF1"/>
    <w:rsid w:val="00E553C5"/>
    <w:rsid w:val="00E5577D"/>
    <w:rsid w:val="00E55AE4"/>
    <w:rsid w:val="00E55E7E"/>
    <w:rsid w:val="00E563D8"/>
    <w:rsid w:val="00E56B73"/>
    <w:rsid w:val="00E57A09"/>
    <w:rsid w:val="00E62017"/>
    <w:rsid w:val="00E623A5"/>
    <w:rsid w:val="00E63A64"/>
    <w:rsid w:val="00E64075"/>
    <w:rsid w:val="00E64577"/>
    <w:rsid w:val="00E673E6"/>
    <w:rsid w:val="00E7139D"/>
    <w:rsid w:val="00E72FD1"/>
    <w:rsid w:val="00E73623"/>
    <w:rsid w:val="00E741C6"/>
    <w:rsid w:val="00E750D6"/>
    <w:rsid w:val="00E761D9"/>
    <w:rsid w:val="00E84642"/>
    <w:rsid w:val="00E87AC5"/>
    <w:rsid w:val="00E909A2"/>
    <w:rsid w:val="00E91F60"/>
    <w:rsid w:val="00E92C2C"/>
    <w:rsid w:val="00E92CD7"/>
    <w:rsid w:val="00E9302B"/>
    <w:rsid w:val="00E94E04"/>
    <w:rsid w:val="00E95115"/>
    <w:rsid w:val="00E96407"/>
    <w:rsid w:val="00E96BD7"/>
    <w:rsid w:val="00EA13B5"/>
    <w:rsid w:val="00EA221B"/>
    <w:rsid w:val="00EA25C7"/>
    <w:rsid w:val="00EA26CF"/>
    <w:rsid w:val="00EA2900"/>
    <w:rsid w:val="00EA2FE2"/>
    <w:rsid w:val="00EA30C1"/>
    <w:rsid w:val="00EA3C73"/>
    <w:rsid w:val="00EA4185"/>
    <w:rsid w:val="00EA689F"/>
    <w:rsid w:val="00EA6A8C"/>
    <w:rsid w:val="00EA72A9"/>
    <w:rsid w:val="00EB0615"/>
    <w:rsid w:val="00EB0FD8"/>
    <w:rsid w:val="00EB1D98"/>
    <w:rsid w:val="00EB241F"/>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0E9A"/>
    <w:rsid w:val="00ED1897"/>
    <w:rsid w:val="00ED3583"/>
    <w:rsid w:val="00ED4AFC"/>
    <w:rsid w:val="00ED51DC"/>
    <w:rsid w:val="00ED671E"/>
    <w:rsid w:val="00ED675B"/>
    <w:rsid w:val="00ED7926"/>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3999"/>
    <w:rsid w:val="00F05559"/>
    <w:rsid w:val="00F06C6E"/>
    <w:rsid w:val="00F06F65"/>
    <w:rsid w:val="00F07AE1"/>
    <w:rsid w:val="00F1065C"/>
    <w:rsid w:val="00F10692"/>
    <w:rsid w:val="00F12F81"/>
    <w:rsid w:val="00F20513"/>
    <w:rsid w:val="00F219AF"/>
    <w:rsid w:val="00F229F7"/>
    <w:rsid w:val="00F22B4C"/>
    <w:rsid w:val="00F23591"/>
    <w:rsid w:val="00F245F5"/>
    <w:rsid w:val="00F24830"/>
    <w:rsid w:val="00F24F96"/>
    <w:rsid w:val="00F252FE"/>
    <w:rsid w:val="00F2732E"/>
    <w:rsid w:val="00F31CF2"/>
    <w:rsid w:val="00F3226A"/>
    <w:rsid w:val="00F32E0B"/>
    <w:rsid w:val="00F33C62"/>
    <w:rsid w:val="00F34E17"/>
    <w:rsid w:val="00F35F53"/>
    <w:rsid w:val="00F36C53"/>
    <w:rsid w:val="00F36F65"/>
    <w:rsid w:val="00F37A90"/>
    <w:rsid w:val="00F40E6F"/>
    <w:rsid w:val="00F41882"/>
    <w:rsid w:val="00F46447"/>
    <w:rsid w:val="00F55DDF"/>
    <w:rsid w:val="00F573B4"/>
    <w:rsid w:val="00F575B2"/>
    <w:rsid w:val="00F578D2"/>
    <w:rsid w:val="00F6005B"/>
    <w:rsid w:val="00F6060C"/>
    <w:rsid w:val="00F64AB8"/>
    <w:rsid w:val="00F6511D"/>
    <w:rsid w:val="00F660EC"/>
    <w:rsid w:val="00F673B7"/>
    <w:rsid w:val="00F705C7"/>
    <w:rsid w:val="00F70CF8"/>
    <w:rsid w:val="00F72556"/>
    <w:rsid w:val="00F76392"/>
    <w:rsid w:val="00F77FCD"/>
    <w:rsid w:val="00F80D0C"/>
    <w:rsid w:val="00F81585"/>
    <w:rsid w:val="00F81DFE"/>
    <w:rsid w:val="00F848EE"/>
    <w:rsid w:val="00F85578"/>
    <w:rsid w:val="00F85A4F"/>
    <w:rsid w:val="00F85B5E"/>
    <w:rsid w:val="00F86558"/>
    <w:rsid w:val="00F865F1"/>
    <w:rsid w:val="00F86670"/>
    <w:rsid w:val="00F91F56"/>
    <w:rsid w:val="00F92406"/>
    <w:rsid w:val="00F92876"/>
    <w:rsid w:val="00F941F3"/>
    <w:rsid w:val="00F94A41"/>
    <w:rsid w:val="00F95715"/>
    <w:rsid w:val="00F9747E"/>
    <w:rsid w:val="00FA0273"/>
    <w:rsid w:val="00FA0DC7"/>
    <w:rsid w:val="00FA11D9"/>
    <w:rsid w:val="00FA21E7"/>
    <w:rsid w:val="00FA3645"/>
    <w:rsid w:val="00FA39A7"/>
    <w:rsid w:val="00FA3CC6"/>
    <w:rsid w:val="00FA59E0"/>
    <w:rsid w:val="00FA5FEE"/>
    <w:rsid w:val="00FB008A"/>
    <w:rsid w:val="00FB0530"/>
    <w:rsid w:val="00FB0FD6"/>
    <w:rsid w:val="00FB45CA"/>
    <w:rsid w:val="00FB5D57"/>
    <w:rsid w:val="00FB7489"/>
    <w:rsid w:val="00FC02FD"/>
    <w:rsid w:val="00FC0BCD"/>
    <w:rsid w:val="00FC14DF"/>
    <w:rsid w:val="00FC3428"/>
    <w:rsid w:val="00FC5C76"/>
    <w:rsid w:val="00FC7F35"/>
    <w:rsid w:val="00FD0496"/>
    <w:rsid w:val="00FD0EC9"/>
    <w:rsid w:val="00FD2959"/>
    <w:rsid w:val="00FD41A0"/>
    <w:rsid w:val="00FD422A"/>
    <w:rsid w:val="00FD56E5"/>
    <w:rsid w:val="00FD6FCF"/>
    <w:rsid w:val="00FD7282"/>
    <w:rsid w:val="00FE0C0A"/>
    <w:rsid w:val="00FE228D"/>
    <w:rsid w:val="00FE2697"/>
    <w:rsid w:val="00FE26AA"/>
    <w:rsid w:val="00FE27ED"/>
    <w:rsid w:val="00FE3403"/>
    <w:rsid w:val="00FE44B6"/>
    <w:rsid w:val="00FE57B0"/>
    <w:rsid w:val="00FE681F"/>
    <w:rsid w:val="00FE7075"/>
    <w:rsid w:val="00FF1A23"/>
    <w:rsid w:val="00FF2A30"/>
    <w:rsid w:val="00FF3147"/>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B1F5E"/>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6"/>
      </w:numPr>
      <w:tabs>
        <w:tab w:val="clear" w:pos="567"/>
        <w:tab w:val="num" w:pos="360"/>
      </w:tabs>
      <w:spacing w:before="480"/>
      <w:ind w:left="0" w:firstLine="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6"/>
      </w:numPr>
      <w:tabs>
        <w:tab w:val="clear" w:pos="1701"/>
        <w:tab w:val="num" w:pos="360"/>
        <w:tab w:val="left" w:pos="3969"/>
        <w:tab w:val="left" w:pos="4536"/>
      </w:tabs>
      <w:ind w:left="0" w:firstLine="0"/>
      <w:outlineLvl w:val="2"/>
    </w:pPr>
    <w:rPr>
      <w:b/>
    </w:rPr>
  </w:style>
  <w:style w:type="paragraph" w:customStyle="1" w:styleId="LegalHeading4">
    <w:name w:val="Legal_Heading4"/>
    <w:basedOn w:val="LegalNormal"/>
    <w:next w:val="LegalBodyText4"/>
    <w:semiHidden/>
    <w:rsid w:val="00422270"/>
    <w:pPr>
      <w:keepNext/>
      <w:numPr>
        <w:ilvl w:val="3"/>
        <w:numId w:val="6"/>
      </w:numPr>
      <w:tabs>
        <w:tab w:val="clear" w:pos="2268"/>
        <w:tab w:val="num" w:pos="360"/>
      </w:tabs>
      <w:spacing w:after="240"/>
      <w:ind w:left="0" w:firstLine="0"/>
      <w:outlineLvl w:val="3"/>
    </w:pPr>
    <w:rPr>
      <w:b/>
    </w:rPr>
  </w:style>
  <w:style w:type="paragraph" w:customStyle="1" w:styleId="LegalHeading5">
    <w:name w:val="Legal_Heading5"/>
    <w:basedOn w:val="LegalNormal"/>
    <w:next w:val="LegalBodyText5"/>
    <w:semiHidden/>
    <w:rsid w:val="00422270"/>
    <w:pPr>
      <w:keepNext/>
      <w:numPr>
        <w:ilvl w:val="4"/>
        <w:numId w:val="6"/>
      </w:numPr>
      <w:tabs>
        <w:tab w:val="clear" w:pos="2835"/>
        <w:tab w:val="num" w:pos="360"/>
      </w:tabs>
      <w:spacing w:after="240"/>
      <w:ind w:left="0" w:firstLine="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3"/>
      </w:numPr>
    </w:pPr>
    <w:rPr>
      <w:b/>
      <w:caps/>
      <w:spacing w:val="2"/>
    </w:rPr>
  </w:style>
  <w:style w:type="paragraph" w:customStyle="1" w:styleId="LegalCitation">
    <w:name w:val="Legal_Citation"/>
    <w:basedOn w:val="LegalNormal"/>
    <w:semiHidden/>
    <w:rsid w:val="00422270"/>
    <w:pPr>
      <w:numPr>
        <w:numId w:val="2"/>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5"/>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140930232">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21660502">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4593067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862742306">
      <w:bodyDiv w:val="1"/>
      <w:marLeft w:val="0"/>
      <w:marRight w:val="0"/>
      <w:marTop w:val="0"/>
      <w:marBottom w:val="0"/>
      <w:divBdr>
        <w:top w:val="none" w:sz="0" w:space="0" w:color="auto"/>
        <w:left w:val="none" w:sz="0" w:space="0" w:color="auto"/>
        <w:bottom w:val="none" w:sz="0" w:space="0" w:color="auto"/>
        <w:right w:val="none" w:sz="0" w:space="0" w:color="auto"/>
      </w:divBdr>
      <w:divsChild>
        <w:div w:id="1995910855">
          <w:marLeft w:val="0"/>
          <w:marRight w:val="0"/>
          <w:marTop w:val="120"/>
          <w:marBottom w:val="0"/>
          <w:divBdr>
            <w:top w:val="none" w:sz="0" w:space="0" w:color="auto"/>
            <w:left w:val="none" w:sz="0" w:space="0" w:color="auto"/>
            <w:bottom w:val="none" w:sz="0" w:space="0" w:color="auto"/>
            <w:right w:val="none" w:sz="0" w:space="0" w:color="auto"/>
          </w:divBdr>
        </w:div>
        <w:div w:id="553735328">
          <w:marLeft w:val="1134"/>
          <w:marRight w:val="0"/>
          <w:marTop w:val="60"/>
          <w:marBottom w:val="0"/>
          <w:divBdr>
            <w:top w:val="none" w:sz="0" w:space="0" w:color="auto"/>
            <w:left w:val="none" w:sz="0" w:space="0" w:color="auto"/>
            <w:bottom w:val="none" w:sz="0" w:space="0" w:color="auto"/>
            <w:right w:val="none" w:sz="0" w:space="0" w:color="auto"/>
          </w:divBdr>
        </w:div>
        <w:div w:id="734351015">
          <w:marLeft w:val="1985"/>
          <w:marRight w:val="0"/>
          <w:marTop w:val="60"/>
          <w:marBottom w:val="0"/>
          <w:divBdr>
            <w:top w:val="none" w:sz="0" w:space="0" w:color="auto"/>
            <w:left w:val="none" w:sz="0" w:space="0" w:color="auto"/>
            <w:bottom w:val="none" w:sz="0" w:space="0" w:color="auto"/>
            <w:right w:val="none" w:sz="0" w:space="0" w:color="auto"/>
          </w:divBdr>
        </w:div>
        <w:div w:id="1975483759">
          <w:marLeft w:val="1985"/>
          <w:marRight w:val="0"/>
          <w:marTop w:val="60"/>
          <w:marBottom w:val="0"/>
          <w:divBdr>
            <w:top w:val="none" w:sz="0" w:space="0" w:color="auto"/>
            <w:left w:val="none" w:sz="0" w:space="0" w:color="auto"/>
            <w:bottom w:val="none" w:sz="0" w:space="0" w:color="auto"/>
            <w:right w:val="none" w:sz="0" w:space="0" w:color="auto"/>
          </w:divBdr>
        </w:div>
        <w:div w:id="1140147339">
          <w:marLeft w:val="1134"/>
          <w:marRight w:val="0"/>
          <w:marTop w:val="60"/>
          <w:marBottom w:val="0"/>
          <w:divBdr>
            <w:top w:val="none" w:sz="0" w:space="0" w:color="auto"/>
            <w:left w:val="none" w:sz="0" w:space="0" w:color="auto"/>
            <w:bottom w:val="none" w:sz="0" w:space="0" w:color="auto"/>
            <w:right w:val="none" w:sz="0" w:space="0" w:color="auto"/>
          </w:divBdr>
        </w:div>
      </w:divsChild>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1936210477">
      <w:bodyDiv w:val="1"/>
      <w:marLeft w:val="0"/>
      <w:marRight w:val="0"/>
      <w:marTop w:val="0"/>
      <w:marBottom w:val="0"/>
      <w:divBdr>
        <w:top w:val="none" w:sz="0" w:space="0" w:color="auto"/>
        <w:left w:val="none" w:sz="0" w:space="0" w:color="auto"/>
        <w:bottom w:val="none" w:sz="0" w:space="0" w:color="auto"/>
        <w:right w:val="none" w:sz="0" w:space="0" w:color="auto"/>
      </w:divBdr>
    </w:div>
    <w:div w:id="2045398942">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3E75E-F693-47DC-B5BF-65E637EE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LegalPleading.dot</Template>
  <TotalTime>6</TotalTime>
  <Pages>12</Pages>
  <Words>2939</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sathish sarshan  mohan</cp:lastModifiedBy>
  <cp:revision>4</cp:revision>
  <cp:lastPrinted>2022-08-16T05:41:00Z</cp:lastPrinted>
  <dcterms:created xsi:type="dcterms:W3CDTF">2024-03-27T12:53:00Z</dcterms:created>
  <dcterms:modified xsi:type="dcterms:W3CDTF">2024-03-28T10:41:00Z</dcterms:modified>
</cp:coreProperties>
</file>