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9A9DF" w14:textId="77777777" w:rsidR="00422DCC" w:rsidRPr="00422DCC" w:rsidRDefault="00422DCC" w:rsidP="00844E60">
      <w:pPr>
        <w:tabs>
          <w:tab w:val="left" w:pos="2342"/>
          <w:tab w:val="center" w:pos="4513"/>
        </w:tabs>
        <w:spacing w:after="0" w:line="240" w:lineRule="auto"/>
        <w:ind w:left="0"/>
        <w:jc w:val="center"/>
        <w:outlineLvl w:val="0"/>
        <w:rPr>
          <w:rFonts w:eastAsia="Times New Roman" w:cs="Arial"/>
          <w:b/>
          <w:noProof/>
          <w:szCs w:val="24"/>
          <w:lang w:val="en-ZA" w:eastAsia="en-ZA"/>
        </w:rPr>
      </w:pPr>
      <w:r w:rsidRPr="00422DCC">
        <w:rPr>
          <w:rFonts w:eastAsia="Times New Roman" w:cs="Arial"/>
          <w:b/>
          <w:noProof/>
          <w:szCs w:val="24"/>
          <w:lang w:val="en-ZA" w:eastAsia="en-ZA"/>
        </w:rPr>
        <w:t>REPUBLIC OF SOUTH AFRICA</w:t>
      </w:r>
    </w:p>
    <w:p w14:paraId="0846ADFA" w14:textId="77777777" w:rsidR="00422DCC" w:rsidRPr="00422DCC" w:rsidRDefault="00422DCC" w:rsidP="00844E60">
      <w:pPr>
        <w:tabs>
          <w:tab w:val="left" w:pos="2342"/>
          <w:tab w:val="center" w:pos="4513"/>
        </w:tabs>
        <w:spacing w:after="0" w:line="240" w:lineRule="auto"/>
        <w:ind w:left="0"/>
        <w:jc w:val="center"/>
        <w:outlineLvl w:val="0"/>
        <w:rPr>
          <w:rFonts w:eastAsia="Times New Roman" w:cs="Arial"/>
          <w:b/>
          <w:noProof/>
          <w:szCs w:val="24"/>
          <w:lang w:val="en-ZA" w:eastAsia="en-ZA"/>
        </w:rPr>
      </w:pPr>
    </w:p>
    <w:p w14:paraId="1A8CFAC2" w14:textId="77777777" w:rsidR="00422DCC" w:rsidRPr="00422DCC" w:rsidRDefault="00422DCC" w:rsidP="00844E60">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ZA" w:eastAsia="en-ZA"/>
        </w:rPr>
        <w:drawing>
          <wp:inline distT="0" distB="0" distL="0" distR="0" wp14:anchorId="4DAFB8C6" wp14:editId="695066E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7C9B07" w14:textId="77777777" w:rsidR="00422DCC" w:rsidRPr="00422DCC" w:rsidRDefault="00422DCC" w:rsidP="00844E60">
      <w:pPr>
        <w:spacing w:after="0" w:line="240" w:lineRule="auto"/>
        <w:ind w:left="0"/>
        <w:jc w:val="center"/>
        <w:outlineLvl w:val="0"/>
        <w:rPr>
          <w:rFonts w:eastAsia="Times New Roman" w:cs="Arial"/>
          <w:b/>
          <w:szCs w:val="24"/>
          <w:lang w:val="en-ZA"/>
        </w:rPr>
      </w:pPr>
    </w:p>
    <w:p w14:paraId="20541803" w14:textId="77777777" w:rsidR="00422DCC" w:rsidRPr="00422DCC" w:rsidRDefault="00422DCC" w:rsidP="00844E60">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529F4F8" w14:textId="48FFFFE5" w:rsidR="00422DCC" w:rsidRPr="00422DCC" w:rsidRDefault="00422DCC" w:rsidP="00844E60">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 DIVISION, JOHANNESBURG</w:t>
      </w:r>
    </w:p>
    <w:p w14:paraId="45A7ABAE" w14:textId="77777777" w:rsidR="00422DCC" w:rsidRPr="00422DCC" w:rsidRDefault="00422DCC" w:rsidP="00844E60">
      <w:pPr>
        <w:spacing w:after="0" w:line="240" w:lineRule="auto"/>
        <w:ind w:left="0"/>
        <w:rPr>
          <w:rFonts w:eastAsia="Times New Roman" w:cs="Arial"/>
          <w:szCs w:val="24"/>
          <w:lang w:val="en-ZA"/>
        </w:rPr>
      </w:pPr>
    </w:p>
    <w:p w14:paraId="1DFA32E3" w14:textId="77777777" w:rsidR="005A2A57" w:rsidRPr="00395555" w:rsidRDefault="00422DCC" w:rsidP="00844E60">
      <w:pPr>
        <w:tabs>
          <w:tab w:val="right" w:pos="9029"/>
        </w:tabs>
        <w:spacing w:after="0" w:line="240" w:lineRule="auto"/>
        <w:ind w:left="0"/>
        <w:rPr>
          <w:rFonts w:eastAsia="Times New Roman" w:cs="Arial"/>
          <w:b/>
          <w:bCs/>
          <w:szCs w:val="24"/>
          <w:lang w:val="en-ZA"/>
        </w:rPr>
      </w:pPr>
      <w:r w:rsidRPr="00422DCC">
        <w:rPr>
          <w:rFonts w:eastAsia="Times New Roman" w:cs="Arial"/>
          <w:szCs w:val="24"/>
          <w:lang w:val="en-ZA"/>
        </w:rPr>
        <w:tab/>
      </w:r>
      <w:r w:rsidR="005A2A57">
        <w:rPr>
          <w:rFonts w:eastAsia="Times New Roman" w:cs="Arial"/>
          <w:szCs w:val="24"/>
          <w:lang w:val="en-ZA"/>
        </w:rPr>
        <w:t xml:space="preserve"> </w:t>
      </w:r>
    </w:p>
    <w:p w14:paraId="783BBCE5" w14:textId="722CADAB" w:rsidR="005A2A57" w:rsidRPr="00395555" w:rsidRDefault="0097293D" w:rsidP="00844E60">
      <w:pPr>
        <w:pStyle w:val="JudgmentNumbered"/>
        <w:numPr>
          <w:ilvl w:val="0"/>
          <w:numId w:val="0"/>
        </w:numPr>
        <w:ind w:left="567" w:hanging="567"/>
        <w:jc w:val="right"/>
        <w:rPr>
          <w:b/>
          <w:bCs/>
          <w:lang w:val="en-ZA"/>
        </w:rPr>
      </w:pPr>
      <w:r w:rsidRPr="00422DCC">
        <w:rPr>
          <w:noProof/>
          <w:szCs w:val="24"/>
          <w:lang w:val="en-ZA" w:eastAsia="en-ZA"/>
        </w:rPr>
        <mc:AlternateContent>
          <mc:Choice Requires="wps">
            <w:drawing>
              <wp:anchor distT="0" distB="0" distL="114300" distR="114300" simplePos="0" relativeHeight="251659264" behindDoc="0" locked="0" layoutInCell="1" allowOverlap="1" wp14:anchorId="4C88D076" wp14:editId="593553A2">
                <wp:simplePos x="0" y="0"/>
                <wp:positionH relativeFrom="margin">
                  <wp:posOffset>0</wp:posOffset>
                </wp:positionH>
                <wp:positionV relativeFrom="paragraph">
                  <wp:posOffset>280421</wp:posOffset>
                </wp:positionV>
                <wp:extent cx="3528060" cy="12649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264920"/>
                        </a:xfrm>
                        <a:prstGeom prst="rect">
                          <a:avLst/>
                        </a:prstGeom>
                        <a:solidFill>
                          <a:srgbClr val="FFFFFF"/>
                        </a:solidFill>
                        <a:ln w="9525">
                          <a:solidFill>
                            <a:srgbClr val="000000"/>
                          </a:solidFill>
                          <a:miter lim="800000"/>
                          <a:headEnd/>
                          <a:tailEnd/>
                        </a:ln>
                      </wps:spPr>
                      <wps:txbx>
                        <w:txbxContent>
                          <w:p w14:paraId="4A662AFF" w14:textId="43628690" w:rsidR="0058166E" w:rsidRPr="008E6535" w:rsidRDefault="000C19AC" w:rsidP="000C19AC">
                            <w:pPr>
                              <w:tabs>
                                <w:tab w:val="left" w:pos="900"/>
                              </w:tabs>
                              <w:spacing w:after="0" w:line="240" w:lineRule="auto"/>
                              <w:ind w:left="900" w:hanging="720"/>
                              <w:jc w:val="left"/>
                              <w:rPr>
                                <w:rFonts w:cs="Arial"/>
                                <w:sz w:val="18"/>
                                <w:szCs w:val="18"/>
                              </w:rPr>
                            </w:pPr>
                            <w:r w:rsidRPr="008E6535">
                              <w:rPr>
                                <w:rFonts w:cs="Arial"/>
                                <w:sz w:val="18"/>
                                <w:szCs w:val="18"/>
                              </w:rPr>
                              <w:t>(1)</w:t>
                            </w:r>
                            <w:r w:rsidRPr="008E6535">
                              <w:rPr>
                                <w:rFonts w:cs="Arial"/>
                                <w:sz w:val="18"/>
                                <w:szCs w:val="18"/>
                              </w:rPr>
                              <w:tab/>
                            </w:r>
                            <w:r w:rsidR="0058166E" w:rsidRPr="008E6535">
                              <w:rPr>
                                <w:rFonts w:cs="Arial"/>
                                <w:sz w:val="18"/>
                                <w:szCs w:val="18"/>
                              </w:rPr>
                              <w:t>REPORTABLE:</w:t>
                            </w:r>
                            <w:r w:rsidR="0058166E">
                              <w:rPr>
                                <w:rFonts w:cs="Arial"/>
                                <w:sz w:val="18"/>
                                <w:szCs w:val="18"/>
                              </w:rPr>
                              <w:t xml:space="preserve"> </w:t>
                            </w:r>
                            <w:r w:rsidR="003E571F">
                              <w:rPr>
                                <w:rFonts w:cs="Arial"/>
                                <w:sz w:val="18"/>
                                <w:szCs w:val="18"/>
                              </w:rPr>
                              <w:t>NO.</w:t>
                            </w:r>
                          </w:p>
                          <w:p w14:paraId="4C8C5104" w14:textId="7E37F297" w:rsidR="0058166E" w:rsidRPr="008E6535" w:rsidRDefault="000C19AC" w:rsidP="000C19AC">
                            <w:pPr>
                              <w:tabs>
                                <w:tab w:val="left" w:pos="900"/>
                              </w:tabs>
                              <w:spacing w:after="0" w:line="240" w:lineRule="auto"/>
                              <w:ind w:left="900" w:hanging="720"/>
                              <w:jc w:val="left"/>
                              <w:rPr>
                                <w:rFonts w:cs="Arial"/>
                                <w:sz w:val="18"/>
                                <w:szCs w:val="18"/>
                              </w:rPr>
                            </w:pPr>
                            <w:r w:rsidRPr="008E6535">
                              <w:rPr>
                                <w:rFonts w:cs="Arial"/>
                                <w:sz w:val="18"/>
                                <w:szCs w:val="18"/>
                              </w:rPr>
                              <w:t>(2)</w:t>
                            </w:r>
                            <w:r w:rsidRPr="008E6535">
                              <w:rPr>
                                <w:rFonts w:cs="Arial"/>
                                <w:sz w:val="18"/>
                                <w:szCs w:val="18"/>
                              </w:rPr>
                              <w:tab/>
                            </w:r>
                            <w:r w:rsidR="0058166E" w:rsidRPr="008E6535">
                              <w:rPr>
                                <w:rFonts w:cs="Arial"/>
                                <w:sz w:val="18"/>
                                <w:szCs w:val="18"/>
                              </w:rPr>
                              <w:t>OF INTEREST TO OTHER JUDGES:</w:t>
                            </w:r>
                            <w:r w:rsidR="003E571F">
                              <w:rPr>
                                <w:rFonts w:cs="Arial"/>
                                <w:sz w:val="18"/>
                                <w:szCs w:val="18"/>
                              </w:rPr>
                              <w:t xml:space="preserve"> NO.</w:t>
                            </w:r>
                            <w:r w:rsidR="0058166E" w:rsidRPr="008E6535">
                              <w:rPr>
                                <w:rFonts w:cs="Arial"/>
                                <w:sz w:val="18"/>
                                <w:szCs w:val="18"/>
                              </w:rPr>
                              <w:t xml:space="preserve"> </w:t>
                            </w:r>
                          </w:p>
                          <w:p w14:paraId="48F85747" w14:textId="2C456B73" w:rsidR="0058166E" w:rsidRPr="008E6535" w:rsidRDefault="000C19AC" w:rsidP="000C19AC">
                            <w:pPr>
                              <w:tabs>
                                <w:tab w:val="left" w:pos="900"/>
                              </w:tabs>
                              <w:spacing w:after="0" w:line="240" w:lineRule="auto"/>
                              <w:ind w:left="900" w:hanging="720"/>
                              <w:jc w:val="left"/>
                              <w:rPr>
                                <w:rFonts w:cs="Arial"/>
                                <w:sz w:val="18"/>
                                <w:szCs w:val="18"/>
                              </w:rPr>
                            </w:pPr>
                            <w:r w:rsidRPr="008E6535">
                              <w:rPr>
                                <w:rFonts w:cs="Arial"/>
                                <w:sz w:val="18"/>
                                <w:szCs w:val="18"/>
                              </w:rPr>
                              <w:t>(3)</w:t>
                            </w:r>
                            <w:r w:rsidRPr="008E6535">
                              <w:rPr>
                                <w:rFonts w:cs="Arial"/>
                                <w:sz w:val="18"/>
                                <w:szCs w:val="18"/>
                              </w:rPr>
                              <w:tab/>
                            </w:r>
                            <w:r w:rsidR="0058166E" w:rsidRPr="008E6535">
                              <w:rPr>
                                <w:rFonts w:cs="Arial"/>
                                <w:sz w:val="18"/>
                                <w:szCs w:val="18"/>
                              </w:rPr>
                              <w:t xml:space="preserve">REVISED: </w:t>
                            </w:r>
                            <w:r w:rsidR="003E571F">
                              <w:rPr>
                                <w:rFonts w:cs="Arial"/>
                                <w:sz w:val="18"/>
                                <w:szCs w:val="18"/>
                              </w:rPr>
                              <w:t>NO.</w:t>
                            </w:r>
                          </w:p>
                          <w:p w14:paraId="15B7AD43" w14:textId="77777777" w:rsidR="0058166E" w:rsidRPr="00422DCC" w:rsidRDefault="0058166E" w:rsidP="00422DCC">
                            <w:pPr>
                              <w:pStyle w:val="JudgmentNumbered"/>
                              <w:numPr>
                                <w:ilvl w:val="0"/>
                                <w:numId w:val="0"/>
                              </w:numPr>
                              <w:spacing w:after="0"/>
                              <w:ind w:left="567"/>
                            </w:pPr>
                          </w:p>
                          <w:p w14:paraId="2EE5D385" w14:textId="188C9C2B" w:rsidR="0058166E" w:rsidRPr="00C344A5" w:rsidRDefault="00BF552D" w:rsidP="008E6535">
                            <w:pPr>
                              <w:spacing w:after="0" w:line="240" w:lineRule="auto"/>
                              <w:rPr>
                                <w:rFonts w:cs="Arial"/>
                                <w:b/>
                                <w:sz w:val="18"/>
                                <w:szCs w:val="20"/>
                              </w:rPr>
                            </w:pPr>
                            <w:r>
                              <w:rPr>
                                <w:rFonts w:cs="Arial"/>
                                <w:b/>
                                <w:sz w:val="18"/>
                                <w:szCs w:val="20"/>
                              </w:rPr>
                              <w:t>2</w:t>
                            </w:r>
                            <w:r w:rsidR="003E571F">
                              <w:rPr>
                                <w:rFonts w:cs="Arial"/>
                                <w:b/>
                                <w:sz w:val="18"/>
                                <w:szCs w:val="20"/>
                              </w:rPr>
                              <w:t>6</w:t>
                            </w:r>
                            <w:r>
                              <w:rPr>
                                <w:rFonts w:cs="Arial"/>
                                <w:b/>
                                <w:sz w:val="18"/>
                                <w:szCs w:val="20"/>
                              </w:rPr>
                              <w:t>/04/2024</w:t>
                            </w:r>
                            <w:r w:rsidR="0058166E" w:rsidRPr="00C344A5">
                              <w:rPr>
                                <w:rFonts w:cs="Arial"/>
                                <w:b/>
                                <w:sz w:val="18"/>
                                <w:szCs w:val="20"/>
                              </w:rPr>
                              <w:tab/>
                            </w:r>
                            <w:r w:rsidR="0058166E">
                              <w:rPr>
                                <w:rFonts w:cs="Arial"/>
                                <w:b/>
                                <w:sz w:val="18"/>
                                <w:szCs w:val="20"/>
                              </w:rPr>
                              <w:tab/>
                            </w:r>
                            <w:r w:rsidR="0058166E" w:rsidRPr="00C344A5">
                              <w:rPr>
                                <w:rFonts w:cs="Arial"/>
                                <w:b/>
                                <w:sz w:val="18"/>
                                <w:szCs w:val="20"/>
                              </w:rPr>
                              <w:t>__________________</w:t>
                            </w:r>
                          </w:p>
                          <w:p w14:paraId="41F058C1" w14:textId="1024204B" w:rsidR="0058166E" w:rsidRPr="00C344A5" w:rsidRDefault="0058166E" w:rsidP="008E6535">
                            <w:pPr>
                              <w:spacing w:before="240" w:after="0"/>
                              <w:rPr>
                                <w:rFonts w:cs="Arial"/>
                                <w:sz w:val="18"/>
                                <w:szCs w:val="20"/>
                              </w:rPr>
                            </w:pPr>
                            <w:r w:rsidRPr="00C344A5">
                              <w:rPr>
                                <w:rFonts w:cs="Arial"/>
                                <w:sz w:val="18"/>
                                <w:szCs w:val="20"/>
                              </w:rPr>
                              <w:t>DATE</w:t>
                            </w:r>
                            <w:r>
                              <w:rPr>
                                <w:rFonts w:cs="Arial"/>
                                <w:sz w:val="18"/>
                                <w:szCs w:val="20"/>
                              </w:rPr>
                              <w:tab/>
                            </w:r>
                            <w:r>
                              <w:rPr>
                                <w:rFonts w:cs="Arial"/>
                                <w:sz w:val="18"/>
                                <w:szCs w:val="20"/>
                              </w:rPr>
                              <w:tab/>
                            </w:r>
                            <w:r>
                              <w:rPr>
                                <w:rFonts w:cs="Arial"/>
                                <w:sz w:val="18"/>
                                <w:szCs w:val="20"/>
                              </w:rPr>
                              <w:tab/>
                              <w:t xml:space="preserve">     </w:t>
                            </w:r>
                            <w:r w:rsidRPr="00C344A5">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D076" id="_x0000_t202" coordsize="21600,21600" o:spt="202" path="m,l,21600r21600,l21600,xe">
                <v:stroke joinstyle="miter"/>
                <v:path gradientshapeok="t" o:connecttype="rect"/>
              </v:shapetype>
              <v:shape id="Text Box 2" o:spid="_x0000_s1026" type="#_x0000_t202" style="position:absolute;left:0;text-align:left;margin-left:0;margin-top:22.1pt;width:277.8pt;height:9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">
                <v:textbox>
                  <w:txbxContent>
                    <w:p w14:paraId="4A662AFF" w14:textId="43628690" w:rsidR="0058166E" w:rsidRPr="008E6535" w:rsidRDefault="000C19AC" w:rsidP="000C19AC">
                      <w:pPr>
                        <w:tabs>
                          <w:tab w:val="left" w:pos="900"/>
                        </w:tabs>
                        <w:spacing w:after="0" w:line="240" w:lineRule="auto"/>
                        <w:ind w:left="900" w:hanging="720"/>
                        <w:jc w:val="left"/>
                        <w:rPr>
                          <w:rFonts w:cs="Arial"/>
                          <w:sz w:val="18"/>
                          <w:szCs w:val="18"/>
                        </w:rPr>
                      </w:pPr>
                      <w:r w:rsidRPr="008E6535">
                        <w:rPr>
                          <w:rFonts w:cs="Arial"/>
                          <w:sz w:val="18"/>
                          <w:szCs w:val="18"/>
                        </w:rPr>
                        <w:t>(1)</w:t>
                      </w:r>
                      <w:r w:rsidRPr="008E6535">
                        <w:rPr>
                          <w:rFonts w:cs="Arial"/>
                          <w:sz w:val="18"/>
                          <w:szCs w:val="18"/>
                        </w:rPr>
                        <w:tab/>
                      </w:r>
                      <w:r w:rsidR="0058166E" w:rsidRPr="008E6535">
                        <w:rPr>
                          <w:rFonts w:cs="Arial"/>
                          <w:sz w:val="18"/>
                          <w:szCs w:val="18"/>
                        </w:rPr>
                        <w:t>REPORTABLE:</w:t>
                      </w:r>
                      <w:r w:rsidR="0058166E">
                        <w:rPr>
                          <w:rFonts w:cs="Arial"/>
                          <w:sz w:val="18"/>
                          <w:szCs w:val="18"/>
                        </w:rPr>
                        <w:t xml:space="preserve"> </w:t>
                      </w:r>
                      <w:r w:rsidR="003E571F">
                        <w:rPr>
                          <w:rFonts w:cs="Arial"/>
                          <w:sz w:val="18"/>
                          <w:szCs w:val="18"/>
                        </w:rPr>
                        <w:t>NO.</w:t>
                      </w:r>
                    </w:p>
                    <w:p w14:paraId="4C8C5104" w14:textId="7E37F297" w:rsidR="0058166E" w:rsidRPr="008E6535" w:rsidRDefault="000C19AC" w:rsidP="000C19AC">
                      <w:pPr>
                        <w:tabs>
                          <w:tab w:val="left" w:pos="900"/>
                        </w:tabs>
                        <w:spacing w:after="0" w:line="240" w:lineRule="auto"/>
                        <w:ind w:left="900" w:hanging="720"/>
                        <w:jc w:val="left"/>
                        <w:rPr>
                          <w:rFonts w:cs="Arial"/>
                          <w:sz w:val="18"/>
                          <w:szCs w:val="18"/>
                        </w:rPr>
                      </w:pPr>
                      <w:r w:rsidRPr="008E6535">
                        <w:rPr>
                          <w:rFonts w:cs="Arial"/>
                          <w:sz w:val="18"/>
                          <w:szCs w:val="18"/>
                        </w:rPr>
                        <w:t>(2)</w:t>
                      </w:r>
                      <w:r w:rsidRPr="008E6535">
                        <w:rPr>
                          <w:rFonts w:cs="Arial"/>
                          <w:sz w:val="18"/>
                          <w:szCs w:val="18"/>
                        </w:rPr>
                        <w:tab/>
                      </w:r>
                      <w:r w:rsidR="0058166E" w:rsidRPr="008E6535">
                        <w:rPr>
                          <w:rFonts w:cs="Arial"/>
                          <w:sz w:val="18"/>
                          <w:szCs w:val="18"/>
                        </w:rPr>
                        <w:t>OF INTEREST TO OTHER JUDGES:</w:t>
                      </w:r>
                      <w:r w:rsidR="003E571F">
                        <w:rPr>
                          <w:rFonts w:cs="Arial"/>
                          <w:sz w:val="18"/>
                          <w:szCs w:val="18"/>
                        </w:rPr>
                        <w:t xml:space="preserve"> NO.</w:t>
                      </w:r>
                      <w:r w:rsidR="0058166E" w:rsidRPr="008E6535">
                        <w:rPr>
                          <w:rFonts w:cs="Arial"/>
                          <w:sz w:val="18"/>
                          <w:szCs w:val="18"/>
                        </w:rPr>
                        <w:t xml:space="preserve"> </w:t>
                      </w:r>
                    </w:p>
                    <w:p w14:paraId="48F85747" w14:textId="2C456B73" w:rsidR="0058166E" w:rsidRPr="008E6535" w:rsidRDefault="000C19AC" w:rsidP="000C19AC">
                      <w:pPr>
                        <w:tabs>
                          <w:tab w:val="left" w:pos="900"/>
                        </w:tabs>
                        <w:spacing w:after="0" w:line="240" w:lineRule="auto"/>
                        <w:ind w:left="900" w:hanging="720"/>
                        <w:jc w:val="left"/>
                        <w:rPr>
                          <w:rFonts w:cs="Arial"/>
                          <w:sz w:val="18"/>
                          <w:szCs w:val="18"/>
                        </w:rPr>
                      </w:pPr>
                      <w:r w:rsidRPr="008E6535">
                        <w:rPr>
                          <w:rFonts w:cs="Arial"/>
                          <w:sz w:val="18"/>
                          <w:szCs w:val="18"/>
                        </w:rPr>
                        <w:t>(3)</w:t>
                      </w:r>
                      <w:r w:rsidRPr="008E6535">
                        <w:rPr>
                          <w:rFonts w:cs="Arial"/>
                          <w:sz w:val="18"/>
                          <w:szCs w:val="18"/>
                        </w:rPr>
                        <w:tab/>
                      </w:r>
                      <w:r w:rsidR="0058166E" w:rsidRPr="008E6535">
                        <w:rPr>
                          <w:rFonts w:cs="Arial"/>
                          <w:sz w:val="18"/>
                          <w:szCs w:val="18"/>
                        </w:rPr>
                        <w:t xml:space="preserve">REVISED: </w:t>
                      </w:r>
                      <w:r w:rsidR="003E571F">
                        <w:rPr>
                          <w:rFonts w:cs="Arial"/>
                          <w:sz w:val="18"/>
                          <w:szCs w:val="18"/>
                        </w:rPr>
                        <w:t>NO.</w:t>
                      </w:r>
                    </w:p>
                    <w:p w14:paraId="15B7AD43" w14:textId="77777777" w:rsidR="0058166E" w:rsidRPr="00422DCC" w:rsidRDefault="0058166E" w:rsidP="00422DCC">
                      <w:pPr>
                        <w:pStyle w:val="JudgmentNumbered"/>
                        <w:numPr>
                          <w:ilvl w:val="0"/>
                          <w:numId w:val="0"/>
                        </w:numPr>
                        <w:spacing w:after="0"/>
                        <w:ind w:left="567"/>
                      </w:pPr>
                    </w:p>
                    <w:p w14:paraId="2EE5D385" w14:textId="188C9C2B" w:rsidR="0058166E" w:rsidRPr="00C344A5" w:rsidRDefault="00BF552D" w:rsidP="008E6535">
                      <w:pPr>
                        <w:spacing w:after="0" w:line="240" w:lineRule="auto"/>
                        <w:rPr>
                          <w:rFonts w:cs="Arial"/>
                          <w:b/>
                          <w:sz w:val="18"/>
                          <w:szCs w:val="20"/>
                        </w:rPr>
                      </w:pPr>
                      <w:r>
                        <w:rPr>
                          <w:rFonts w:cs="Arial"/>
                          <w:b/>
                          <w:sz w:val="18"/>
                          <w:szCs w:val="20"/>
                        </w:rPr>
                        <w:t>2</w:t>
                      </w:r>
                      <w:r w:rsidR="003E571F">
                        <w:rPr>
                          <w:rFonts w:cs="Arial"/>
                          <w:b/>
                          <w:sz w:val="18"/>
                          <w:szCs w:val="20"/>
                        </w:rPr>
                        <w:t>6</w:t>
                      </w:r>
                      <w:r>
                        <w:rPr>
                          <w:rFonts w:cs="Arial"/>
                          <w:b/>
                          <w:sz w:val="18"/>
                          <w:szCs w:val="20"/>
                        </w:rPr>
                        <w:t>/04/2024</w:t>
                      </w:r>
                      <w:r w:rsidR="0058166E" w:rsidRPr="00C344A5">
                        <w:rPr>
                          <w:rFonts w:cs="Arial"/>
                          <w:b/>
                          <w:sz w:val="18"/>
                          <w:szCs w:val="20"/>
                        </w:rPr>
                        <w:tab/>
                      </w:r>
                      <w:r w:rsidR="0058166E">
                        <w:rPr>
                          <w:rFonts w:cs="Arial"/>
                          <w:b/>
                          <w:sz w:val="18"/>
                          <w:szCs w:val="20"/>
                        </w:rPr>
                        <w:tab/>
                      </w:r>
                      <w:r w:rsidR="0058166E" w:rsidRPr="00C344A5">
                        <w:rPr>
                          <w:rFonts w:cs="Arial"/>
                          <w:b/>
                          <w:sz w:val="18"/>
                          <w:szCs w:val="20"/>
                        </w:rPr>
                        <w:t>__________________</w:t>
                      </w:r>
                    </w:p>
                    <w:p w14:paraId="41F058C1" w14:textId="1024204B" w:rsidR="0058166E" w:rsidRPr="00C344A5" w:rsidRDefault="0058166E" w:rsidP="008E6535">
                      <w:pPr>
                        <w:spacing w:before="240" w:after="0"/>
                        <w:rPr>
                          <w:rFonts w:cs="Arial"/>
                          <w:sz w:val="18"/>
                          <w:szCs w:val="20"/>
                        </w:rPr>
                      </w:pPr>
                      <w:r w:rsidRPr="00C344A5">
                        <w:rPr>
                          <w:rFonts w:cs="Arial"/>
                          <w:sz w:val="18"/>
                          <w:szCs w:val="20"/>
                        </w:rPr>
                        <w:t>DATE</w:t>
                      </w:r>
                      <w:r>
                        <w:rPr>
                          <w:rFonts w:cs="Arial"/>
                          <w:sz w:val="18"/>
                          <w:szCs w:val="20"/>
                        </w:rPr>
                        <w:tab/>
                      </w:r>
                      <w:r>
                        <w:rPr>
                          <w:rFonts w:cs="Arial"/>
                          <w:sz w:val="18"/>
                          <w:szCs w:val="20"/>
                        </w:rPr>
                        <w:tab/>
                      </w:r>
                      <w:r>
                        <w:rPr>
                          <w:rFonts w:cs="Arial"/>
                          <w:sz w:val="18"/>
                          <w:szCs w:val="20"/>
                        </w:rPr>
                        <w:tab/>
                        <w:t xml:space="preserve">     </w:t>
                      </w:r>
                      <w:r w:rsidRPr="00C344A5">
                        <w:rPr>
                          <w:rFonts w:cs="Arial"/>
                          <w:sz w:val="18"/>
                          <w:szCs w:val="20"/>
                        </w:rPr>
                        <w:t>SIGNATURE</w:t>
                      </w:r>
                    </w:p>
                  </w:txbxContent>
                </v:textbox>
                <w10:wrap anchorx="margin"/>
              </v:shape>
            </w:pict>
          </mc:Fallback>
        </mc:AlternateContent>
      </w:r>
      <w:r w:rsidR="005A2A57" w:rsidRPr="00395555">
        <w:rPr>
          <w:b/>
          <w:bCs/>
          <w:lang w:val="en-ZA"/>
        </w:rPr>
        <w:t>C</w:t>
      </w:r>
      <w:r w:rsidR="00365643">
        <w:rPr>
          <w:b/>
          <w:bCs/>
          <w:lang w:val="en-ZA"/>
        </w:rPr>
        <w:t>ASE NO</w:t>
      </w:r>
      <w:r w:rsidR="0051381B" w:rsidRPr="00395555">
        <w:rPr>
          <w:b/>
          <w:bCs/>
          <w:lang w:val="en-ZA"/>
        </w:rPr>
        <w:t>.</w:t>
      </w:r>
      <w:r w:rsidR="00823CE3">
        <w:rPr>
          <w:b/>
          <w:bCs/>
          <w:lang w:val="en-ZA"/>
        </w:rPr>
        <w:t>:</w:t>
      </w:r>
      <w:r w:rsidR="004767AA" w:rsidRPr="00395555">
        <w:rPr>
          <w:b/>
          <w:bCs/>
          <w:lang w:val="en-ZA"/>
        </w:rPr>
        <w:t xml:space="preserve"> </w:t>
      </w:r>
      <w:r w:rsidR="00113CF9">
        <w:rPr>
          <w:b/>
          <w:bCs/>
          <w:lang w:val="en-ZA"/>
        </w:rPr>
        <w:t>35882</w:t>
      </w:r>
      <w:r w:rsidR="00823CE3">
        <w:rPr>
          <w:b/>
          <w:bCs/>
          <w:lang w:val="en-ZA"/>
        </w:rPr>
        <w:t>/2022</w:t>
      </w:r>
    </w:p>
    <w:p w14:paraId="708AE567" w14:textId="66E07822" w:rsidR="00422DCC" w:rsidRPr="00422DCC" w:rsidRDefault="00422DCC" w:rsidP="00844E60">
      <w:pPr>
        <w:tabs>
          <w:tab w:val="right" w:pos="9029"/>
        </w:tabs>
        <w:spacing w:after="0" w:line="240" w:lineRule="auto"/>
        <w:ind w:left="0"/>
        <w:rPr>
          <w:rFonts w:eastAsia="Times New Roman" w:cs="Arial"/>
          <w:szCs w:val="24"/>
          <w:lang w:val="en-ZA"/>
        </w:rPr>
      </w:pPr>
    </w:p>
    <w:p w14:paraId="1B8FA245" w14:textId="77777777" w:rsidR="00422DCC" w:rsidRPr="00422DCC" w:rsidRDefault="00422DCC" w:rsidP="00844E60">
      <w:pPr>
        <w:tabs>
          <w:tab w:val="left" w:pos="8998"/>
        </w:tabs>
        <w:spacing w:after="0" w:line="240" w:lineRule="auto"/>
        <w:ind w:left="0"/>
        <w:rPr>
          <w:rFonts w:eastAsia="Times New Roman" w:cs="Arial"/>
          <w:szCs w:val="24"/>
          <w:lang w:val="en-ZA"/>
        </w:rPr>
      </w:pPr>
    </w:p>
    <w:p w14:paraId="705102A9" w14:textId="77777777" w:rsidR="00422DCC" w:rsidRPr="00422DCC" w:rsidRDefault="00422DCC" w:rsidP="00844E60">
      <w:pPr>
        <w:tabs>
          <w:tab w:val="left" w:pos="8998"/>
        </w:tabs>
        <w:spacing w:after="0" w:line="240" w:lineRule="auto"/>
        <w:ind w:left="0"/>
        <w:rPr>
          <w:rFonts w:eastAsia="Times New Roman" w:cs="Arial"/>
          <w:szCs w:val="24"/>
          <w:lang w:val="en-ZA"/>
        </w:rPr>
      </w:pPr>
    </w:p>
    <w:p w14:paraId="6EE0062D" w14:textId="4B707779" w:rsidR="00422DCC" w:rsidRPr="00422DCC" w:rsidRDefault="00422DCC" w:rsidP="00844E60">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 xml:space="preserve">In the </w:t>
      </w:r>
      <w:r w:rsidR="003E571F">
        <w:rPr>
          <w:rFonts w:eastAsia="Times New Roman" w:cs="Arial"/>
          <w:szCs w:val="24"/>
          <w:lang w:val="en-ZA"/>
        </w:rPr>
        <w:t>6</w:t>
      </w:r>
      <w:r w:rsidRPr="00422DCC">
        <w:rPr>
          <w:rFonts w:eastAsia="Times New Roman" w:cs="Arial"/>
          <w:szCs w:val="24"/>
          <w:lang w:val="en-ZA"/>
        </w:rPr>
        <w:t>atter between:</w:t>
      </w:r>
    </w:p>
    <w:p w14:paraId="2359E50F" w14:textId="77777777" w:rsidR="00422DCC" w:rsidRPr="00422DCC" w:rsidRDefault="00422DCC" w:rsidP="00844E60">
      <w:pPr>
        <w:tabs>
          <w:tab w:val="right" w:pos="9029"/>
        </w:tabs>
        <w:spacing w:after="0" w:line="240" w:lineRule="auto"/>
        <w:ind w:left="0"/>
        <w:rPr>
          <w:rFonts w:eastAsia="Times New Roman" w:cs="Arial"/>
          <w:szCs w:val="24"/>
          <w:lang w:val="en-ZA"/>
        </w:rPr>
      </w:pPr>
    </w:p>
    <w:p w14:paraId="4AB53BE7" w14:textId="77777777" w:rsidR="00422DCC" w:rsidRPr="00422DCC" w:rsidRDefault="00422DCC" w:rsidP="00844E60">
      <w:pPr>
        <w:tabs>
          <w:tab w:val="right" w:pos="9029"/>
        </w:tabs>
        <w:spacing w:after="0" w:line="240" w:lineRule="auto"/>
        <w:ind w:left="0"/>
        <w:rPr>
          <w:rFonts w:eastAsia="Times New Roman" w:cs="Arial"/>
          <w:szCs w:val="24"/>
          <w:lang w:val="en-ZA"/>
        </w:rPr>
      </w:pPr>
    </w:p>
    <w:p w14:paraId="25C7E363" w14:textId="77777777" w:rsidR="00422DCC" w:rsidRPr="00422DCC" w:rsidRDefault="00422DCC" w:rsidP="00844E60">
      <w:pPr>
        <w:tabs>
          <w:tab w:val="right" w:pos="9029"/>
        </w:tabs>
        <w:spacing w:after="0" w:line="240" w:lineRule="auto"/>
        <w:ind w:left="0"/>
        <w:contextualSpacing/>
        <w:rPr>
          <w:rFonts w:eastAsia="Times New Roman" w:cs="Arial"/>
          <w:b/>
          <w:szCs w:val="24"/>
          <w:lang w:val="en-ZA"/>
        </w:rPr>
      </w:pPr>
    </w:p>
    <w:p w14:paraId="2783581E" w14:textId="77777777" w:rsidR="00422DCC" w:rsidRPr="00422DCC" w:rsidRDefault="00422DCC" w:rsidP="00844E60">
      <w:pPr>
        <w:tabs>
          <w:tab w:val="right" w:pos="9029"/>
        </w:tabs>
        <w:spacing w:after="0" w:line="240" w:lineRule="auto"/>
        <w:ind w:left="0"/>
        <w:contextualSpacing/>
        <w:rPr>
          <w:rFonts w:eastAsia="Times New Roman" w:cs="Arial"/>
          <w:b/>
          <w:szCs w:val="24"/>
          <w:lang w:val="en-ZA"/>
        </w:rPr>
      </w:pPr>
    </w:p>
    <w:p w14:paraId="4C32BEF5" w14:textId="16D977EE" w:rsidR="002D617F" w:rsidRDefault="00422DCC" w:rsidP="00844E60">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between:</w:t>
      </w:r>
    </w:p>
    <w:p w14:paraId="7024411E" w14:textId="77777777" w:rsidR="002D617F" w:rsidRPr="002D617F" w:rsidRDefault="002D617F" w:rsidP="00844E60">
      <w:pPr>
        <w:pStyle w:val="JudgmentNumbered"/>
        <w:numPr>
          <w:ilvl w:val="0"/>
          <w:numId w:val="0"/>
        </w:numPr>
        <w:rPr>
          <w:lang w:val="en-ZA"/>
        </w:rPr>
      </w:pPr>
    </w:p>
    <w:p w14:paraId="2B9B28F3" w14:textId="6A8CA2B7" w:rsidR="00CD1454" w:rsidRDefault="00113CF9" w:rsidP="00844E60">
      <w:pPr>
        <w:tabs>
          <w:tab w:val="right" w:pos="9029"/>
        </w:tabs>
        <w:spacing w:after="0"/>
        <w:ind w:left="0"/>
        <w:contextualSpacing/>
      </w:pPr>
      <w:r w:rsidRPr="00844E60">
        <w:rPr>
          <w:b/>
        </w:rPr>
        <w:t>FIRSTRAND BANK LTD</w:t>
      </w:r>
      <w:r w:rsidR="00D738ED">
        <w:tab/>
      </w:r>
      <w:r w:rsidR="009D4739">
        <w:t xml:space="preserve"> </w:t>
      </w:r>
      <w:r w:rsidR="00CD1454">
        <w:t xml:space="preserve">                                                   </w:t>
      </w:r>
      <w:r w:rsidR="009D4739">
        <w:t>Applicant</w:t>
      </w:r>
    </w:p>
    <w:p w14:paraId="1DC5A1F2" w14:textId="77777777" w:rsidR="00F224B8" w:rsidRDefault="00F224B8" w:rsidP="00844E60">
      <w:pPr>
        <w:tabs>
          <w:tab w:val="right" w:pos="9029"/>
        </w:tabs>
        <w:spacing w:after="0"/>
        <w:ind w:left="0"/>
        <w:contextualSpacing/>
      </w:pPr>
    </w:p>
    <w:p w14:paraId="1CCD551B" w14:textId="2F990E48" w:rsidR="005A2A57" w:rsidRDefault="005A2A57" w:rsidP="00844E60">
      <w:pPr>
        <w:tabs>
          <w:tab w:val="right" w:pos="9029"/>
        </w:tabs>
        <w:spacing w:after="0"/>
        <w:ind w:left="0"/>
        <w:contextualSpacing/>
      </w:pPr>
      <w:r>
        <w:t xml:space="preserve">and </w:t>
      </w:r>
    </w:p>
    <w:p w14:paraId="2A5B1230" w14:textId="77777777" w:rsidR="00F224B8" w:rsidRDefault="00F224B8" w:rsidP="00844E60">
      <w:pPr>
        <w:tabs>
          <w:tab w:val="right" w:pos="9029"/>
        </w:tabs>
        <w:spacing w:after="0"/>
        <w:ind w:left="0"/>
        <w:contextualSpacing/>
      </w:pPr>
    </w:p>
    <w:p w14:paraId="3C21346A" w14:textId="66AE5DF3" w:rsidR="00CD1454" w:rsidRDefault="007E13BF" w:rsidP="00677A8F">
      <w:pPr>
        <w:tabs>
          <w:tab w:val="right" w:pos="9029"/>
        </w:tabs>
        <w:spacing w:after="0" w:line="480" w:lineRule="auto"/>
        <w:ind w:left="0"/>
        <w:contextualSpacing/>
      </w:pPr>
      <w:r w:rsidRPr="00844E60">
        <w:rPr>
          <w:b/>
        </w:rPr>
        <w:t xml:space="preserve">SMARTPURSE SOLUTIONS </w:t>
      </w:r>
      <w:r w:rsidR="003E571F">
        <w:rPr>
          <w:b/>
        </w:rPr>
        <w:t>(</w:t>
      </w:r>
      <w:r w:rsidRPr="00844E60">
        <w:rPr>
          <w:b/>
        </w:rPr>
        <w:t>PT</w:t>
      </w:r>
      <w:r w:rsidR="003E571F">
        <w:rPr>
          <w:b/>
        </w:rPr>
        <w:t>Y)</w:t>
      </w:r>
      <w:r w:rsidRPr="00844E60">
        <w:rPr>
          <w:b/>
        </w:rPr>
        <w:t xml:space="preserve"> LTD</w:t>
      </w:r>
      <w:r w:rsidR="009D4739">
        <w:tab/>
      </w:r>
      <w:r>
        <w:t>R</w:t>
      </w:r>
      <w:r w:rsidR="009D4739">
        <w:t>espondent</w:t>
      </w:r>
    </w:p>
    <w:p w14:paraId="08B725ED" w14:textId="77777777" w:rsidR="007E13BF" w:rsidRDefault="007E13BF" w:rsidP="00677A8F">
      <w:pPr>
        <w:tabs>
          <w:tab w:val="right" w:pos="9029"/>
        </w:tabs>
        <w:spacing w:after="0" w:line="240" w:lineRule="auto"/>
        <w:ind w:left="0"/>
        <w:contextualSpacing/>
      </w:pPr>
    </w:p>
    <w:p w14:paraId="4407300A" w14:textId="10AE79BE" w:rsidR="0091178F" w:rsidRDefault="0091178F" w:rsidP="00844E60">
      <w:pPr>
        <w:spacing w:after="200" w:line="276" w:lineRule="auto"/>
        <w:ind w:left="0"/>
        <w:contextualSpacing/>
        <w:rPr>
          <w:rFonts w:eastAsia="Calibri" w:cs="Arial"/>
          <w:bCs/>
          <w:i/>
        </w:rPr>
      </w:pPr>
      <w:r w:rsidRPr="001947E9">
        <w:rPr>
          <w:rFonts w:eastAsia="Calibri" w:cs="Arial"/>
          <w:bCs/>
          <w:i/>
        </w:rPr>
        <w:t>This judgment was handed down electronically by circulation to the parties’ representatives via e-mail, by being uploaded to CaseLines and by release to SAFLII. The date and time for hand-down is deemed to be 10</w:t>
      </w:r>
      <w:r w:rsidR="00823CE3">
        <w:rPr>
          <w:rFonts w:eastAsia="Calibri" w:cs="Arial"/>
          <w:bCs/>
          <w:i/>
        </w:rPr>
        <w:t>:</w:t>
      </w:r>
      <w:r w:rsidRPr="001947E9">
        <w:rPr>
          <w:rFonts w:eastAsia="Calibri" w:cs="Arial"/>
          <w:bCs/>
          <w:i/>
        </w:rPr>
        <w:t xml:space="preserve">00 on </w:t>
      </w:r>
      <w:r w:rsidR="003E571F">
        <w:rPr>
          <w:rFonts w:eastAsia="Calibri" w:cs="Arial"/>
          <w:bCs/>
          <w:i/>
        </w:rPr>
        <w:t>26 April 2024.</w:t>
      </w:r>
    </w:p>
    <w:p w14:paraId="40169746" w14:textId="6DBE9B55" w:rsidR="00BE2FDA" w:rsidRPr="00BE2FDA" w:rsidRDefault="00BE2FDA" w:rsidP="00844E60">
      <w:pPr>
        <w:spacing w:after="0" w:line="240" w:lineRule="auto"/>
        <w:ind w:left="0"/>
        <w:jc w:val="left"/>
        <w:rPr>
          <w:lang w:val="en-US"/>
        </w:rPr>
      </w:pPr>
    </w:p>
    <w:p w14:paraId="797CF5B1" w14:textId="1102F2E2" w:rsidR="007B7F59" w:rsidRPr="007B7F59" w:rsidRDefault="00844E60" w:rsidP="00844E60">
      <w:pPr>
        <w:spacing w:after="0" w:line="240" w:lineRule="auto"/>
        <w:ind w:left="1440" w:hanging="1440"/>
        <w:jc w:val="left"/>
        <w:rPr>
          <w:rFonts w:cs="Arial"/>
          <w:b/>
          <w:szCs w:val="24"/>
        </w:rPr>
      </w:pPr>
      <w:r>
        <w:rPr>
          <w:rFonts w:cs="Arial"/>
          <w:b/>
          <w:szCs w:val="24"/>
        </w:rPr>
        <w:t>___________________________________________________________________</w:t>
      </w:r>
    </w:p>
    <w:p w14:paraId="54B99CC3" w14:textId="77777777" w:rsidR="00844E60" w:rsidRDefault="00844E60" w:rsidP="00844E60">
      <w:pPr>
        <w:spacing w:after="0" w:line="240" w:lineRule="auto"/>
        <w:ind w:left="0"/>
        <w:jc w:val="center"/>
        <w:rPr>
          <w:rFonts w:cs="Arial"/>
          <w:b/>
          <w:szCs w:val="24"/>
          <w:lang w:val="en-ZA"/>
        </w:rPr>
      </w:pPr>
    </w:p>
    <w:p w14:paraId="49EA7DB0" w14:textId="7BA65C63" w:rsidR="007B7F59" w:rsidRDefault="007B7F59" w:rsidP="00844E60">
      <w:pPr>
        <w:spacing w:before="120" w:after="0" w:line="240" w:lineRule="auto"/>
        <w:ind w:left="0"/>
        <w:jc w:val="center"/>
        <w:rPr>
          <w:rFonts w:cs="Arial"/>
          <w:b/>
          <w:szCs w:val="24"/>
          <w:lang w:val="en-ZA"/>
        </w:rPr>
      </w:pPr>
      <w:r w:rsidRPr="007B7F59">
        <w:rPr>
          <w:rFonts w:cs="Arial"/>
          <w:b/>
          <w:szCs w:val="24"/>
          <w:lang w:val="en-ZA"/>
        </w:rPr>
        <w:t>JUDGMENT</w:t>
      </w:r>
    </w:p>
    <w:p w14:paraId="38334637" w14:textId="77777777" w:rsidR="00844E60" w:rsidRPr="00844E60" w:rsidRDefault="00844E60" w:rsidP="00844E60">
      <w:pPr>
        <w:pStyle w:val="JudgmentNumbered"/>
        <w:numPr>
          <w:ilvl w:val="0"/>
          <w:numId w:val="0"/>
        </w:numPr>
        <w:spacing w:after="0" w:line="240" w:lineRule="auto"/>
        <w:ind w:left="567" w:hanging="567"/>
        <w:rPr>
          <w:lang w:val="en-ZA"/>
        </w:rPr>
      </w:pPr>
    </w:p>
    <w:p w14:paraId="6CD9CE85" w14:textId="77777777" w:rsidR="00844E60" w:rsidRPr="007B7F59" w:rsidRDefault="00844E60" w:rsidP="00844E60">
      <w:pPr>
        <w:spacing w:after="0" w:line="240" w:lineRule="auto"/>
        <w:ind w:left="1440" w:hanging="1440"/>
        <w:jc w:val="left"/>
        <w:rPr>
          <w:rFonts w:cs="Arial"/>
          <w:b/>
          <w:szCs w:val="24"/>
        </w:rPr>
      </w:pPr>
      <w:r>
        <w:rPr>
          <w:rFonts w:cs="Arial"/>
          <w:b/>
          <w:szCs w:val="24"/>
        </w:rPr>
        <w:t>___________________________________________________________________</w:t>
      </w:r>
    </w:p>
    <w:p w14:paraId="69F235B3" w14:textId="77777777" w:rsidR="00844E60" w:rsidRDefault="00844E60" w:rsidP="00844E60">
      <w:pPr>
        <w:spacing w:after="0" w:line="240" w:lineRule="auto"/>
        <w:ind w:left="0"/>
        <w:jc w:val="left"/>
        <w:rPr>
          <w:rFonts w:cs="Arial"/>
          <w:b/>
          <w:bCs/>
          <w:szCs w:val="24"/>
        </w:rPr>
      </w:pPr>
    </w:p>
    <w:p w14:paraId="5663E65F" w14:textId="0C02FEB6" w:rsidR="007E3224" w:rsidRPr="00A34F0A" w:rsidRDefault="0034305E" w:rsidP="00844E60">
      <w:pPr>
        <w:keepNext/>
        <w:spacing w:after="0" w:line="240" w:lineRule="auto"/>
        <w:ind w:left="0"/>
        <w:jc w:val="left"/>
        <w:rPr>
          <w:rFonts w:cs="Arial"/>
          <w:b/>
          <w:bCs/>
          <w:szCs w:val="24"/>
        </w:rPr>
      </w:pPr>
      <w:r>
        <w:rPr>
          <w:rFonts w:cs="Arial"/>
          <w:b/>
          <w:bCs/>
          <w:szCs w:val="24"/>
        </w:rPr>
        <w:lastRenderedPageBreak/>
        <w:t>M</w:t>
      </w:r>
      <w:r w:rsidR="006667DA">
        <w:rPr>
          <w:rFonts w:cs="Arial"/>
          <w:b/>
          <w:bCs/>
          <w:szCs w:val="24"/>
        </w:rPr>
        <w:t>EIRING</w:t>
      </w:r>
      <w:r w:rsidR="00642E81">
        <w:rPr>
          <w:rFonts w:cs="Arial"/>
          <w:b/>
          <w:bCs/>
          <w:szCs w:val="24"/>
        </w:rPr>
        <w:t>,</w:t>
      </w:r>
      <w:r w:rsidR="00C01821">
        <w:rPr>
          <w:rFonts w:cs="Arial"/>
          <w:b/>
          <w:bCs/>
          <w:szCs w:val="24"/>
        </w:rPr>
        <w:t xml:space="preserve"> </w:t>
      </w:r>
      <w:r w:rsidR="004767AA">
        <w:rPr>
          <w:rFonts w:cs="Arial"/>
          <w:b/>
          <w:bCs/>
          <w:szCs w:val="24"/>
        </w:rPr>
        <w:t>A</w:t>
      </w:r>
      <w:r w:rsidR="00C01821">
        <w:rPr>
          <w:rFonts w:cs="Arial"/>
          <w:b/>
          <w:bCs/>
          <w:szCs w:val="24"/>
        </w:rPr>
        <w:t>J</w:t>
      </w:r>
      <w:r w:rsidR="003660B3">
        <w:rPr>
          <w:rFonts w:cs="Arial"/>
          <w:b/>
          <w:bCs/>
          <w:szCs w:val="24"/>
        </w:rPr>
        <w:t>:</w:t>
      </w:r>
    </w:p>
    <w:p w14:paraId="5EE237CD" w14:textId="3F2FC482" w:rsidR="00C80925" w:rsidRPr="00073D81" w:rsidRDefault="00C80925" w:rsidP="00844E60">
      <w:pPr>
        <w:pStyle w:val="JudgmentNumbered"/>
        <w:keepNext/>
        <w:numPr>
          <w:ilvl w:val="0"/>
          <w:numId w:val="0"/>
        </w:numPr>
        <w:spacing w:line="240" w:lineRule="auto"/>
      </w:pPr>
    </w:p>
    <w:p w14:paraId="206CDA74" w14:textId="45173E07" w:rsidR="000D75DF" w:rsidRPr="001F6FE0" w:rsidRDefault="000D75DF" w:rsidP="00844E60">
      <w:pPr>
        <w:pStyle w:val="JudgmentNumbered"/>
        <w:keepNext/>
        <w:numPr>
          <w:ilvl w:val="0"/>
          <w:numId w:val="0"/>
        </w:numPr>
        <w:ind w:left="567" w:hanging="567"/>
        <w:rPr>
          <w:b/>
          <w:bCs/>
        </w:rPr>
      </w:pPr>
      <w:r w:rsidRPr="001F6FE0">
        <w:rPr>
          <w:b/>
          <w:bCs/>
        </w:rPr>
        <w:t>INTRODUCTION</w:t>
      </w:r>
    </w:p>
    <w:p w14:paraId="18CBC6C6" w14:textId="226232D9" w:rsidR="00300AC6" w:rsidRDefault="000C19AC" w:rsidP="000C19AC">
      <w:pPr>
        <w:pStyle w:val="JudgmentNumbered"/>
        <w:numPr>
          <w:ilvl w:val="0"/>
          <w:numId w:val="0"/>
        </w:numPr>
        <w:ind w:left="567" w:hanging="567"/>
        <w:rPr>
          <w:lang w:eastAsia="en-GB"/>
        </w:rPr>
      </w:pPr>
      <w:r>
        <w:rPr>
          <w:iCs/>
          <w:lang w:eastAsia="en-GB"/>
        </w:rPr>
        <w:t>[1]</w:t>
      </w:r>
      <w:r>
        <w:rPr>
          <w:iCs/>
          <w:lang w:eastAsia="en-GB"/>
        </w:rPr>
        <w:tab/>
      </w:r>
      <w:r w:rsidR="00823CE3">
        <w:rPr>
          <w:lang w:eastAsia="en-GB"/>
        </w:rPr>
        <w:t>The applicant First</w:t>
      </w:r>
      <w:r w:rsidR="00077EC4">
        <w:rPr>
          <w:lang w:eastAsia="en-GB"/>
        </w:rPr>
        <w:t>R</w:t>
      </w:r>
      <w:r w:rsidR="00823CE3">
        <w:rPr>
          <w:lang w:eastAsia="en-GB"/>
        </w:rPr>
        <w:t xml:space="preserve">and Bank Limited approaches this court for an order under section 344(f) read </w:t>
      </w:r>
      <w:r w:rsidR="002F37F7">
        <w:rPr>
          <w:lang w:eastAsia="en-GB"/>
        </w:rPr>
        <w:t xml:space="preserve">with </w:t>
      </w:r>
      <w:r w:rsidR="00AB4C37">
        <w:rPr>
          <w:lang w:eastAsia="en-GB"/>
        </w:rPr>
        <w:t>sections 345(1)(a)</w:t>
      </w:r>
      <w:r w:rsidR="00C275B5">
        <w:rPr>
          <w:lang w:eastAsia="en-GB"/>
        </w:rPr>
        <w:t>(i)</w:t>
      </w:r>
      <w:r w:rsidR="00AB4C37">
        <w:rPr>
          <w:lang w:eastAsia="en-GB"/>
        </w:rPr>
        <w:t xml:space="preserve"> or (c)</w:t>
      </w:r>
      <w:r w:rsidR="002F37F7">
        <w:rPr>
          <w:lang w:eastAsia="en-GB"/>
        </w:rPr>
        <w:t xml:space="preserve">, and with with section 346(1)(b), </w:t>
      </w:r>
      <w:r w:rsidR="00823CE3">
        <w:rPr>
          <w:lang w:eastAsia="en-GB"/>
        </w:rPr>
        <w:t>of the Companies Act, 1973, in turn read with item 9 of schedule 5 of the Companies Act, 2008, for the final winding up of the respondent, Smart</w:t>
      </w:r>
      <w:r w:rsidR="00077EC4">
        <w:rPr>
          <w:lang w:eastAsia="en-GB"/>
        </w:rPr>
        <w:t>P</w:t>
      </w:r>
      <w:r w:rsidR="00823CE3">
        <w:rPr>
          <w:lang w:eastAsia="en-GB"/>
        </w:rPr>
        <w:t>urse Solutions (Pty) Ltd.</w:t>
      </w:r>
    </w:p>
    <w:p w14:paraId="23CA3B88" w14:textId="1AC8BF5E" w:rsidR="00100361" w:rsidRDefault="000C19AC" w:rsidP="000C19AC">
      <w:pPr>
        <w:pStyle w:val="JudgmentNumbered"/>
        <w:numPr>
          <w:ilvl w:val="0"/>
          <w:numId w:val="0"/>
        </w:numPr>
        <w:ind w:left="567" w:hanging="567"/>
        <w:rPr>
          <w:lang w:eastAsia="en-GB"/>
        </w:rPr>
      </w:pPr>
      <w:r>
        <w:rPr>
          <w:iCs/>
          <w:lang w:eastAsia="en-GB"/>
        </w:rPr>
        <w:t>[2]</w:t>
      </w:r>
      <w:r>
        <w:rPr>
          <w:iCs/>
          <w:lang w:eastAsia="en-GB"/>
        </w:rPr>
        <w:tab/>
      </w:r>
      <w:r w:rsidR="00AB4C37">
        <w:rPr>
          <w:lang w:eastAsia="en-GB"/>
        </w:rPr>
        <w:t xml:space="preserve">In other words, the applicant says </w:t>
      </w:r>
      <w:r w:rsidR="00276765">
        <w:rPr>
          <w:lang w:eastAsia="en-GB"/>
        </w:rPr>
        <w:t xml:space="preserve">first </w:t>
      </w:r>
      <w:r w:rsidR="00AB4C37">
        <w:rPr>
          <w:lang w:eastAsia="en-GB"/>
        </w:rPr>
        <w:t xml:space="preserve">that the respondent has failed to comply with a letter of demand served </w:t>
      </w:r>
      <w:r w:rsidR="00C275B5">
        <w:rPr>
          <w:lang w:eastAsia="en-GB"/>
        </w:rPr>
        <w:t xml:space="preserve">on </w:t>
      </w:r>
      <w:r w:rsidR="003E571F">
        <w:rPr>
          <w:lang w:eastAsia="en-GB"/>
        </w:rPr>
        <w:t>it</w:t>
      </w:r>
      <w:r w:rsidR="00C275B5">
        <w:rPr>
          <w:lang w:eastAsia="en-GB"/>
        </w:rPr>
        <w:t xml:space="preserve"> </w:t>
      </w:r>
      <w:r w:rsidR="002F37F7">
        <w:rPr>
          <w:lang w:eastAsia="en-GB"/>
        </w:rPr>
        <w:t xml:space="preserve">under </w:t>
      </w:r>
      <w:r w:rsidR="00AB4C37">
        <w:rPr>
          <w:lang w:eastAsia="en-GB"/>
        </w:rPr>
        <w:t>section 345(1)(a)</w:t>
      </w:r>
      <w:r w:rsidR="00C275B5">
        <w:rPr>
          <w:lang w:eastAsia="en-GB"/>
        </w:rPr>
        <w:t>(i)</w:t>
      </w:r>
      <w:r w:rsidR="00AB4C37">
        <w:rPr>
          <w:lang w:eastAsia="en-GB"/>
        </w:rPr>
        <w:t xml:space="preserve">. </w:t>
      </w:r>
      <w:r w:rsidR="00C275B5">
        <w:rPr>
          <w:lang w:eastAsia="en-GB"/>
        </w:rPr>
        <w:t xml:space="preserve">Where </w:t>
      </w:r>
      <w:r w:rsidR="003E571F">
        <w:rPr>
          <w:lang w:eastAsia="en-GB"/>
        </w:rPr>
        <w:t>an</w:t>
      </w:r>
      <w:r w:rsidR="00C275B5">
        <w:rPr>
          <w:lang w:eastAsia="en-GB"/>
        </w:rPr>
        <w:t xml:space="preserve"> applicant brings itse</w:t>
      </w:r>
      <w:r w:rsidR="002F296F">
        <w:rPr>
          <w:lang w:eastAsia="en-GB"/>
        </w:rPr>
        <w:t>l</w:t>
      </w:r>
      <w:r w:rsidR="00C275B5">
        <w:rPr>
          <w:lang w:eastAsia="en-GB"/>
        </w:rPr>
        <w:t xml:space="preserve">f within </w:t>
      </w:r>
      <w:r w:rsidR="00CD5C55">
        <w:rPr>
          <w:lang w:eastAsia="en-GB"/>
        </w:rPr>
        <w:t xml:space="preserve">the </w:t>
      </w:r>
      <w:r w:rsidR="00C275B5">
        <w:rPr>
          <w:lang w:eastAsia="en-GB"/>
        </w:rPr>
        <w:t xml:space="preserve">purview </w:t>
      </w:r>
      <w:r w:rsidR="00CD5C55">
        <w:rPr>
          <w:lang w:eastAsia="en-GB"/>
        </w:rPr>
        <w:t>of section 345(1)(a)</w:t>
      </w:r>
      <w:r w:rsidR="00C275B5">
        <w:rPr>
          <w:lang w:eastAsia="en-GB"/>
        </w:rPr>
        <w:t>(i)</w:t>
      </w:r>
      <w:r w:rsidR="0099346F">
        <w:rPr>
          <w:lang w:eastAsia="en-GB"/>
        </w:rPr>
        <w:t>, t</w:t>
      </w:r>
      <w:r w:rsidR="00AB4C37">
        <w:rPr>
          <w:lang w:eastAsia="en-GB"/>
        </w:rPr>
        <w:t>his trigger</w:t>
      </w:r>
      <w:r w:rsidR="00CD5C55">
        <w:rPr>
          <w:lang w:eastAsia="en-GB"/>
        </w:rPr>
        <w:t>s</w:t>
      </w:r>
      <w:r w:rsidR="00AB4C37">
        <w:rPr>
          <w:lang w:eastAsia="en-GB"/>
        </w:rPr>
        <w:t xml:space="preserve"> the application of section 344(f).</w:t>
      </w:r>
      <w:r w:rsidR="00CD5C55">
        <w:rPr>
          <w:lang w:eastAsia="en-GB"/>
        </w:rPr>
        <w:t xml:space="preserve"> In other words, </w:t>
      </w:r>
      <w:r w:rsidR="002F37F7">
        <w:rPr>
          <w:lang w:eastAsia="en-GB"/>
        </w:rPr>
        <w:t xml:space="preserve">under section 344(f), </w:t>
      </w:r>
      <w:r w:rsidR="00CD5C55">
        <w:rPr>
          <w:lang w:eastAsia="en-GB"/>
        </w:rPr>
        <w:t>the</w:t>
      </w:r>
      <w:r w:rsidR="002F37F7">
        <w:rPr>
          <w:lang w:eastAsia="en-GB"/>
        </w:rPr>
        <w:t xml:space="preserve"> respondent may </w:t>
      </w:r>
      <w:r w:rsidR="00C275B5">
        <w:rPr>
          <w:lang w:eastAsia="en-GB"/>
        </w:rPr>
        <w:t xml:space="preserve">then </w:t>
      </w:r>
      <w:r w:rsidR="002F37F7">
        <w:rPr>
          <w:lang w:eastAsia="en-GB"/>
        </w:rPr>
        <w:t>be wound up.</w:t>
      </w:r>
    </w:p>
    <w:p w14:paraId="402CB266" w14:textId="00320A7B" w:rsidR="00AB4C37" w:rsidRDefault="000C19AC" w:rsidP="000C19AC">
      <w:pPr>
        <w:pStyle w:val="JudgmentNumbered"/>
        <w:numPr>
          <w:ilvl w:val="0"/>
          <w:numId w:val="0"/>
        </w:numPr>
        <w:ind w:left="567" w:hanging="567"/>
        <w:rPr>
          <w:lang w:eastAsia="en-GB"/>
        </w:rPr>
      </w:pPr>
      <w:r>
        <w:rPr>
          <w:iCs/>
          <w:lang w:eastAsia="en-GB"/>
        </w:rPr>
        <w:t>[3]</w:t>
      </w:r>
      <w:r>
        <w:rPr>
          <w:iCs/>
          <w:lang w:eastAsia="en-GB"/>
        </w:rPr>
        <w:tab/>
      </w:r>
      <w:r w:rsidR="00C275B5">
        <w:rPr>
          <w:lang w:eastAsia="en-GB"/>
        </w:rPr>
        <w:t>In the alternative, t</w:t>
      </w:r>
      <w:r w:rsidR="00FD1467">
        <w:rPr>
          <w:lang w:eastAsia="en-GB"/>
        </w:rPr>
        <w:t>he applicant</w:t>
      </w:r>
      <w:r w:rsidR="00AB4C37">
        <w:rPr>
          <w:lang w:eastAsia="en-GB"/>
        </w:rPr>
        <w:t xml:space="preserve"> says that, under section 345(1)(c), the respondent is </w:t>
      </w:r>
      <w:r w:rsidR="002F37F7">
        <w:rPr>
          <w:lang w:eastAsia="en-GB"/>
        </w:rPr>
        <w:t xml:space="preserve">actually </w:t>
      </w:r>
      <w:r w:rsidR="00AB4C37">
        <w:rPr>
          <w:lang w:eastAsia="en-GB"/>
        </w:rPr>
        <w:t xml:space="preserve">unable to pay its debts. </w:t>
      </w:r>
      <w:r w:rsidR="0099346F">
        <w:rPr>
          <w:lang w:eastAsia="en-GB"/>
        </w:rPr>
        <w:t xml:space="preserve">If </w:t>
      </w:r>
      <w:r w:rsidR="003E571F">
        <w:rPr>
          <w:lang w:eastAsia="en-GB"/>
        </w:rPr>
        <w:t>an</w:t>
      </w:r>
      <w:r w:rsidR="00CD5C55">
        <w:rPr>
          <w:lang w:eastAsia="en-GB"/>
        </w:rPr>
        <w:t xml:space="preserve"> applicant demonstrates th</w:t>
      </w:r>
      <w:r w:rsidR="00C275B5">
        <w:rPr>
          <w:lang w:eastAsia="en-GB"/>
        </w:rPr>
        <w:t>at</w:t>
      </w:r>
      <w:r w:rsidR="00CD5C55">
        <w:rPr>
          <w:lang w:eastAsia="en-GB"/>
        </w:rPr>
        <w:t xml:space="preserve"> inability, </w:t>
      </w:r>
      <w:r w:rsidR="0099346F">
        <w:rPr>
          <w:lang w:eastAsia="en-GB"/>
        </w:rPr>
        <w:t>this</w:t>
      </w:r>
      <w:r w:rsidR="00AB4C37">
        <w:rPr>
          <w:lang w:eastAsia="en-GB"/>
        </w:rPr>
        <w:t xml:space="preserve"> </w:t>
      </w:r>
      <w:r w:rsidR="00CD5C55">
        <w:rPr>
          <w:lang w:eastAsia="en-GB"/>
        </w:rPr>
        <w:t xml:space="preserve">also </w:t>
      </w:r>
      <w:r w:rsidR="00AB4C37">
        <w:rPr>
          <w:lang w:eastAsia="en-GB"/>
        </w:rPr>
        <w:t>trigger</w:t>
      </w:r>
      <w:r w:rsidR="00CD5C55">
        <w:rPr>
          <w:lang w:eastAsia="en-GB"/>
        </w:rPr>
        <w:t>s</w:t>
      </w:r>
      <w:r w:rsidR="00AB4C37">
        <w:rPr>
          <w:lang w:eastAsia="en-GB"/>
        </w:rPr>
        <w:t xml:space="preserve"> </w:t>
      </w:r>
      <w:r w:rsidR="00100361">
        <w:rPr>
          <w:lang w:eastAsia="en-GB"/>
        </w:rPr>
        <w:t xml:space="preserve">the application of </w:t>
      </w:r>
      <w:r w:rsidR="00AB4C37">
        <w:rPr>
          <w:lang w:eastAsia="en-GB"/>
        </w:rPr>
        <w:t>section 344(f)</w:t>
      </w:r>
      <w:r w:rsidR="00C275B5">
        <w:rPr>
          <w:lang w:eastAsia="en-GB"/>
        </w:rPr>
        <w:t>.</w:t>
      </w:r>
      <w:r w:rsidR="002F37F7">
        <w:rPr>
          <w:lang w:eastAsia="en-GB"/>
        </w:rPr>
        <w:t xml:space="preserve"> </w:t>
      </w:r>
      <w:r w:rsidR="00C275B5">
        <w:rPr>
          <w:lang w:eastAsia="en-GB"/>
        </w:rPr>
        <w:t xml:space="preserve">Then, under section 344(f), </w:t>
      </w:r>
      <w:r w:rsidR="002F37F7">
        <w:rPr>
          <w:lang w:eastAsia="en-GB"/>
        </w:rPr>
        <w:t>the respondent may be wound up</w:t>
      </w:r>
      <w:r w:rsidR="00FF37B7">
        <w:rPr>
          <w:lang w:eastAsia="en-GB"/>
        </w:rPr>
        <w:t xml:space="preserve"> on this ground, too</w:t>
      </w:r>
      <w:r w:rsidR="002F37F7">
        <w:rPr>
          <w:lang w:eastAsia="en-GB"/>
        </w:rPr>
        <w:t>.</w:t>
      </w:r>
    </w:p>
    <w:p w14:paraId="3CF5C993" w14:textId="2E369D01" w:rsidR="002F37F7" w:rsidRDefault="000C19AC" w:rsidP="000C19AC">
      <w:pPr>
        <w:pStyle w:val="JudgmentNumbered"/>
        <w:numPr>
          <w:ilvl w:val="0"/>
          <w:numId w:val="0"/>
        </w:numPr>
        <w:ind w:left="567" w:hanging="567"/>
        <w:rPr>
          <w:lang w:eastAsia="en-GB"/>
        </w:rPr>
      </w:pPr>
      <w:r>
        <w:rPr>
          <w:iCs/>
          <w:lang w:eastAsia="en-GB"/>
        </w:rPr>
        <w:t>[4]</w:t>
      </w:r>
      <w:r>
        <w:rPr>
          <w:iCs/>
          <w:lang w:eastAsia="en-GB"/>
        </w:rPr>
        <w:tab/>
      </w:r>
      <w:r w:rsidR="005A1E47">
        <w:rPr>
          <w:lang w:eastAsia="en-GB"/>
        </w:rPr>
        <w:t>Under a loan agreement concluded between the parties in 2017, the applicant advanced money to the respondent.</w:t>
      </w:r>
      <w:r w:rsidR="00AB4C37">
        <w:rPr>
          <w:lang w:eastAsia="en-GB"/>
        </w:rPr>
        <w:t xml:space="preserve"> </w:t>
      </w:r>
      <w:r w:rsidR="002F296F">
        <w:rPr>
          <w:lang w:eastAsia="en-GB"/>
        </w:rPr>
        <w:t xml:space="preserve">As appears from the facts recounted below, the </w:t>
      </w:r>
      <w:r w:rsidR="00AB4C37">
        <w:rPr>
          <w:lang w:eastAsia="en-GB"/>
        </w:rPr>
        <w:t>respondent ran into difficulties</w:t>
      </w:r>
      <w:r w:rsidR="00100361">
        <w:rPr>
          <w:lang w:eastAsia="en-GB"/>
        </w:rPr>
        <w:t xml:space="preserve"> repaying </w:t>
      </w:r>
      <w:r w:rsidR="00C275B5">
        <w:rPr>
          <w:lang w:eastAsia="en-GB"/>
        </w:rPr>
        <w:t>that loan</w:t>
      </w:r>
      <w:r w:rsidR="00AB4C37">
        <w:rPr>
          <w:lang w:eastAsia="en-GB"/>
        </w:rPr>
        <w:t>.</w:t>
      </w:r>
    </w:p>
    <w:p w14:paraId="5A8FA8F4" w14:textId="59019ED1" w:rsidR="005A1E47" w:rsidRDefault="000C19AC" w:rsidP="000C19AC">
      <w:pPr>
        <w:pStyle w:val="JudgmentNumbered"/>
        <w:numPr>
          <w:ilvl w:val="0"/>
          <w:numId w:val="0"/>
        </w:numPr>
        <w:ind w:left="567" w:hanging="567"/>
        <w:rPr>
          <w:lang w:eastAsia="en-GB"/>
        </w:rPr>
      </w:pPr>
      <w:r>
        <w:rPr>
          <w:iCs/>
          <w:lang w:eastAsia="en-GB"/>
        </w:rPr>
        <w:t>[5]</w:t>
      </w:r>
      <w:r>
        <w:rPr>
          <w:iCs/>
          <w:lang w:eastAsia="en-GB"/>
        </w:rPr>
        <w:tab/>
      </w:r>
      <w:r w:rsidR="002F37F7">
        <w:rPr>
          <w:lang w:eastAsia="en-GB"/>
        </w:rPr>
        <w:t>T</w:t>
      </w:r>
      <w:r w:rsidR="007D451D">
        <w:rPr>
          <w:lang w:eastAsia="en-GB"/>
        </w:rPr>
        <w:t xml:space="preserve">he </w:t>
      </w:r>
      <w:r w:rsidR="005A1E47">
        <w:rPr>
          <w:lang w:eastAsia="en-GB"/>
        </w:rPr>
        <w:t xml:space="preserve">respondent </w:t>
      </w:r>
      <w:r w:rsidR="00C275B5">
        <w:rPr>
          <w:lang w:eastAsia="en-GB"/>
        </w:rPr>
        <w:t xml:space="preserve">raises </w:t>
      </w:r>
      <w:r w:rsidR="005A1E47">
        <w:rPr>
          <w:lang w:eastAsia="en-GB"/>
        </w:rPr>
        <w:t xml:space="preserve">four </w:t>
      </w:r>
      <w:r w:rsidR="00365643">
        <w:rPr>
          <w:lang w:eastAsia="en-GB"/>
        </w:rPr>
        <w:t xml:space="preserve">defences. It says that, on one or more of the </w:t>
      </w:r>
      <w:r w:rsidR="002F37F7">
        <w:rPr>
          <w:lang w:eastAsia="en-GB"/>
        </w:rPr>
        <w:t>defences</w:t>
      </w:r>
      <w:r w:rsidR="00365643">
        <w:rPr>
          <w:lang w:eastAsia="en-GB"/>
        </w:rPr>
        <w:t xml:space="preserve">, the </w:t>
      </w:r>
      <w:r w:rsidR="002F37F7">
        <w:rPr>
          <w:lang w:eastAsia="en-GB"/>
        </w:rPr>
        <w:t xml:space="preserve">application for its final winding up ought to </w:t>
      </w:r>
      <w:r w:rsidR="005A1E47">
        <w:rPr>
          <w:lang w:eastAsia="en-GB"/>
        </w:rPr>
        <w:t xml:space="preserve">be denied. First, it </w:t>
      </w:r>
      <w:r w:rsidR="004809BE">
        <w:rPr>
          <w:lang w:eastAsia="en-GB"/>
        </w:rPr>
        <w:t>contends that, since the loan agreement contains “</w:t>
      </w:r>
      <w:r w:rsidR="004809BE" w:rsidRPr="004809BE">
        <w:rPr>
          <w:i/>
          <w:iCs/>
          <w:lang w:eastAsia="en-GB"/>
        </w:rPr>
        <w:t>built-in remedies</w:t>
      </w:r>
      <w:r w:rsidR="004809BE">
        <w:rPr>
          <w:lang w:eastAsia="en-GB"/>
        </w:rPr>
        <w:t xml:space="preserve">” that serve to enforce and protect the applicant’s rights in the loan agreement, </w:t>
      </w:r>
      <w:r w:rsidR="005A1E47">
        <w:rPr>
          <w:lang w:eastAsia="en-GB"/>
        </w:rPr>
        <w:t xml:space="preserve">this application is an abuse of process. Second, it </w:t>
      </w:r>
      <w:r w:rsidR="004809BE">
        <w:rPr>
          <w:lang w:eastAsia="en-GB"/>
        </w:rPr>
        <w:t xml:space="preserve">argues </w:t>
      </w:r>
      <w:r w:rsidR="005A1E47">
        <w:rPr>
          <w:lang w:eastAsia="en-GB"/>
        </w:rPr>
        <w:t xml:space="preserve">that the </w:t>
      </w:r>
      <w:r w:rsidR="004809BE">
        <w:rPr>
          <w:lang w:eastAsia="en-GB"/>
        </w:rPr>
        <w:t xml:space="preserve">application is premature since the </w:t>
      </w:r>
      <w:r w:rsidR="005A1E47">
        <w:rPr>
          <w:lang w:eastAsia="en-GB"/>
        </w:rPr>
        <w:t xml:space="preserve">applicant failed to comply with the remedial plan </w:t>
      </w:r>
      <w:r w:rsidR="00AB4C37">
        <w:rPr>
          <w:lang w:eastAsia="en-GB"/>
        </w:rPr>
        <w:t>provided for</w:t>
      </w:r>
      <w:r w:rsidR="005A1E47">
        <w:rPr>
          <w:lang w:eastAsia="en-GB"/>
        </w:rPr>
        <w:t xml:space="preserve"> in </w:t>
      </w:r>
      <w:r w:rsidR="004809BE">
        <w:rPr>
          <w:lang w:eastAsia="en-GB"/>
        </w:rPr>
        <w:t>clause 14.2.7.1</w:t>
      </w:r>
      <w:r w:rsidR="002F296F">
        <w:rPr>
          <w:lang w:eastAsia="en-GB"/>
        </w:rPr>
        <w:t xml:space="preserve"> in appendix 1 to</w:t>
      </w:r>
      <w:r w:rsidR="004809BE">
        <w:rPr>
          <w:lang w:eastAsia="en-GB"/>
        </w:rPr>
        <w:t xml:space="preserve"> </w:t>
      </w:r>
      <w:r w:rsidR="005A1E47">
        <w:rPr>
          <w:lang w:eastAsia="en-GB"/>
        </w:rPr>
        <w:t xml:space="preserve">the loan agreement. Third, </w:t>
      </w:r>
      <w:r w:rsidR="00AB4C37">
        <w:rPr>
          <w:lang w:eastAsia="en-GB"/>
        </w:rPr>
        <w:t>the respondent</w:t>
      </w:r>
      <w:r w:rsidR="005A1E47">
        <w:rPr>
          <w:lang w:eastAsia="en-GB"/>
        </w:rPr>
        <w:t xml:space="preserve"> argues that</w:t>
      </w:r>
      <w:r w:rsidR="002F37F7">
        <w:rPr>
          <w:lang w:eastAsia="en-GB"/>
        </w:rPr>
        <w:t>,</w:t>
      </w:r>
      <w:r w:rsidR="005A1E47">
        <w:rPr>
          <w:lang w:eastAsia="en-GB"/>
        </w:rPr>
        <w:t xml:space="preserve"> </w:t>
      </w:r>
      <w:r w:rsidR="002F37F7">
        <w:rPr>
          <w:lang w:eastAsia="en-GB"/>
        </w:rPr>
        <w:t xml:space="preserve">since </w:t>
      </w:r>
      <w:r w:rsidR="004809BE">
        <w:rPr>
          <w:lang w:eastAsia="en-GB"/>
        </w:rPr>
        <w:t xml:space="preserve">neither </w:t>
      </w:r>
      <w:r w:rsidR="005A1E47">
        <w:rPr>
          <w:lang w:eastAsia="en-GB"/>
        </w:rPr>
        <w:t xml:space="preserve">the applicant’s letter of demand </w:t>
      </w:r>
      <w:r w:rsidR="00AB4C37">
        <w:rPr>
          <w:lang w:eastAsia="en-GB"/>
        </w:rPr>
        <w:t>under section 345(1)(</w:t>
      </w:r>
      <w:r w:rsidR="007D451D">
        <w:rPr>
          <w:lang w:eastAsia="en-GB"/>
        </w:rPr>
        <w:t>a</w:t>
      </w:r>
      <w:r w:rsidR="00AB4C37">
        <w:rPr>
          <w:lang w:eastAsia="en-GB"/>
        </w:rPr>
        <w:t>)</w:t>
      </w:r>
      <w:r w:rsidR="002F296F">
        <w:rPr>
          <w:lang w:eastAsia="en-GB"/>
        </w:rPr>
        <w:t>(i)</w:t>
      </w:r>
      <w:r w:rsidR="004809BE">
        <w:rPr>
          <w:lang w:eastAsia="en-GB"/>
        </w:rPr>
        <w:t>, nor this application</w:t>
      </w:r>
      <w:r w:rsidR="00AB4C37">
        <w:rPr>
          <w:lang w:eastAsia="en-GB"/>
        </w:rPr>
        <w:t xml:space="preserve"> </w:t>
      </w:r>
      <w:r w:rsidR="002F37F7">
        <w:rPr>
          <w:lang w:eastAsia="en-GB"/>
        </w:rPr>
        <w:t xml:space="preserve">was </w:t>
      </w:r>
      <w:r w:rsidR="005A1E47">
        <w:rPr>
          <w:lang w:eastAsia="en-GB"/>
        </w:rPr>
        <w:t xml:space="preserve">served on </w:t>
      </w:r>
      <w:r w:rsidR="00AB4C37">
        <w:rPr>
          <w:lang w:eastAsia="en-GB"/>
        </w:rPr>
        <w:t xml:space="preserve">its </w:t>
      </w:r>
      <w:r w:rsidR="005A1E47" w:rsidRPr="005A1E47">
        <w:rPr>
          <w:i/>
          <w:iCs/>
          <w:lang w:eastAsia="en-GB"/>
        </w:rPr>
        <w:t>domicilium</w:t>
      </w:r>
      <w:r w:rsidR="005A1E47">
        <w:rPr>
          <w:lang w:eastAsia="en-GB"/>
        </w:rPr>
        <w:t xml:space="preserve"> address</w:t>
      </w:r>
      <w:r w:rsidR="002F37F7">
        <w:rPr>
          <w:lang w:eastAsia="en-GB"/>
        </w:rPr>
        <w:t>,</w:t>
      </w:r>
      <w:r w:rsidR="005A1E47">
        <w:rPr>
          <w:lang w:eastAsia="en-GB"/>
        </w:rPr>
        <w:t xml:space="preserve"> </w:t>
      </w:r>
      <w:r w:rsidR="004809BE">
        <w:rPr>
          <w:lang w:eastAsia="en-GB"/>
        </w:rPr>
        <w:t xml:space="preserve">as required by clause 20.1.2 </w:t>
      </w:r>
      <w:r w:rsidR="00FF37B7">
        <w:rPr>
          <w:lang w:eastAsia="en-GB"/>
        </w:rPr>
        <w:t>in</w:t>
      </w:r>
      <w:r w:rsidR="004809BE">
        <w:rPr>
          <w:lang w:eastAsia="en-GB"/>
        </w:rPr>
        <w:t xml:space="preserve"> </w:t>
      </w:r>
      <w:r w:rsidR="002F296F">
        <w:rPr>
          <w:lang w:eastAsia="en-GB"/>
        </w:rPr>
        <w:t xml:space="preserve">appendix 1 to the </w:t>
      </w:r>
      <w:r w:rsidR="004809BE">
        <w:rPr>
          <w:lang w:eastAsia="en-GB"/>
        </w:rPr>
        <w:t xml:space="preserve">loan agreement, </w:t>
      </w:r>
      <w:r w:rsidR="002F37F7">
        <w:rPr>
          <w:lang w:eastAsia="en-GB"/>
        </w:rPr>
        <w:t>th</w:t>
      </w:r>
      <w:r w:rsidR="004809BE">
        <w:rPr>
          <w:lang w:eastAsia="en-GB"/>
        </w:rPr>
        <w:t>ose</w:t>
      </w:r>
      <w:r w:rsidR="002F37F7">
        <w:rPr>
          <w:lang w:eastAsia="en-GB"/>
        </w:rPr>
        <w:t xml:space="preserve"> w</w:t>
      </w:r>
      <w:r w:rsidR="004809BE">
        <w:rPr>
          <w:lang w:eastAsia="en-GB"/>
        </w:rPr>
        <w:t>ere</w:t>
      </w:r>
      <w:r w:rsidR="002F37F7">
        <w:rPr>
          <w:lang w:eastAsia="en-GB"/>
        </w:rPr>
        <w:t xml:space="preserve"> </w:t>
      </w:r>
      <w:r w:rsidR="005A1E47">
        <w:rPr>
          <w:lang w:eastAsia="en-GB"/>
        </w:rPr>
        <w:lastRenderedPageBreak/>
        <w:t>irregular step</w:t>
      </w:r>
      <w:r w:rsidR="004809BE">
        <w:rPr>
          <w:lang w:eastAsia="en-GB"/>
        </w:rPr>
        <w:t>s</w:t>
      </w:r>
      <w:r w:rsidR="005A1E47">
        <w:rPr>
          <w:lang w:eastAsia="en-GB"/>
        </w:rPr>
        <w:t xml:space="preserve">. Fourth, the respondent </w:t>
      </w:r>
      <w:r w:rsidR="002F37F7">
        <w:rPr>
          <w:lang w:eastAsia="en-GB"/>
        </w:rPr>
        <w:t xml:space="preserve">contends </w:t>
      </w:r>
      <w:r w:rsidR="005A1E47">
        <w:rPr>
          <w:lang w:eastAsia="en-GB"/>
        </w:rPr>
        <w:t xml:space="preserve">that the applicant approaches this court with </w:t>
      </w:r>
      <w:r w:rsidR="00077EC4">
        <w:rPr>
          <w:lang w:eastAsia="en-GB"/>
        </w:rPr>
        <w:t>unclean</w:t>
      </w:r>
      <w:r w:rsidR="005A1E47">
        <w:rPr>
          <w:lang w:eastAsia="en-GB"/>
        </w:rPr>
        <w:t xml:space="preserve"> hands.</w:t>
      </w:r>
    </w:p>
    <w:p w14:paraId="35FC7713" w14:textId="505886C8" w:rsidR="0021125E" w:rsidRPr="0021125E" w:rsidRDefault="0021125E" w:rsidP="00844E60">
      <w:pPr>
        <w:pStyle w:val="JudgmentNumbered"/>
        <w:keepNext/>
        <w:numPr>
          <w:ilvl w:val="0"/>
          <w:numId w:val="0"/>
        </w:numPr>
        <w:rPr>
          <w:b/>
          <w:bCs/>
          <w:lang w:eastAsia="en-GB"/>
        </w:rPr>
      </w:pPr>
      <w:r w:rsidRPr="0021125E">
        <w:rPr>
          <w:b/>
          <w:bCs/>
          <w:lang w:eastAsia="en-GB"/>
        </w:rPr>
        <w:t>CONDONATION</w:t>
      </w:r>
    </w:p>
    <w:p w14:paraId="353736E8" w14:textId="5A751709" w:rsidR="003E0FBC" w:rsidRDefault="000C19AC" w:rsidP="000C19AC">
      <w:pPr>
        <w:pStyle w:val="JudgmentNumbered"/>
        <w:numPr>
          <w:ilvl w:val="0"/>
          <w:numId w:val="0"/>
        </w:numPr>
        <w:ind w:left="567" w:hanging="567"/>
        <w:rPr>
          <w:lang w:eastAsia="en-GB"/>
        </w:rPr>
      </w:pPr>
      <w:r>
        <w:rPr>
          <w:iCs/>
          <w:lang w:eastAsia="en-GB"/>
        </w:rPr>
        <w:t>[6]</w:t>
      </w:r>
      <w:r>
        <w:rPr>
          <w:iCs/>
          <w:lang w:eastAsia="en-GB"/>
        </w:rPr>
        <w:tab/>
      </w:r>
      <w:r w:rsidR="0021125E">
        <w:rPr>
          <w:lang w:eastAsia="en-GB"/>
        </w:rPr>
        <w:t>Th</w:t>
      </w:r>
      <w:r w:rsidR="003E0FBC">
        <w:rPr>
          <w:lang w:eastAsia="en-GB"/>
        </w:rPr>
        <w:t xml:space="preserve">is application was brought on 20 October 2022. The answering affidavit was due within fifteen days after the respondent had </w:t>
      </w:r>
      <w:r w:rsidR="00077EC4">
        <w:rPr>
          <w:lang w:eastAsia="en-GB"/>
        </w:rPr>
        <w:t>given notice of</w:t>
      </w:r>
      <w:r w:rsidR="003E0FBC">
        <w:rPr>
          <w:lang w:eastAsia="en-GB"/>
        </w:rPr>
        <w:t xml:space="preserve"> its intention to </w:t>
      </w:r>
      <w:r w:rsidR="00077EC4">
        <w:rPr>
          <w:lang w:eastAsia="en-GB"/>
        </w:rPr>
        <w:t>oppose</w:t>
      </w:r>
      <w:r w:rsidR="003E0FBC">
        <w:rPr>
          <w:lang w:eastAsia="en-GB"/>
        </w:rPr>
        <w:t>. The answering affidavit was delivered only on 10 February 2023.</w:t>
      </w:r>
    </w:p>
    <w:p w14:paraId="75D08052" w14:textId="44ED30C7" w:rsidR="003E0FBC" w:rsidRDefault="000C19AC" w:rsidP="000C19AC">
      <w:pPr>
        <w:pStyle w:val="JudgmentNumbered"/>
        <w:numPr>
          <w:ilvl w:val="0"/>
          <w:numId w:val="0"/>
        </w:numPr>
        <w:ind w:left="567" w:hanging="567"/>
        <w:rPr>
          <w:lang w:eastAsia="en-GB"/>
        </w:rPr>
      </w:pPr>
      <w:r>
        <w:rPr>
          <w:iCs/>
          <w:lang w:eastAsia="en-GB"/>
        </w:rPr>
        <w:t>[7]</w:t>
      </w:r>
      <w:r>
        <w:rPr>
          <w:iCs/>
          <w:lang w:eastAsia="en-GB"/>
        </w:rPr>
        <w:tab/>
      </w:r>
      <w:r w:rsidR="003E0FBC">
        <w:rPr>
          <w:lang w:eastAsia="en-GB"/>
        </w:rPr>
        <w:t xml:space="preserve">The </w:t>
      </w:r>
      <w:r w:rsidR="0021125E">
        <w:rPr>
          <w:lang w:eastAsia="en-GB"/>
        </w:rPr>
        <w:t>respondent seeks condonation for its late delivery of its answering affidavit.</w:t>
      </w:r>
      <w:r w:rsidR="003E0FBC">
        <w:rPr>
          <w:lang w:eastAsia="en-GB"/>
        </w:rPr>
        <w:t xml:space="preserve"> It explains that, under rule 35, it had sought a clearer copy of the loan agreement. In December 2022, Mr Ndobe, representing the respondent, had also experienced difficulties accessing his e-mail messages because of damage to his laptop computer. The respondent avers that the lateness of the delivery of the answering affidavit has not caused any prejudice.</w:t>
      </w:r>
      <w:r w:rsidR="007D451D">
        <w:rPr>
          <w:lang w:eastAsia="en-GB"/>
        </w:rPr>
        <w:t xml:space="preserve"> </w:t>
      </w:r>
      <w:r w:rsidR="0021125E">
        <w:rPr>
          <w:lang w:eastAsia="en-GB"/>
        </w:rPr>
        <w:t>The applicant does not oppose th</w:t>
      </w:r>
      <w:r w:rsidR="003E0FBC">
        <w:rPr>
          <w:lang w:eastAsia="en-GB"/>
        </w:rPr>
        <w:t>e</w:t>
      </w:r>
      <w:r w:rsidR="0021125E">
        <w:rPr>
          <w:lang w:eastAsia="en-GB"/>
        </w:rPr>
        <w:t xml:space="preserve"> </w:t>
      </w:r>
      <w:r w:rsidR="003E0FBC">
        <w:rPr>
          <w:lang w:eastAsia="en-GB"/>
        </w:rPr>
        <w:t>condonation sought.</w:t>
      </w:r>
    </w:p>
    <w:p w14:paraId="10B11561" w14:textId="763E0906" w:rsidR="00A54F0F" w:rsidRDefault="000C19AC" w:rsidP="000C19AC">
      <w:pPr>
        <w:pStyle w:val="JudgmentNumbered"/>
        <w:numPr>
          <w:ilvl w:val="0"/>
          <w:numId w:val="0"/>
        </w:numPr>
        <w:ind w:left="567" w:hanging="567"/>
        <w:rPr>
          <w:lang w:eastAsia="en-GB"/>
        </w:rPr>
      </w:pPr>
      <w:r>
        <w:rPr>
          <w:iCs/>
          <w:lang w:eastAsia="en-GB"/>
        </w:rPr>
        <w:t>[8]</w:t>
      </w:r>
      <w:r>
        <w:rPr>
          <w:iCs/>
          <w:lang w:eastAsia="en-GB"/>
        </w:rPr>
        <w:tab/>
      </w:r>
      <w:r w:rsidR="008A629F">
        <w:rPr>
          <w:lang w:eastAsia="en-GB"/>
        </w:rPr>
        <w:t xml:space="preserve">In my view, </w:t>
      </w:r>
      <w:r w:rsidR="007D451D">
        <w:rPr>
          <w:lang w:eastAsia="en-GB"/>
        </w:rPr>
        <w:t xml:space="preserve">in these circumstances, </w:t>
      </w:r>
      <w:r w:rsidR="008A629F">
        <w:rPr>
          <w:lang w:eastAsia="en-GB"/>
        </w:rPr>
        <w:t xml:space="preserve">good cause has been </w:t>
      </w:r>
      <w:r w:rsidR="00077EC4">
        <w:rPr>
          <w:lang w:eastAsia="en-GB"/>
        </w:rPr>
        <w:t xml:space="preserve">demonstrated </w:t>
      </w:r>
      <w:r w:rsidR="008A629F">
        <w:rPr>
          <w:lang w:eastAsia="en-GB"/>
        </w:rPr>
        <w:t>for the condonation sought. What is more, it is in the interests of justice that condonation be granted.</w:t>
      </w:r>
      <w:r w:rsidR="00A54F0F" w:rsidRPr="00677A8F">
        <w:rPr>
          <w:rStyle w:val="EndnoteReference"/>
        </w:rPr>
        <w:endnoteReference w:id="1"/>
      </w:r>
      <w:r w:rsidR="00A54F0F">
        <w:rPr>
          <w:lang w:eastAsia="en-GB"/>
        </w:rPr>
        <w:t xml:space="preserve"> Accordingly, the late delivery of the answering affidavit is condoned.</w:t>
      </w:r>
    </w:p>
    <w:p w14:paraId="051622C3" w14:textId="77777777" w:rsidR="003C0F87" w:rsidRPr="001F355F" w:rsidRDefault="003C0F87" w:rsidP="003C0F87">
      <w:pPr>
        <w:pStyle w:val="JudgmentNumbered"/>
        <w:keepNext/>
        <w:numPr>
          <w:ilvl w:val="0"/>
          <w:numId w:val="0"/>
        </w:numPr>
        <w:rPr>
          <w:b/>
          <w:bCs/>
          <w:lang w:eastAsia="en-GB"/>
        </w:rPr>
      </w:pPr>
      <w:r w:rsidRPr="001F355F">
        <w:rPr>
          <w:b/>
          <w:bCs/>
          <w:lang w:eastAsia="en-GB"/>
        </w:rPr>
        <w:t>FACTS</w:t>
      </w:r>
    </w:p>
    <w:p w14:paraId="3D403EC0" w14:textId="1AE3DE03" w:rsidR="003C0F87" w:rsidRPr="001F355F" w:rsidRDefault="003C0F87" w:rsidP="003C0F87">
      <w:pPr>
        <w:pStyle w:val="JudgmentNumbered"/>
        <w:keepNext/>
        <w:numPr>
          <w:ilvl w:val="0"/>
          <w:numId w:val="0"/>
        </w:numPr>
        <w:rPr>
          <w:b/>
          <w:bCs/>
          <w:lang w:eastAsia="en-GB"/>
        </w:rPr>
      </w:pPr>
      <w:r w:rsidRPr="001F355F">
        <w:rPr>
          <w:b/>
          <w:bCs/>
          <w:lang w:eastAsia="en-GB"/>
        </w:rPr>
        <w:t xml:space="preserve">The loan agreement </w:t>
      </w:r>
      <w:r>
        <w:rPr>
          <w:b/>
          <w:bCs/>
          <w:lang w:eastAsia="en-GB"/>
        </w:rPr>
        <w:t xml:space="preserve">of 12 </w:t>
      </w:r>
      <w:r w:rsidRPr="001F355F">
        <w:rPr>
          <w:b/>
          <w:bCs/>
          <w:lang w:eastAsia="en-GB"/>
        </w:rPr>
        <w:t>April 2017</w:t>
      </w:r>
    </w:p>
    <w:p w14:paraId="64B41028" w14:textId="7E7C00F7" w:rsidR="003C0F87" w:rsidRPr="001F355F" w:rsidRDefault="000C19AC" w:rsidP="000C19AC">
      <w:pPr>
        <w:pStyle w:val="JudgmentNumbered"/>
        <w:numPr>
          <w:ilvl w:val="0"/>
          <w:numId w:val="0"/>
        </w:numPr>
        <w:ind w:left="567" w:hanging="567"/>
        <w:rPr>
          <w:lang w:eastAsia="en-GB"/>
        </w:rPr>
      </w:pPr>
      <w:r w:rsidRPr="001F355F">
        <w:rPr>
          <w:iCs/>
          <w:lang w:eastAsia="en-GB"/>
        </w:rPr>
        <w:t>[9]</w:t>
      </w:r>
      <w:r w:rsidRPr="001F355F">
        <w:rPr>
          <w:iCs/>
          <w:lang w:eastAsia="en-GB"/>
        </w:rPr>
        <w:tab/>
      </w:r>
      <w:r w:rsidR="003C0F87" w:rsidRPr="001F355F">
        <w:rPr>
          <w:lang w:eastAsia="en-GB"/>
        </w:rPr>
        <w:t xml:space="preserve">On 12 April 2017, in Sandton, the applicant and </w:t>
      </w:r>
      <w:r w:rsidR="00297A6B">
        <w:rPr>
          <w:lang w:eastAsia="en-GB"/>
        </w:rPr>
        <w:t>the respondent</w:t>
      </w:r>
      <w:r w:rsidR="003C0F87" w:rsidRPr="001F355F">
        <w:rPr>
          <w:lang w:eastAsia="en-GB"/>
        </w:rPr>
        <w:t xml:space="preserve"> concluded a written loan agreement</w:t>
      </w:r>
      <w:r w:rsidR="003C0F87">
        <w:rPr>
          <w:lang w:eastAsia="en-GB"/>
        </w:rPr>
        <w:t>,</w:t>
      </w:r>
      <w:r w:rsidR="003C0F87" w:rsidRPr="001F355F">
        <w:rPr>
          <w:lang w:eastAsia="en-GB"/>
        </w:rPr>
        <w:t xml:space="preserve"> comprised of a loan schedule and appendix 1, </w:t>
      </w:r>
      <w:r w:rsidR="003C0F87">
        <w:rPr>
          <w:lang w:eastAsia="en-GB"/>
        </w:rPr>
        <w:t xml:space="preserve">namely </w:t>
      </w:r>
      <w:r w:rsidR="003C0F87" w:rsidRPr="001F355F">
        <w:rPr>
          <w:lang w:eastAsia="en-GB"/>
        </w:rPr>
        <w:t>the applicant’s standard terms and conditions.</w:t>
      </w:r>
    </w:p>
    <w:p w14:paraId="6ADCC883" w14:textId="052884D1" w:rsidR="003C0F87" w:rsidRPr="001F355F" w:rsidRDefault="000C19AC" w:rsidP="000C19AC">
      <w:pPr>
        <w:pStyle w:val="JudgmentNumbered"/>
        <w:numPr>
          <w:ilvl w:val="0"/>
          <w:numId w:val="0"/>
        </w:numPr>
        <w:ind w:left="567" w:hanging="567"/>
        <w:rPr>
          <w:lang w:eastAsia="en-GB"/>
        </w:rPr>
      </w:pPr>
      <w:r w:rsidRPr="001F355F">
        <w:rPr>
          <w:iCs/>
          <w:lang w:eastAsia="en-GB"/>
        </w:rPr>
        <w:t>[10]</w:t>
      </w:r>
      <w:r w:rsidRPr="001F355F">
        <w:rPr>
          <w:iCs/>
          <w:lang w:eastAsia="en-GB"/>
        </w:rPr>
        <w:tab/>
      </w:r>
      <w:r w:rsidR="003C0F87" w:rsidRPr="001F355F">
        <w:rPr>
          <w:lang w:eastAsia="en-GB"/>
        </w:rPr>
        <w:t xml:space="preserve">Under that agreement, the applicant would advance </w:t>
      </w:r>
      <w:r w:rsidR="003C0F87">
        <w:rPr>
          <w:lang w:eastAsia="en-GB"/>
        </w:rPr>
        <w:t xml:space="preserve">R9m </w:t>
      </w:r>
      <w:r w:rsidR="003C0F87" w:rsidRPr="001F355F">
        <w:rPr>
          <w:lang w:eastAsia="en-GB"/>
        </w:rPr>
        <w:t xml:space="preserve">to </w:t>
      </w:r>
      <w:r w:rsidR="00297A6B">
        <w:rPr>
          <w:lang w:eastAsia="en-GB"/>
        </w:rPr>
        <w:t>the respondent</w:t>
      </w:r>
      <w:r w:rsidR="003C0F87">
        <w:rPr>
          <w:lang w:eastAsia="en-GB"/>
        </w:rPr>
        <w:t>,</w:t>
      </w:r>
      <w:r w:rsidR="003C0F87" w:rsidRPr="001F355F">
        <w:rPr>
          <w:lang w:eastAsia="en-GB"/>
        </w:rPr>
        <w:t xml:space="preserve"> so that </w:t>
      </w:r>
      <w:r w:rsidR="003C0F87">
        <w:rPr>
          <w:lang w:eastAsia="en-GB"/>
        </w:rPr>
        <w:t xml:space="preserve">it </w:t>
      </w:r>
      <w:r w:rsidR="003C0F87" w:rsidRPr="001F355F">
        <w:rPr>
          <w:lang w:eastAsia="en-GB"/>
        </w:rPr>
        <w:t xml:space="preserve">might acquire Portion 12 of Erf 1159 Sunninghill, Extension 74, in Gauteng. </w:t>
      </w:r>
      <w:r w:rsidR="003C0F87" w:rsidRPr="001F355F">
        <w:rPr>
          <w:color w:val="1F1F1F"/>
          <w:szCs w:val="24"/>
        </w:rPr>
        <w:t xml:space="preserve">Over 84 months, </w:t>
      </w:r>
      <w:r w:rsidR="00297A6B">
        <w:rPr>
          <w:color w:val="1F1F1F"/>
          <w:szCs w:val="24"/>
        </w:rPr>
        <w:t>the respondent</w:t>
      </w:r>
      <w:r w:rsidR="003C0F87">
        <w:rPr>
          <w:color w:val="1F1F1F"/>
          <w:szCs w:val="24"/>
        </w:rPr>
        <w:t xml:space="preserve"> </w:t>
      </w:r>
      <w:r w:rsidR="003C0F87" w:rsidRPr="001F355F">
        <w:rPr>
          <w:color w:val="1F1F1F"/>
          <w:szCs w:val="24"/>
        </w:rPr>
        <w:t>would repay the loan</w:t>
      </w:r>
      <w:r w:rsidR="003C0F87">
        <w:rPr>
          <w:color w:val="1F1F1F"/>
          <w:szCs w:val="24"/>
        </w:rPr>
        <w:t>,</w:t>
      </w:r>
      <w:r w:rsidR="003C0F87" w:rsidRPr="001F355F">
        <w:rPr>
          <w:color w:val="1F1F1F"/>
          <w:szCs w:val="24"/>
        </w:rPr>
        <w:t xml:space="preserve"> including interest</w:t>
      </w:r>
      <w:r w:rsidR="003C0F87">
        <w:rPr>
          <w:color w:val="1F1F1F"/>
          <w:szCs w:val="24"/>
        </w:rPr>
        <w:t>,</w:t>
      </w:r>
      <w:r w:rsidR="003C0F87" w:rsidRPr="001F355F">
        <w:rPr>
          <w:color w:val="1F1F1F"/>
          <w:szCs w:val="24"/>
        </w:rPr>
        <w:t xml:space="preserve"> in monthly instalments of R154,101.93. </w:t>
      </w:r>
      <w:r w:rsidR="00297A6B">
        <w:rPr>
          <w:color w:val="1F1F1F"/>
          <w:szCs w:val="24"/>
        </w:rPr>
        <w:t>The respondent</w:t>
      </w:r>
      <w:r w:rsidR="003C0F87" w:rsidRPr="001F355F">
        <w:rPr>
          <w:color w:val="1F1F1F"/>
          <w:szCs w:val="24"/>
        </w:rPr>
        <w:t xml:space="preserve"> would register a first covering bond of R9m over the property.</w:t>
      </w:r>
    </w:p>
    <w:p w14:paraId="6B4355A1" w14:textId="47543956" w:rsidR="003C0F87" w:rsidRPr="001F355F" w:rsidRDefault="000C19AC" w:rsidP="000C19AC">
      <w:pPr>
        <w:pStyle w:val="JudgmentNumbered"/>
        <w:numPr>
          <w:ilvl w:val="0"/>
          <w:numId w:val="0"/>
        </w:numPr>
        <w:ind w:left="567" w:hanging="567"/>
        <w:rPr>
          <w:lang w:eastAsia="en-GB"/>
        </w:rPr>
      </w:pPr>
      <w:r w:rsidRPr="001F355F">
        <w:rPr>
          <w:iCs/>
          <w:lang w:eastAsia="en-GB"/>
        </w:rPr>
        <w:lastRenderedPageBreak/>
        <w:t>[11]</w:t>
      </w:r>
      <w:r w:rsidRPr="001F355F">
        <w:rPr>
          <w:iCs/>
          <w:lang w:eastAsia="en-GB"/>
        </w:rPr>
        <w:tab/>
      </w:r>
      <w:r w:rsidR="003C0F87">
        <w:rPr>
          <w:lang w:eastAsia="en-GB"/>
        </w:rPr>
        <w:t>Also o</w:t>
      </w:r>
      <w:r w:rsidR="003C0F87" w:rsidRPr="001F355F">
        <w:rPr>
          <w:lang w:eastAsia="en-GB"/>
        </w:rPr>
        <w:t xml:space="preserve">n 12 April 2017, </w:t>
      </w:r>
      <w:r w:rsidR="002F296F">
        <w:rPr>
          <w:lang w:eastAsia="en-GB"/>
        </w:rPr>
        <w:t>two directors of the respondent</w:t>
      </w:r>
      <w:r w:rsidR="00C9470D">
        <w:rPr>
          <w:lang w:eastAsia="en-GB"/>
        </w:rPr>
        <w:t>, Messrs Mokoena and Ndebele,</w:t>
      </w:r>
      <w:r w:rsidR="002F296F">
        <w:rPr>
          <w:lang w:eastAsia="en-GB"/>
        </w:rPr>
        <w:t xml:space="preserve"> </w:t>
      </w:r>
      <w:r w:rsidR="003C0F87" w:rsidRPr="001F355F">
        <w:rPr>
          <w:lang w:eastAsia="en-GB"/>
        </w:rPr>
        <w:t>executed two separate suretyship agreements in favour of the applicant.</w:t>
      </w:r>
    </w:p>
    <w:p w14:paraId="11390451" w14:textId="77777777" w:rsidR="003C0F87" w:rsidRPr="001F355F" w:rsidRDefault="003C0F87" w:rsidP="003C0F87">
      <w:pPr>
        <w:pStyle w:val="JudgmentNumbered"/>
        <w:keepNext/>
        <w:numPr>
          <w:ilvl w:val="0"/>
          <w:numId w:val="0"/>
        </w:numPr>
        <w:rPr>
          <w:b/>
          <w:bCs/>
          <w:lang w:eastAsia="en-GB"/>
        </w:rPr>
      </w:pPr>
      <w:r w:rsidRPr="001F355F">
        <w:rPr>
          <w:b/>
          <w:bCs/>
          <w:lang w:eastAsia="en-GB"/>
        </w:rPr>
        <w:t>Further terms of the loan agreement</w:t>
      </w:r>
    </w:p>
    <w:p w14:paraId="53675098" w14:textId="692EE6AC" w:rsidR="003C0F87" w:rsidRPr="001F355F" w:rsidRDefault="000C19AC" w:rsidP="000C19AC">
      <w:pPr>
        <w:pStyle w:val="JudgmentNumbered"/>
        <w:numPr>
          <w:ilvl w:val="0"/>
          <w:numId w:val="0"/>
        </w:numPr>
        <w:ind w:left="567" w:hanging="567"/>
        <w:rPr>
          <w:lang w:eastAsia="en-GB"/>
        </w:rPr>
      </w:pPr>
      <w:r w:rsidRPr="001F355F">
        <w:rPr>
          <w:iCs/>
          <w:lang w:eastAsia="en-GB"/>
        </w:rPr>
        <w:t>[12]</w:t>
      </w:r>
      <w:r w:rsidRPr="001F355F">
        <w:rPr>
          <w:iCs/>
          <w:lang w:eastAsia="en-GB"/>
        </w:rPr>
        <w:tab/>
      </w:r>
      <w:r w:rsidR="003C0F87" w:rsidRPr="001F355F">
        <w:rPr>
          <w:color w:val="1F1F1F"/>
          <w:szCs w:val="24"/>
        </w:rPr>
        <w:t xml:space="preserve">Under the loan agreement, </w:t>
      </w:r>
      <w:r w:rsidR="003C0F87" w:rsidRPr="001F355F">
        <w:rPr>
          <w:color w:val="1D1D1D"/>
          <w:szCs w:val="24"/>
        </w:rPr>
        <w:t xml:space="preserve">an event of default included </w:t>
      </w:r>
      <w:r w:rsidR="00297A6B">
        <w:rPr>
          <w:color w:val="1D1D1D"/>
          <w:szCs w:val="24"/>
        </w:rPr>
        <w:t>the respondent</w:t>
      </w:r>
      <w:r w:rsidR="003C0F87">
        <w:rPr>
          <w:color w:val="1D1D1D"/>
          <w:szCs w:val="24"/>
        </w:rPr>
        <w:t>’s</w:t>
      </w:r>
      <w:r w:rsidR="003C0F87" w:rsidRPr="001F355F">
        <w:rPr>
          <w:color w:val="1D1D1D"/>
          <w:szCs w:val="24"/>
        </w:rPr>
        <w:t xml:space="preserve"> failure to pay an amount due under the loan agreement</w:t>
      </w:r>
      <w:r w:rsidR="003C0F87" w:rsidRPr="001F355F">
        <w:rPr>
          <w:color w:val="3F3F3F"/>
          <w:szCs w:val="24"/>
        </w:rPr>
        <w:t xml:space="preserve">; its </w:t>
      </w:r>
      <w:r w:rsidR="003C0F87" w:rsidRPr="001F355F">
        <w:rPr>
          <w:color w:val="1F1F1F"/>
          <w:szCs w:val="24"/>
        </w:rPr>
        <w:t xml:space="preserve">failure punctually to pay municipal fees, charges, rates or taxes (and the like) for the property (and not remedying such breaches within seven days of notice having been given); and </w:t>
      </w:r>
      <w:r w:rsidR="003C0F87">
        <w:rPr>
          <w:color w:val="1F1F1F"/>
          <w:szCs w:val="24"/>
        </w:rPr>
        <w:t xml:space="preserve">its </w:t>
      </w:r>
      <w:r w:rsidR="003C0F87" w:rsidRPr="001F355F">
        <w:rPr>
          <w:color w:val="1F1F1F"/>
          <w:szCs w:val="24"/>
        </w:rPr>
        <w:t>failure</w:t>
      </w:r>
      <w:r w:rsidR="003C0F87">
        <w:rPr>
          <w:color w:val="1F1F1F"/>
          <w:szCs w:val="24"/>
        </w:rPr>
        <w:t>,</w:t>
      </w:r>
      <w:r w:rsidR="003C0F87" w:rsidRPr="001F355F">
        <w:rPr>
          <w:color w:val="1F1F1F"/>
          <w:szCs w:val="24"/>
        </w:rPr>
        <w:t xml:space="preserve"> during the term of the loan agreement</w:t>
      </w:r>
      <w:r w:rsidR="003C0F87">
        <w:rPr>
          <w:color w:val="1F1F1F"/>
          <w:szCs w:val="24"/>
        </w:rPr>
        <w:t>,</w:t>
      </w:r>
      <w:r w:rsidR="003C0F87" w:rsidRPr="001F355F">
        <w:rPr>
          <w:color w:val="1F1F1F"/>
          <w:szCs w:val="24"/>
        </w:rPr>
        <w:t xml:space="preserve"> to record a trading profit in one or more years of trading (unless the applicant </w:t>
      </w:r>
      <w:r w:rsidR="003C0F87">
        <w:rPr>
          <w:color w:val="1F1F1F"/>
          <w:szCs w:val="24"/>
        </w:rPr>
        <w:t xml:space="preserve">in writing </w:t>
      </w:r>
      <w:r w:rsidR="003C0F87" w:rsidRPr="001F355F">
        <w:rPr>
          <w:color w:val="1F1F1F"/>
          <w:szCs w:val="24"/>
        </w:rPr>
        <w:t xml:space="preserve">condoned </w:t>
      </w:r>
      <w:r w:rsidR="003C0F87">
        <w:rPr>
          <w:color w:val="1F1F1F"/>
          <w:szCs w:val="24"/>
        </w:rPr>
        <w:t>it</w:t>
      </w:r>
      <w:r w:rsidR="003C0F87" w:rsidRPr="001F355F">
        <w:rPr>
          <w:color w:val="1F1F1F"/>
          <w:szCs w:val="24"/>
        </w:rPr>
        <w:t>).</w:t>
      </w:r>
    </w:p>
    <w:p w14:paraId="3D8BC7C3" w14:textId="2BD017D4" w:rsidR="003C0F87" w:rsidRPr="001F355F" w:rsidRDefault="000C19AC" w:rsidP="000C19AC">
      <w:pPr>
        <w:pStyle w:val="JudgmentNumbered"/>
        <w:numPr>
          <w:ilvl w:val="0"/>
          <w:numId w:val="0"/>
        </w:numPr>
        <w:ind w:left="567" w:hanging="567"/>
        <w:rPr>
          <w:lang w:eastAsia="en-GB"/>
        </w:rPr>
      </w:pPr>
      <w:r w:rsidRPr="001F355F">
        <w:rPr>
          <w:iCs/>
          <w:lang w:eastAsia="en-GB"/>
        </w:rPr>
        <w:t>[13]</w:t>
      </w:r>
      <w:r w:rsidRPr="001F355F">
        <w:rPr>
          <w:iCs/>
          <w:lang w:eastAsia="en-GB"/>
        </w:rPr>
        <w:tab/>
      </w:r>
      <w:r w:rsidR="003C0F87" w:rsidRPr="001F355F">
        <w:rPr>
          <w:color w:val="1D1D1D"/>
          <w:szCs w:val="24"/>
        </w:rPr>
        <w:t xml:space="preserve">Were </w:t>
      </w:r>
      <w:r w:rsidR="00297A6B">
        <w:rPr>
          <w:color w:val="1D1D1D"/>
          <w:szCs w:val="24"/>
        </w:rPr>
        <w:t>the respondent</w:t>
      </w:r>
      <w:r w:rsidR="003C0F87" w:rsidRPr="001F355F">
        <w:rPr>
          <w:color w:val="1F1F1F"/>
          <w:szCs w:val="24"/>
        </w:rPr>
        <w:t xml:space="preserve"> to commit an event of default, the applicant would be entitled to accelerate or demand payment of all </w:t>
      </w:r>
      <w:r w:rsidR="003C0F87">
        <w:rPr>
          <w:color w:val="1F1F1F"/>
          <w:szCs w:val="24"/>
        </w:rPr>
        <w:t xml:space="preserve">the </w:t>
      </w:r>
      <w:r w:rsidR="003C0F87" w:rsidRPr="001F355F">
        <w:rPr>
          <w:color w:val="1F1F1F"/>
          <w:szCs w:val="24"/>
        </w:rPr>
        <w:t xml:space="preserve">amounts owing, </w:t>
      </w:r>
      <w:r w:rsidR="003C0F87">
        <w:rPr>
          <w:color w:val="1F1F1F"/>
          <w:szCs w:val="24"/>
        </w:rPr>
        <w:t xml:space="preserve">to </w:t>
      </w:r>
      <w:r w:rsidR="003C0F87" w:rsidRPr="001F355F">
        <w:rPr>
          <w:color w:val="1F1F1F"/>
          <w:szCs w:val="24"/>
        </w:rPr>
        <w:t xml:space="preserve">call up or execute any security document, and </w:t>
      </w:r>
      <w:r w:rsidR="003C0F87">
        <w:rPr>
          <w:color w:val="1F1F1F"/>
          <w:szCs w:val="24"/>
        </w:rPr>
        <w:t xml:space="preserve">to </w:t>
      </w:r>
      <w:r w:rsidR="003C0F87" w:rsidRPr="001F355F">
        <w:rPr>
          <w:color w:val="1F1F1F"/>
          <w:szCs w:val="24"/>
        </w:rPr>
        <w:t>charge interest on the outstanding loan.</w:t>
      </w:r>
    </w:p>
    <w:p w14:paraId="367B56F0" w14:textId="77777777" w:rsidR="003C0F87" w:rsidRPr="001F355F" w:rsidRDefault="003C0F87" w:rsidP="003C0F87">
      <w:pPr>
        <w:pStyle w:val="JudgmentNumbered"/>
        <w:keepNext/>
        <w:numPr>
          <w:ilvl w:val="0"/>
          <w:numId w:val="0"/>
        </w:numPr>
        <w:rPr>
          <w:b/>
          <w:bCs/>
          <w:lang w:eastAsia="en-GB"/>
        </w:rPr>
      </w:pPr>
      <w:r w:rsidRPr="001F355F">
        <w:rPr>
          <w:b/>
          <w:bCs/>
          <w:lang w:eastAsia="en-GB"/>
        </w:rPr>
        <w:t>Implementation</w:t>
      </w:r>
      <w:r>
        <w:rPr>
          <w:b/>
          <w:bCs/>
          <w:lang w:eastAsia="en-GB"/>
        </w:rPr>
        <w:t xml:space="preserve"> of the loan agreement and the difficulties that arose</w:t>
      </w:r>
    </w:p>
    <w:p w14:paraId="34C2F986" w14:textId="68A562E7" w:rsidR="003C0F87" w:rsidRPr="001F355F" w:rsidRDefault="000C19AC" w:rsidP="000C19AC">
      <w:pPr>
        <w:pStyle w:val="JudgmentNumbered"/>
        <w:numPr>
          <w:ilvl w:val="0"/>
          <w:numId w:val="0"/>
        </w:numPr>
        <w:ind w:left="567" w:hanging="567"/>
        <w:rPr>
          <w:lang w:eastAsia="en-GB"/>
        </w:rPr>
      </w:pPr>
      <w:r w:rsidRPr="001F355F">
        <w:rPr>
          <w:iCs/>
          <w:lang w:eastAsia="en-GB"/>
        </w:rPr>
        <w:t>[14]</w:t>
      </w:r>
      <w:r w:rsidRPr="001F355F">
        <w:rPr>
          <w:iCs/>
          <w:lang w:eastAsia="en-GB"/>
        </w:rPr>
        <w:tab/>
      </w:r>
      <w:r w:rsidR="003C0F87" w:rsidRPr="001F355F">
        <w:rPr>
          <w:color w:val="1F1F1F"/>
          <w:szCs w:val="24"/>
        </w:rPr>
        <w:t xml:space="preserve">The </w:t>
      </w:r>
      <w:r w:rsidR="003C0F87" w:rsidRPr="001F355F">
        <w:rPr>
          <w:color w:val="1D1D1D"/>
          <w:szCs w:val="24"/>
        </w:rPr>
        <w:t>applicant</w:t>
      </w:r>
      <w:r w:rsidR="003C0F87" w:rsidRPr="001F355F">
        <w:rPr>
          <w:color w:val="1F1F1F"/>
          <w:szCs w:val="24"/>
        </w:rPr>
        <w:t xml:space="preserve"> advanced to </w:t>
      </w:r>
      <w:r w:rsidR="00297A6B">
        <w:rPr>
          <w:color w:val="1F1F1F"/>
          <w:szCs w:val="24"/>
        </w:rPr>
        <w:t>the respondent</w:t>
      </w:r>
      <w:r w:rsidR="003C0F87">
        <w:rPr>
          <w:color w:val="1F1F1F"/>
          <w:szCs w:val="24"/>
        </w:rPr>
        <w:t xml:space="preserve"> </w:t>
      </w:r>
      <w:r w:rsidR="003C0F87" w:rsidRPr="001F355F">
        <w:rPr>
          <w:color w:val="1F1F1F"/>
          <w:szCs w:val="24"/>
        </w:rPr>
        <w:t>the loan amount of R9m.</w:t>
      </w:r>
      <w:r w:rsidR="003C0F87">
        <w:rPr>
          <w:color w:val="1F1F1F"/>
          <w:szCs w:val="24"/>
        </w:rPr>
        <w:t xml:space="preserve"> Some years into the term of the loan agreement, </w:t>
      </w:r>
      <w:r w:rsidR="00297A6B">
        <w:rPr>
          <w:color w:val="1F1F1F"/>
          <w:szCs w:val="24"/>
        </w:rPr>
        <w:t>the respondent</w:t>
      </w:r>
      <w:r w:rsidR="003C0F87">
        <w:rPr>
          <w:color w:val="1F1F1F"/>
          <w:szCs w:val="24"/>
        </w:rPr>
        <w:t xml:space="preserve"> ran into difficulties.</w:t>
      </w:r>
    </w:p>
    <w:p w14:paraId="36EB5655" w14:textId="317ECDAE" w:rsidR="003C0F87" w:rsidRPr="001F355F" w:rsidRDefault="000C19AC" w:rsidP="000C19AC">
      <w:pPr>
        <w:pStyle w:val="JudgmentNumbered"/>
        <w:numPr>
          <w:ilvl w:val="0"/>
          <w:numId w:val="0"/>
        </w:numPr>
        <w:ind w:left="567" w:hanging="567"/>
        <w:rPr>
          <w:lang w:eastAsia="en-GB"/>
        </w:rPr>
      </w:pPr>
      <w:r w:rsidRPr="001F355F">
        <w:rPr>
          <w:iCs/>
          <w:lang w:eastAsia="en-GB"/>
        </w:rPr>
        <w:t>[15]</w:t>
      </w:r>
      <w:r w:rsidRPr="001F355F">
        <w:rPr>
          <w:iCs/>
          <w:lang w:eastAsia="en-GB"/>
        </w:rPr>
        <w:tab/>
      </w:r>
      <w:r w:rsidR="003C0F87" w:rsidRPr="001F355F">
        <w:rPr>
          <w:color w:val="1F1F1F"/>
          <w:szCs w:val="24"/>
        </w:rPr>
        <w:t xml:space="preserve">On 19 October 2021, the applicant wrote to </w:t>
      </w:r>
      <w:r w:rsidR="00297A6B">
        <w:rPr>
          <w:color w:val="1F1F1F"/>
          <w:szCs w:val="24"/>
        </w:rPr>
        <w:t>the respondent</w:t>
      </w:r>
      <w:r w:rsidR="003C0F87">
        <w:rPr>
          <w:color w:val="1F1F1F"/>
          <w:szCs w:val="24"/>
        </w:rPr>
        <w:t>,</w:t>
      </w:r>
      <w:r w:rsidR="003C0F87" w:rsidRPr="001F355F">
        <w:rPr>
          <w:color w:val="1F1F1F"/>
          <w:szCs w:val="24"/>
        </w:rPr>
        <w:t xml:space="preserve"> referr</w:t>
      </w:r>
      <w:r w:rsidR="003C0F87">
        <w:rPr>
          <w:color w:val="1F1F1F"/>
          <w:szCs w:val="24"/>
        </w:rPr>
        <w:t>ing</w:t>
      </w:r>
      <w:r w:rsidR="003C0F87" w:rsidRPr="001F355F">
        <w:rPr>
          <w:color w:val="1F1F1F"/>
          <w:szCs w:val="24"/>
        </w:rPr>
        <w:t xml:space="preserve"> to clause 9.3.5 </w:t>
      </w:r>
      <w:r w:rsidR="002F296F">
        <w:rPr>
          <w:color w:val="1F1F1F"/>
          <w:szCs w:val="24"/>
        </w:rPr>
        <w:t>in</w:t>
      </w:r>
      <w:r w:rsidR="003C0F87" w:rsidRPr="001F355F">
        <w:rPr>
          <w:color w:val="1F1F1F"/>
          <w:szCs w:val="24"/>
        </w:rPr>
        <w:t xml:space="preserve"> appendix 1, which obliges the respondent to “</w:t>
      </w:r>
      <w:r w:rsidR="003C0F87" w:rsidRPr="001F355F">
        <w:rPr>
          <w:i/>
          <w:iCs/>
          <w:color w:val="1F1F1F"/>
          <w:szCs w:val="24"/>
        </w:rPr>
        <w:t>provide FNB with such other material information in relation to the Borrower’s financial affairs as FNB may from time to time reasonably require on 5 Business Days notice to the Borrower</w:t>
      </w:r>
      <w:r w:rsidR="003C0F87" w:rsidRPr="001F355F">
        <w:rPr>
          <w:color w:val="1F1F1F"/>
          <w:szCs w:val="24"/>
        </w:rPr>
        <w:t xml:space="preserve">”. It added that </w:t>
      </w:r>
      <w:r w:rsidR="00297A6B">
        <w:rPr>
          <w:color w:val="1F1F1F"/>
          <w:szCs w:val="24"/>
        </w:rPr>
        <w:t>the respondent</w:t>
      </w:r>
      <w:r w:rsidR="003C0F87">
        <w:rPr>
          <w:color w:val="1F1F1F"/>
          <w:szCs w:val="24"/>
        </w:rPr>
        <w:t>’</w:t>
      </w:r>
      <w:r w:rsidR="003C0F87" w:rsidRPr="001F355F">
        <w:rPr>
          <w:color w:val="1F1F1F"/>
          <w:szCs w:val="24"/>
        </w:rPr>
        <w:t>s failure to provide “</w:t>
      </w:r>
      <w:r w:rsidR="003C0F87" w:rsidRPr="001F355F">
        <w:rPr>
          <w:i/>
          <w:iCs/>
          <w:color w:val="1F1F1F"/>
          <w:szCs w:val="24"/>
        </w:rPr>
        <w:t>the necessary information</w:t>
      </w:r>
      <w:r w:rsidR="003C0F87" w:rsidRPr="001F355F">
        <w:rPr>
          <w:color w:val="1F1F1F"/>
          <w:szCs w:val="24"/>
        </w:rPr>
        <w:t xml:space="preserve">” </w:t>
      </w:r>
      <w:r w:rsidR="003C0F87">
        <w:rPr>
          <w:color w:val="1F1F1F"/>
          <w:szCs w:val="24"/>
        </w:rPr>
        <w:t>wa</w:t>
      </w:r>
      <w:r w:rsidR="003C0F87" w:rsidRPr="001F355F">
        <w:rPr>
          <w:color w:val="1F1F1F"/>
          <w:szCs w:val="24"/>
        </w:rPr>
        <w:t xml:space="preserve">s an event of default under clause 14.2.12 </w:t>
      </w:r>
      <w:r w:rsidR="002F296F">
        <w:rPr>
          <w:color w:val="1F1F1F"/>
          <w:szCs w:val="24"/>
        </w:rPr>
        <w:t>in</w:t>
      </w:r>
      <w:r w:rsidR="003C0F87" w:rsidRPr="001F355F">
        <w:rPr>
          <w:color w:val="1F1F1F"/>
          <w:szCs w:val="24"/>
        </w:rPr>
        <w:t xml:space="preserve"> appendix 1.</w:t>
      </w:r>
    </w:p>
    <w:p w14:paraId="7D5BCDBF" w14:textId="7056155F" w:rsidR="003C0F87" w:rsidRDefault="000C19AC" w:rsidP="000C19AC">
      <w:pPr>
        <w:pStyle w:val="JudgmentNumbered"/>
        <w:numPr>
          <w:ilvl w:val="0"/>
          <w:numId w:val="0"/>
        </w:numPr>
        <w:ind w:left="567" w:hanging="567"/>
        <w:rPr>
          <w:lang w:eastAsia="en-GB"/>
        </w:rPr>
      </w:pPr>
      <w:r>
        <w:rPr>
          <w:iCs/>
          <w:lang w:eastAsia="en-GB"/>
        </w:rPr>
        <w:t>[16]</w:t>
      </w:r>
      <w:r>
        <w:rPr>
          <w:iCs/>
          <w:lang w:eastAsia="en-GB"/>
        </w:rPr>
        <w:tab/>
      </w:r>
      <w:r w:rsidR="003C0F87">
        <w:rPr>
          <w:color w:val="1F1F1F"/>
          <w:szCs w:val="24"/>
        </w:rPr>
        <w:t>In error, t</w:t>
      </w:r>
      <w:r w:rsidR="003C0F87" w:rsidRPr="001F355F">
        <w:rPr>
          <w:color w:val="1F1F1F"/>
          <w:szCs w:val="24"/>
        </w:rPr>
        <w:t>he letter suggest</w:t>
      </w:r>
      <w:r w:rsidR="003C0F87">
        <w:rPr>
          <w:color w:val="1F1F1F"/>
          <w:szCs w:val="24"/>
        </w:rPr>
        <w:t>s</w:t>
      </w:r>
      <w:r w:rsidR="003C0F87" w:rsidRPr="001F355F">
        <w:rPr>
          <w:color w:val="1F1F1F"/>
          <w:szCs w:val="24"/>
        </w:rPr>
        <w:t xml:space="preserve"> that by then </w:t>
      </w:r>
      <w:r w:rsidR="00297A6B">
        <w:rPr>
          <w:color w:val="1F1F1F"/>
          <w:szCs w:val="24"/>
        </w:rPr>
        <w:t>the respondent</w:t>
      </w:r>
      <w:r w:rsidR="003C0F87">
        <w:rPr>
          <w:color w:val="1F1F1F"/>
          <w:szCs w:val="24"/>
        </w:rPr>
        <w:t xml:space="preserve"> was </w:t>
      </w:r>
      <w:r w:rsidR="003C0F87" w:rsidRPr="001F355F">
        <w:rPr>
          <w:color w:val="1F1F1F"/>
          <w:szCs w:val="24"/>
        </w:rPr>
        <w:t>already in default (“</w:t>
      </w:r>
      <w:r w:rsidR="003C0F87" w:rsidRPr="001F355F">
        <w:rPr>
          <w:i/>
          <w:lang w:eastAsia="en-GB"/>
        </w:rPr>
        <w:t>Should the above default not be remedied within 5 (five) days or in the event of any further defaults or breaches …</w:t>
      </w:r>
      <w:r w:rsidR="003C0F87" w:rsidRPr="001F355F">
        <w:rPr>
          <w:iCs/>
          <w:lang w:eastAsia="en-GB"/>
        </w:rPr>
        <w:t>”).</w:t>
      </w:r>
      <w:r w:rsidR="003C0F87">
        <w:rPr>
          <w:lang w:eastAsia="en-GB"/>
        </w:rPr>
        <w:t xml:space="preserve"> </w:t>
      </w:r>
      <w:r w:rsidR="003C0F87" w:rsidRPr="001F355F">
        <w:rPr>
          <w:lang w:eastAsia="en-GB"/>
        </w:rPr>
        <w:t xml:space="preserve">Be that as it may, in the applicant’s own words in the founding affidavit, </w:t>
      </w:r>
      <w:r w:rsidR="00297A6B">
        <w:rPr>
          <w:lang w:eastAsia="en-GB"/>
        </w:rPr>
        <w:t>the respondent</w:t>
      </w:r>
      <w:r w:rsidR="003C0F87">
        <w:rPr>
          <w:lang w:eastAsia="en-GB"/>
        </w:rPr>
        <w:t xml:space="preserve"> </w:t>
      </w:r>
      <w:r w:rsidR="003C0F87" w:rsidRPr="001F355F">
        <w:rPr>
          <w:lang w:eastAsia="en-GB"/>
        </w:rPr>
        <w:t>was thus “</w:t>
      </w:r>
      <w:r w:rsidR="003C0F87" w:rsidRPr="00D66974">
        <w:rPr>
          <w:i/>
          <w:iCs/>
          <w:lang w:eastAsia="en-GB"/>
        </w:rPr>
        <w:t>given until 26 October 2021 to furnish the Bank with the documents as requested</w:t>
      </w:r>
      <w:r w:rsidR="003C0F87" w:rsidRPr="001F355F">
        <w:rPr>
          <w:lang w:eastAsia="en-GB"/>
        </w:rPr>
        <w:t xml:space="preserve">” (yet the letter does not specify that date). The applicant also </w:t>
      </w:r>
      <w:r w:rsidR="003C0F87">
        <w:rPr>
          <w:lang w:eastAsia="en-GB"/>
        </w:rPr>
        <w:t>observed</w:t>
      </w:r>
      <w:r w:rsidR="003C0F87" w:rsidRPr="001F355F">
        <w:rPr>
          <w:lang w:eastAsia="en-GB"/>
        </w:rPr>
        <w:t>: “</w:t>
      </w:r>
      <w:r w:rsidR="003C0F87" w:rsidRPr="00D66974">
        <w:rPr>
          <w:i/>
          <w:iCs/>
          <w:lang w:eastAsia="en-GB"/>
        </w:rPr>
        <w:t>The Company [</w:t>
      </w:r>
      <w:r w:rsidR="003C0F87" w:rsidRPr="001F355F">
        <w:rPr>
          <w:lang w:eastAsia="en-GB"/>
        </w:rPr>
        <w:t>sc.</w:t>
      </w:r>
      <w:r w:rsidR="003C0F87" w:rsidRPr="00D66974">
        <w:rPr>
          <w:i/>
          <w:iCs/>
          <w:lang w:eastAsia="en-GB"/>
        </w:rPr>
        <w:t xml:space="preserve"> </w:t>
      </w:r>
      <w:r w:rsidR="003C0F87">
        <w:rPr>
          <w:i/>
          <w:iCs/>
          <w:lang w:eastAsia="en-GB"/>
        </w:rPr>
        <w:t>SmartPurse</w:t>
      </w:r>
      <w:r w:rsidR="003C0F87" w:rsidRPr="00D66974">
        <w:rPr>
          <w:i/>
          <w:iCs/>
          <w:lang w:eastAsia="en-GB"/>
        </w:rPr>
        <w:t xml:space="preserve">] provided the Bank with the financial information on 21 October </w:t>
      </w:r>
      <w:r w:rsidR="003C0F87" w:rsidRPr="00D66974">
        <w:rPr>
          <w:i/>
          <w:iCs/>
          <w:lang w:eastAsia="en-GB"/>
        </w:rPr>
        <w:lastRenderedPageBreak/>
        <w:t>2021.</w:t>
      </w:r>
      <w:r w:rsidR="003C0F87" w:rsidRPr="001F355F">
        <w:rPr>
          <w:lang w:eastAsia="en-GB"/>
        </w:rPr>
        <w:t xml:space="preserve">” Logically, therefore, by responding timeously </w:t>
      </w:r>
      <w:r w:rsidR="00297A6B">
        <w:rPr>
          <w:lang w:eastAsia="en-GB"/>
        </w:rPr>
        <w:t>the respondent</w:t>
      </w:r>
      <w:r w:rsidR="003C0F87">
        <w:rPr>
          <w:lang w:eastAsia="en-GB"/>
        </w:rPr>
        <w:t xml:space="preserve"> </w:t>
      </w:r>
      <w:r w:rsidR="003C0F87" w:rsidRPr="001F355F">
        <w:rPr>
          <w:lang w:eastAsia="en-GB"/>
        </w:rPr>
        <w:t xml:space="preserve">was not in default as far as clause 9.3.5 </w:t>
      </w:r>
      <w:r w:rsidR="00FF37B7">
        <w:rPr>
          <w:lang w:eastAsia="en-GB"/>
        </w:rPr>
        <w:t xml:space="preserve">in appendix 1 </w:t>
      </w:r>
      <w:r w:rsidR="003C0F87" w:rsidRPr="001F355F">
        <w:rPr>
          <w:lang w:eastAsia="en-GB"/>
        </w:rPr>
        <w:t>was concerned.</w:t>
      </w:r>
    </w:p>
    <w:p w14:paraId="45F1148B" w14:textId="29B06D19" w:rsidR="003C0F87" w:rsidRPr="001F355F" w:rsidRDefault="000C19AC" w:rsidP="000C19AC">
      <w:pPr>
        <w:pStyle w:val="JudgmentNumbered"/>
        <w:numPr>
          <w:ilvl w:val="0"/>
          <w:numId w:val="0"/>
        </w:numPr>
        <w:ind w:left="567" w:hanging="567"/>
        <w:rPr>
          <w:lang w:eastAsia="en-GB"/>
        </w:rPr>
      </w:pPr>
      <w:r w:rsidRPr="001F355F">
        <w:rPr>
          <w:iCs/>
          <w:lang w:eastAsia="en-GB"/>
        </w:rPr>
        <w:t>[17]</w:t>
      </w:r>
      <w:r w:rsidRPr="001F355F">
        <w:rPr>
          <w:iCs/>
          <w:lang w:eastAsia="en-GB"/>
        </w:rPr>
        <w:tab/>
      </w:r>
      <w:r w:rsidR="003C0F87">
        <w:rPr>
          <w:color w:val="1F1F1F"/>
          <w:szCs w:val="24"/>
        </w:rPr>
        <w:t>Some months later, difficulties again arose.</w:t>
      </w:r>
      <w:r w:rsidR="003C0F87">
        <w:rPr>
          <w:lang w:eastAsia="en-GB"/>
        </w:rPr>
        <w:t xml:space="preserve"> </w:t>
      </w:r>
      <w:r w:rsidR="003C0F87" w:rsidRPr="001F355F">
        <w:rPr>
          <w:lang w:eastAsia="en-GB"/>
        </w:rPr>
        <w:t xml:space="preserve">On </w:t>
      </w:r>
      <w:r w:rsidR="003C0F87" w:rsidRPr="003B5615">
        <w:rPr>
          <w:color w:val="1F1F1F"/>
          <w:szCs w:val="24"/>
        </w:rPr>
        <w:t xml:space="preserve">17 March 2022, the applicant </w:t>
      </w:r>
      <w:r w:rsidR="003C0F87">
        <w:rPr>
          <w:color w:val="1F1F1F"/>
          <w:szCs w:val="24"/>
        </w:rPr>
        <w:t xml:space="preserve">sent another letter </w:t>
      </w:r>
      <w:r w:rsidR="003C0F87" w:rsidRPr="003B5615">
        <w:rPr>
          <w:color w:val="1F1F1F"/>
          <w:szCs w:val="24"/>
        </w:rPr>
        <w:t xml:space="preserve">to </w:t>
      </w:r>
      <w:r w:rsidR="00297A6B">
        <w:rPr>
          <w:color w:val="1F1F1F"/>
          <w:szCs w:val="24"/>
        </w:rPr>
        <w:t>the respondent</w:t>
      </w:r>
      <w:r w:rsidR="003C0F87" w:rsidRPr="003B5615">
        <w:rPr>
          <w:color w:val="1F1F1F"/>
          <w:szCs w:val="24"/>
        </w:rPr>
        <w:t>. In the founding affidavit, that letter is called “</w:t>
      </w:r>
      <w:r w:rsidR="003C0F87" w:rsidRPr="003B5615">
        <w:rPr>
          <w:i/>
          <w:iCs/>
          <w:color w:val="1F1F1F"/>
          <w:szCs w:val="24"/>
        </w:rPr>
        <w:t>a further breach letter</w:t>
      </w:r>
      <w:r w:rsidR="003C0F87" w:rsidRPr="003B5615">
        <w:rPr>
          <w:color w:val="1F1F1F"/>
          <w:szCs w:val="24"/>
        </w:rPr>
        <w:t>”. Yet, as I read it, this was the first breach letter under the loan agreement. It included this passage:</w:t>
      </w:r>
    </w:p>
    <w:p w14:paraId="4CADF196" w14:textId="77777777"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color w:val="1F1F1F"/>
          <w:szCs w:val="24"/>
        </w:rPr>
        <w:t>“</w:t>
      </w:r>
      <w:r w:rsidRPr="001F355F">
        <w:rPr>
          <w:rFonts w:cs="Arial"/>
          <w:i/>
          <w:color w:val="1F1F1F"/>
          <w:szCs w:val="24"/>
        </w:rPr>
        <w:t>3.</w:t>
      </w:r>
      <w:r w:rsidRPr="001F355F">
        <w:rPr>
          <w:rFonts w:cs="Arial"/>
          <w:i/>
          <w:color w:val="1F1F1F"/>
          <w:szCs w:val="24"/>
        </w:rPr>
        <w:tab/>
        <w:t xml:space="preserve">The current outstanding balance in terms of the loan </w:t>
      </w:r>
      <w:r>
        <w:rPr>
          <w:rFonts w:cs="Arial"/>
          <w:i/>
          <w:color w:val="1F1F1F"/>
          <w:szCs w:val="24"/>
        </w:rPr>
        <w:t xml:space="preserve">… </w:t>
      </w:r>
      <w:r w:rsidRPr="001F355F">
        <w:rPr>
          <w:rFonts w:cs="Arial"/>
          <w:i/>
          <w:color w:val="1F1F1F"/>
          <w:szCs w:val="24"/>
        </w:rPr>
        <w:t>is R6,298,775.87 plus interest and fees.</w:t>
      </w:r>
    </w:p>
    <w:p w14:paraId="4819E035" w14:textId="77777777"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i/>
          <w:color w:val="1F1F1F"/>
          <w:szCs w:val="24"/>
        </w:rPr>
        <w:t>4.</w:t>
      </w:r>
      <w:r w:rsidRPr="001F355F">
        <w:rPr>
          <w:rFonts w:cs="Arial"/>
          <w:i/>
          <w:color w:val="1F1F1F"/>
          <w:szCs w:val="24"/>
        </w:rPr>
        <w:tab/>
        <w:t>In terms of clause 3.4 of the Loan Agreement you have committed to repay the loan plus interest thereon within the repayment period of 84 months by way of equal monthly instalments.</w:t>
      </w:r>
    </w:p>
    <w:p w14:paraId="23BB2D7E" w14:textId="77777777" w:rsidR="003C0F87" w:rsidRPr="001F355F" w:rsidRDefault="003C0F87" w:rsidP="00BD21D7">
      <w:pPr>
        <w:tabs>
          <w:tab w:val="left" w:pos="1985"/>
        </w:tabs>
        <w:spacing w:after="0" w:line="240" w:lineRule="auto"/>
        <w:ind w:left="1985" w:right="851" w:hanging="567"/>
        <w:rPr>
          <w:rFonts w:cs="Arial"/>
          <w:i/>
          <w:color w:val="1F1F1F"/>
          <w:szCs w:val="24"/>
        </w:rPr>
      </w:pPr>
      <w:r w:rsidRPr="001F355F">
        <w:rPr>
          <w:rFonts w:cs="Arial"/>
          <w:i/>
          <w:color w:val="1F1F1F"/>
          <w:szCs w:val="24"/>
        </w:rPr>
        <w:t>5.</w:t>
      </w:r>
      <w:r w:rsidRPr="001F355F">
        <w:rPr>
          <w:rFonts w:cs="Arial"/>
          <w:i/>
          <w:color w:val="1F1F1F"/>
          <w:szCs w:val="24"/>
        </w:rPr>
        <w:tab/>
        <w:t>As per our records you are currently in arrears on the loan repayments for an amount of R46,116.27 which amounts to an event of default in terms of clause 14.2.2 of Appendix 1 of the Loan Agreement.</w:t>
      </w:r>
    </w:p>
    <w:p w14:paraId="5ECD0540" w14:textId="77777777"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i/>
          <w:color w:val="1F1F1F"/>
          <w:szCs w:val="24"/>
        </w:rPr>
        <w:t>6.</w:t>
      </w:r>
      <w:r w:rsidRPr="001F355F">
        <w:rPr>
          <w:rFonts w:cs="Arial"/>
          <w:i/>
          <w:color w:val="1F1F1F"/>
          <w:szCs w:val="24"/>
        </w:rPr>
        <w:tab/>
        <w:t>In terms of clause 9.3.10 of Appendix 1 of the Loan Agreement, the Borrower undertook to pay all rates and taxes in respect of the property, the Bank hereby requests a copy of the latest rates and taxes municipal statement reflecting evidence thereof, failure to provide this statement will amount to an event of default in terms of 14.2.6 of Appendix 1 of the Loan Agreement.</w:t>
      </w:r>
    </w:p>
    <w:p w14:paraId="7A4F5737" w14:textId="77777777"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i/>
          <w:color w:val="1F1F1F"/>
          <w:szCs w:val="24"/>
        </w:rPr>
        <w:t>7.</w:t>
      </w:r>
      <w:r w:rsidRPr="001F355F">
        <w:rPr>
          <w:rFonts w:cs="Arial"/>
          <w:i/>
          <w:color w:val="1F1F1F"/>
          <w:szCs w:val="24"/>
        </w:rPr>
        <w:tab/>
        <w:t>In terms of clause 13.1 of Appendix 1 of the Loan Agreement you have undertaken to insure the Property to the Bank for the entire period from disbursement date to termination date of the loan and as per our records the debit order for the insurance was returned unpaid. We require confirmation that the premiums for the insurance policy are up to date and Failure to provide confirmation that insurance policy has been renewed, will amount to an Event of Default in terms of clause 14.2.20 of Appendix 1 of the Loan Agreement.</w:t>
      </w:r>
    </w:p>
    <w:p w14:paraId="50D1D98F" w14:textId="48281AA8"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i/>
          <w:color w:val="1F1F1F"/>
          <w:szCs w:val="24"/>
        </w:rPr>
        <w:t>8.</w:t>
      </w:r>
      <w:r w:rsidRPr="001F355F">
        <w:rPr>
          <w:rFonts w:cs="Arial"/>
          <w:i/>
          <w:color w:val="1F1F1F"/>
          <w:szCs w:val="24"/>
        </w:rPr>
        <w:tab/>
        <w:t>In terms of clause 14.1.17 of Appendix 1 of the Loan Agreement an Event of default shall occur if the Borrower has fails to record a trading profit for one or more years. The financial information received on 21 October 2021 reflect losses for the financial year of 2020 and 2021.</w:t>
      </w:r>
    </w:p>
    <w:p w14:paraId="1D94111A" w14:textId="77777777"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i/>
          <w:color w:val="1F1F1F"/>
          <w:szCs w:val="24"/>
        </w:rPr>
        <w:t>9.</w:t>
      </w:r>
      <w:r w:rsidRPr="001F355F">
        <w:rPr>
          <w:rFonts w:cs="Arial"/>
          <w:i/>
          <w:color w:val="1F1F1F"/>
          <w:szCs w:val="24"/>
        </w:rPr>
        <w:tab/>
        <w:t>Should all the above defaults not be remedied within 14 (fourteen) days or in the event of any further defaults on your loan repayments or breaches on the Loan Agreement, the Bank, in terms of clause 15.3 of Appendix 1 of the Loan Agreement, will have the right without further notice to the Borrower, to:</w:t>
      </w:r>
    </w:p>
    <w:p w14:paraId="5460D73B" w14:textId="77777777" w:rsidR="003C0F87" w:rsidRPr="001F355F" w:rsidRDefault="003C0F87" w:rsidP="003C0F87">
      <w:pPr>
        <w:tabs>
          <w:tab w:val="left" w:pos="2694"/>
        </w:tabs>
        <w:spacing w:after="0" w:line="240" w:lineRule="auto"/>
        <w:ind w:left="2694" w:right="851" w:hanging="709"/>
        <w:rPr>
          <w:rFonts w:cs="Arial"/>
          <w:i/>
          <w:color w:val="1F1F1F"/>
          <w:szCs w:val="24"/>
        </w:rPr>
      </w:pPr>
      <w:r w:rsidRPr="001F355F">
        <w:rPr>
          <w:rFonts w:cs="Arial"/>
          <w:i/>
          <w:color w:val="1F1F1F"/>
          <w:szCs w:val="24"/>
        </w:rPr>
        <w:lastRenderedPageBreak/>
        <w:t>9.1</w:t>
      </w:r>
      <w:r w:rsidRPr="001F355F">
        <w:rPr>
          <w:rFonts w:cs="Arial"/>
          <w:i/>
          <w:color w:val="1F1F1F"/>
          <w:szCs w:val="24"/>
        </w:rPr>
        <w:tab/>
        <w:t>Claim full repayment of the outstanding Loan Balance;</w:t>
      </w:r>
    </w:p>
    <w:p w14:paraId="222DC289" w14:textId="77777777" w:rsidR="003C0F87" w:rsidRPr="001F355F" w:rsidRDefault="003C0F87" w:rsidP="003C0F87">
      <w:pPr>
        <w:tabs>
          <w:tab w:val="left" w:pos="2694"/>
        </w:tabs>
        <w:spacing w:after="0" w:line="240" w:lineRule="auto"/>
        <w:ind w:left="2694" w:right="851" w:hanging="709"/>
        <w:rPr>
          <w:rFonts w:cs="Arial"/>
          <w:i/>
          <w:color w:val="1F1F1F"/>
          <w:szCs w:val="24"/>
        </w:rPr>
      </w:pPr>
      <w:r w:rsidRPr="001F355F">
        <w:rPr>
          <w:rFonts w:cs="Arial"/>
          <w:i/>
          <w:color w:val="1F1F1F"/>
          <w:szCs w:val="24"/>
        </w:rPr>
        <w:t>9.2</w:t>
      </w:r>
      <w:r w:rsidRPr="001F355F">
        <w:rPr>
          <w:rFonts w:cs="Arial"/>
          <w:i/>
          <w:color w:val="1F1F1F"/>
          <w:szCs w:val="24"/>
        </w:rPr>
        <w:tab/>
        <w:t>Charge interest on the outstanding Loan Balance at the default Penalty Rate of 5% from the date of default until the date on which the default is rectified; and</w:t>
      </w:r>
    </w:p>
    <w:p w14:paraId="508CBBEA" w14:textId="77777777" w:rsidR="003C0F87" w:rsidRPr="001F355F" w:rsidRDefault="003C0F87" w:rsidP="003C0F87">
      <w:pPr>
        <w:tabs>
          <w:tab w:val="left" w:pos="2694"/>
        </w:tabs>
        <w:spacing w:after="0" w:line="240" w:lineRule="auto"/>
        <w:ind w:left="2694" w:right="851" w:hanging="709"/>
        <w:rPr>
          <w:rFonts w:cs="Arial"/>
          <w:i/>
          <w:color w:val="1F1F1F"/>
          <w:szCs w:val="24"/>
        </w:rPr>
      </w:pPr>
      <w:r w:rsidRPr="001F355F">
        <w:rPr>
          <w:rFonts w:cs="Arial"/>
          <w:i/>
          <w:color w:val="1F1F1F"/>
          <w:szCs w:val="24"/>
        </w:rPr>
        <w:t>9.3</w:t>
      </w:r>
      <w:r w:rsidRPr="001F355F">
        <w:rPr>
          <w:rFonts w:cs="Arial"/>
          <w:i/>
          <w:color w:val="1F1F1F"/>
          <w:szCs w:val="24"/>
        </w:rPr>
        <w:tab/>
        <w:t>Levy execution against the mortgaged property.</w:t>
      </w:r>
      <w:r w:rsidRPr="001F355F">
        <w:rPr>
          <w:rFonts w:cs="Arial"/>
          <w:iCs/>
          <w:color w:val="1F1F1F"/>
          <w:szCs w:val="24"/>
        </w:rPr>
        <w:t>”</w:t>
      </w:r>
    </w:p>
    <w:p w14:paraId="4211D80C" w14:textId="77777777" w:rsidR="003C0F87" w:rsidRPr="001F355F" w:rsidRDefault="003C0F87" w:rsidP="00CC468C">
      <w:pPr>
        <w:tabs>
          <w:tab w:val="left" w:pos="1985"/>
        </w:tabs>
        <w:spacing w:after="0"/>
        <w:ind w:left="0" w:right="851"/>
        <w:rPr>
          <w:rFonts w:cs="Arial"/>
          <w:color w:val="1F1F1F"/>
          <w:szCs w:val="24"/>
        </w:rPr>
      </w:pPr>
    </w:p>
    <w:p w14:paraId="419A2E9C" w14:textId="2F1DEA40" w:rsidR="003C0F87" w:rsidRPr="001F355F" w:rsidRDefault="000C19AC" w:rsidP="000C19AC">
      <w:pPr>
        <w:pStyle w:val="JudgmentNumbered"/>
        <w:keepNext/>
        <w:numPr>
          <w:ilvl w:val="0"/>
          <w:numId w:val="0"/>
        </w:numPr>
        <w:ind w:left="567" w:hanging="567"/>
        <w:rPr>
          <w:lang w:eastAsia="en-GB"/>
        </w:rPr>
      </w:pPr>
      <w:r w:rsidRPr="001F355F">
        <w:rPr>
          <w:iCs/>
          <w:lang w:eastAsia="en-GB"/>
        </w:rPr>
        <w:t>[18]</w:t>
      </w:r>
      <w:r w:rsidRPr="001F355F">
        <w:rPr>
          <w:iCs/>
          <w:lang w:eastAsia="en-GB"/>
        </w:rPr>
        <w:tab/>
      </w:r>
      <w:r w:rsidR="003C0F87" w:rsidRPr="001F355F">
        <w:rPr>
          <w:color w:val="1F1F1F"/>
          <w:szCs w:val="24"/>
        </w:rPr>
        <w:t>In response to that letter, on 7 April 2022</w:t>
      </w:r>
      <w:r w:rsidR="00297A6B">
        <w:rPr>
          <w:color w:val="1F1F1F"/>
          <w:szCs w:val="24"/>
        </w:rPr>
        <w:t>,</w:t>
      </w:r>
      <w:r w:rsidR="003C0F87" w:rsidRPr="001F355F">
        <w:rPr>
          <w:color w:val="1F1F1F"/>
          <w:szCs w:val="24"/>
        </w:rPr>
        <w:t xml:space="preserve"> </w:t>
      </w:r>
      <w:r w:rsidR="00297A6B">
        <w:rPr>
          <w:color w:val="1F1F1F"/>
          <w:szCs w:val="24"/>
        </w:rPr>
        <w:t>the respondent</w:t>
      </w:r>
      <w:r w:rsidR="003C0F87">
        <w:rPr>
          <w:color w:val="1F1F1F"/>
          <w:szCs w:val="24"/>
        </w:rPr>
        <w:t xml:space="preserve"> </w:t>
      </w:r>
      <w:r w:rsidR="003C0F87" w:rsidRPr="001F355F">
        <w:rPr>
          <w:color w:val="1F1F1F"/>
          <w:szCs w:val="24"/>
        </w:rPr>
        <w:t xml:space="preserve">wrote to the applicant, </w:t>
      </w:r>
      <w:r w:rsidR="003C0F87" w:rsidRPr="001F355F">
        <w:rPr>
          <w:i/>
          <w:iCs/>
          <w:color w:val="1F1F1F"/>
          <w:szCs w:val="24"/>
        </w:rPr>
        <w:t>inter alia</w:t>
      </w:r>
      <w:r w:rsidR="003C0F87" w:rsidRPr="001F355F">
        <w:rPr>
          <w:color w:val="1F1F1F"/>
          <w:szCs w:val="24"/>
        </w:rPr>
        <w:t xml:space="preserve"> as follows:</w:t>
      </w:r>
    </w:p>
    <w:p w14:paraId="52FADFE0" w14:textId="77777777" w:rsidR="003C0F87" w:rsidRPr="001F355F" w:rsidRDefault="003C0F87" w:rsidP="003C0F87">
      <w:pPr>
        <w:keepNext/>
        <w:spacing w:after="0" w:line="240" w:lineRule="auto"/>
        <w:ind w:left="1418" w:right="851"/>
        <w:rPr>
          <w:rFonts w:cs="Arial"/>
          <w:i/>
          <w:color w:val="1F1F1F"/>
          <w:szCs w:val="24"/>
        </w:rPr>
      </w:pPr>
      <w:r w:rsidRPr="001F355F">
        <w:rPr>
          <w:rFonts w:cs="Arial"/>
          <w:color w:val="1F1F1F"/>
          <w:szCs w:val="24"/>
        </w:rPr>
        <w:t>“</w:t>
      </w:r>
      <w:r w:rsidRPr="001F355F">
        <w:rPr>
          <w:rFonts w:cs="Arial"/>
          <w:i/>
          <w:color w:val="1F1F1F"/>
          <w:szCs w:val="24"/>
        </w:rPr>
        <w:t>This letter serves to respond to the requests made as follows:</w:t>
      </w:r>
    </w:p>
    <w:p w14:paraId="7D6B7FF8" w14:textId="77777777" w:rsidR="003C0F87" w:rsidRPr="001F355F" w:rsidRDefault="003C0F87" w:rsidP="003C0F87">
      <w:pPr>
        <w:tabs>
          <w:tab w:val="left" w:pos="1985"/>
        </w:tabs>
        <w:spacing w:after="0" w:line="240" w:lineRule="auto"/>
        <w:ind w:left="1985" w:right="851" w:hanging="567"/>
        <w:rPr>
          <w:rFonts w:cs="Arial"/>
          <w:i/>
        </w:rPr>
      </w:pPr>
      <w:r w:rsidRPr="001F355F">
        <w:rPr>
          <w:rFonts w:cs="Arial"/>
          <w:i/>
        </w:rPr>
        <w:t>1.</w:t>
      </w:r>
      <w:r w:rsidRPr="001F355F">
        <w:rPr>
          <w:rFonts w:cs="Arial"/>
          <w:i/>
        </w:rPr>
        <w:tab/>
        <w:t>The required Financial Statements for the annual review were submitted on the 21</w:t>
      </w:r>
      <w:r w:rsidRPr="001F355F">
        <w:rPr>
          <w:rFonts w:cs="Arial"/>
          <w:i/>
          <w:vertAlign w:val="superscript"/>
        </w:rPr>
        <w:t>st</w:t>
      </w:r>
      <w:r w:rsidRPr="001F355F">
        <w:rPr>
          <w:rFonts w:cs="Arial"/>
          <w:i/>
        </w:rPr>
        <w:t xml:space="preserve"> October 2021.</w:t>
      </w:r>
    </w:p>
    <w:p w14:paraId="20194701" w14:textId="77777777" w:rsidR="003C0F87" w:rsidRPr="001F355F" w:rsidRDefault="003C0F87" w:rsidP="003C0F87">
      <w:pPr>
        <w:tabs>
          <w:tab w:val="left" w:pos="1985"/>
        </w:tabs>
        <w:spacing w:after="0" w:line="240" w:lineRule="auto"/>
        <w:ind w:left="1985" w:right="851" w:hanging="567"/>
        <w:rPr>
          <w:rFonts w:cs="Arial"/>
          <w:i/>
        </w:rPr>
      </w:pPr>
      <w:r w:rsidRPr="001F355F">
        <w:rPr>
          <w:rFonts w:cs="Arial"/>
          <w:i/>
        </w:rPr>
        <w:t>2.</w:t>
      </w:r>
      <w:r w:rsidRPr="001F355F">
        <w:rPr>
          <w:rFonts w:cs="Arial"/>
          <w:i/>
        </w:rPr>
        <w:tab/>
        <w:t>Our outstanding balance on the rates and taxes is R489,872.43. We have approached the City of Johannesburg in order to make a payment arrangement on the arrears and they agreed, with the following terms:</w:t>
      </w:r>
    </w:p>
    <w:p w14:paraId="04C5B939" w14:textId="6288A48F" w:rsidR="003C0F87" w:rsidRPr="000C19AC" w:rsidRDefault="000C19AC" w:rsidP="000C19AC">
      <w:pPr>
        <w:tabs>
          <w:tab w:val="left" w:pos="2410"/>
        </w:tabs>
        <w:spacing w:after="0" w:line="240" w:lineRule="auto"/>
        <w:ind w:left="2410" w:right="851" w:hanging="425"/>
        <w:rPr>
          <w:rFonts w:cs="Arial"/>
          <w:i/>
        </w:rPr>
      </w:pPr>
      <w:r w:rsidRPr="001F355F">
        <w:rPr>
          <w:rFonts w:ascii="Symbol" w:hAnsi="Symbol" w:cs="Arial"/>
        </w:rPr>
        <w:t></w:t>
      </w:r>
      <w:r w:rsidRPr="001F355F">
        <w:rPr>
          <w:rFonts w:ascii="Symbol" w:hAnsi="Symbol" w:cs="Arial"/>
        </w:rPr>
        <w:tab/>
      </w:r>
      <w:r w:rsidR="003C0F87" w:rsidRPr="000C19AC">
        <w:rPr>
          <w:rFonts w:cs="Arial"/>
          <w:i/>
        </w:rPr>
        <w:t>R100,000.00 immediately</w:t>
      </w:r>
    </w:p>
    <w:p w14:paraId="305F7A9A" w14:textId="68AF2463" w:rsidR="003C0F87" w:rsidRPr="000C19AC" w:rsidRDefault="000C19AC" w:rsidP="000C19AC">
      <w:pPr>
        <w:tabs>
          <w:tab w:val="left" w:pos="2410"/>
        </w:tabs>
        <w:spacing w:after="0" w:line="240" w:lineRule="auto"/>
        <w:ind w:left="2410" w:right="851" w:hanging="425"/>
        <w:rPr>
          <w:rFonts w:cs="Arial"/>
          <w:i/>
        </w:rPr>
      </w:pPr>
      <w:r w:rsidRPr="001F355F">
        <w:rPr>
          <w:rFonts w:ascii="Symbol" w:hAnsi="Symbol" w:cs="Arial"/>
        </w:rPr>
        <w:t></w:t>
      </w:r>
      <w:r w:rsidRPr="001F355F">
        <w:rPr>
          <w:rFonts w:ascii="Symbol" w:hAnsi="Symbol" w:cs="Arial"/>
        </w:rPr>
        <w:tab/>
      </w:r>
      <w:r w:rsidR="003C0F87" w:rsidRPr="000C19AC">
        <w:rPr>
          <w:rFonts w:cs="Arial"/>
          <w:i/>
        </w:rPr>
        <w:t>R21,659.58 over 18 months</w:t>
      </w:r>
    </w:p>
    <w:p w14:paraId="59EF36F1" w14:textId="77777777" w:rsidR="003C0F87" w:rsidRPr="001F355F" w:rsidRDefault="003C0F87" w:rsidP="003C0F87">
      <w:pPr>
        <w:tabs>
          <w:tab w:val="left" w:pos="1985"/>
        </w:tabs>
        <w:spacing w:after="0" w:line="240" w:lineRule="auto"/>
        <w:ind w:left="1985" w:right="851" w:hanging="567"/>
        <w:rPr>
          <w:rFonts w:cs="Arial"/>
          <w:i/>
        </w:rPr>
      </w:pPr>
      <w:r w:rsidRPr="001F355F">
        <w:rPr>
          <w:rFonts w:cs="Arial"/>
          <w:i/>
        </w:rPr>
        <w:t>3.</w:t>
      </w:r>
      <w:r w:rsidRPr="001F355F">
        <w:rPr>
          <w:rFonts w:cs="Arial"/>
          <w:i/>
        </w:rPr>
        <w:tab/>
        <w:t>Our insurance is in place. We attach with this letter correspondence from our insurer in this regard.</w:t>
      </w:r>
    </w:p>
    <w:p w14:paraId="491BA2F4" w14:textId="77777777" w:rsidR="003C0F87" w:rsidRPr="001F355F" w:rsidRDefault="003C0F87" w:rsidP="003C0F87">
      <w:pPr>
        <w:tabs>
          <w:tab w:val="left" w:pos="1985"/>
        </w:tabs>
        <w:spacing w:after="0" w:line="240" w:lineRule="auto"/>
        <w:ind w:left="1985" w:right="851" w:hanging="567"/>
        <w:rPr>
          <w:rFonts w:cs="Arial"/>
          <w:i/>
        </w:rPr>
      </w:pPr>
      <w:r w:rsidRPr="001F355F">
        <w:rPr>
          <w:rFonts w:cs="Arial"/>
          <w:i/>
        </w:rPr>
        <w:t>4.</w:t>
      </w:r>
      <w:r w:rsidRPr="001F355F">
        <w:rPr>
          <w:rFonts w:cs="Arial"/>
          <w:i/>
        </w:rPr>
        <w:tab/>
        <w:t>It is common course that globally there has been no business taking place as a result of the Covid-19 pandemic.</w:t>
      </w:r>
      <w:r>
        <w:rPr>
          <w:rFonts w:cs="Arial"/>
          <w:i/>
        </w:rPr>
        <w:t xml:space="preserve"> </w:t>
      </w:r>
      <w:r w:rsidRPr="001F355F">
        <w:rPr>
          <w:rFonts w:cs="Arial"/>
          <w:i/>
        </w:rPr>
        <w:t xml:space="preserve">SmartPurse Solutions (Pty) Ltd has not been spared of this … </w:t>
      </w:r>
    </w:p>
    <w:p w14:paraId="44473798" w14:textId="77777777" w:rsidR="003C0F87" w:rsidRPr="001F355F" w:rsidRDefault="003C0F87" w:rsidP="003C0F87">
      <w:pPr>
        <w:keepNext/>
        <w:tabs>
          <w:tab w:val="left" w:pos="1985"/>
        </w:tabs>
        <w:spacing w:after="0" w:line="240" w:lineRule="auto"/>
        <w:ind w:left="1985" w:right="851" w:hanging="567"/>
        <w:rPr>
          <w:rFonts w:cs="Arial"/>
          <w:i/>
        </w:rPr>
      </w:pPr>
      <w:r w:rsidRPr="001F355F">
        <w:rPr>
          <w:rFonts w:cs="Arial"/>
          <w:i/>
        </w:rPr>
        <w:t>As such, I make the following request:</w:t>
      </w:r>
    </w:p>
    <w:p w14:paraId="7B2C8A99" w14:textId="77777777" w:rsidR="003C0F87" w:rsidRPr="001F355F" w:rsidRDefault="003C0F87" w:rsidP="003C0F87">
      <w:pPr>
        <w:tabs>
          <w:tab w:val="left" w:pos="1985"/>
        </w:tabs>
        <w:spacing w:after="0" w:line="240" w:lineRule="auto"/>
        <w:ind w:left="1985" w:right="851" w:hanging="567"/>
        <w:rPr>
          <w:rFonts w:cs="Arial"/>
          <w:i/>
        </w:rPr>
      </w:pPr>
      <w:r w:rsidRPr="001F355F">
        <w:rPr>
          <w:rFonts w:cs="Arial"/>
          <w:i/>
        </w:rPr>
        <w:t>1.</w:t>
      </w:r>
      <w:r w:rsidRPr="001F355F">
        <w:rPr>
          <w:rFonts w:cs="Arial"/>
          <w:i/>
        </w:rPr>
        <w:tab/>
        <w:t>R500,000.00 of our excess funds be withdrawn immediately in order to get our business operations back in order.</w:t>
      </w:r>
    </w:p>
    <w:p w14:paraId="76CDFB40" w14:textId="77777777" w:rsidR="003C0F87" w:rsidRPr="001F355F" w:rsidRDefault="003C0F87" w:rsidP="003C0F87">
      <w:pPr>
        <w:tabs>
          <w:tab w:val="left" w:pos="1985"/>
        </w:tabs>
        <w:spacing w:after="0" w:line="240" w:lineRule="auto"/>
        <w:ind w:left="1985" w:right="851" w:hanging="567"/>
        <w:rPr>
          <w:rFonts w:cs="Arial"/>
          <w:i/>
        </w:rPr>
      </w:pPr>
      <w:r w:rsidRPr="001F355F">
        <w:rPr>
          <w:rFonts w:cs="Arial"/>
          <w:i/>
        </w:rPr>
        <w:t>2.</w:t>
      </w:r>
      <w:r w:rsidRPr="001F355F">
        <w:rPr>
          <w:rFonts w:cs="Arial"/>
          <w:i/>
        </w:rPr>
        <w:tab/>
        <w:t>The remaining balance of approximately R6,700,000.00 be capitalized over 72 months, with equal monthly instalments.</w:t>
      </w:r>
    </w:p>
    <w:p w14:paraId="572CC733" w14:textId="77777777" w:rsidR="003C0F87" w:rsidRPr="001F355F" w:rsidRDefault="003C0F87" w:rsidP="003C0F87">
      <w:pPr>
        <w:tabs>
          <w:tab w:val="left" w:pos="1985"/>
        </w:tabs>
        <w:spacing w:after="0" w:line="240" w:lineRule="auto"/>
        <w:ind w:left="1985" w:right="851" w:hanging="567"/>
        <w:rPr>
          <w:rFonts w:cs="Arial"/>
          <w:i/>
        </w:rPr>
      </w:pPr>
      <w:r w:rsidRPr="001F355F">
        <w:rPr>
          <w:rFonts w:cs="Arial"/>
          <w:i/>
        </w:rPr>
        <w:t>3.</w:t>
      </w:r>
      <w:r w:rsidRPr="001F355F">
        <w:rPr>
          <w:rFonts w:cs="Arial"/>
          <w:i/>
        </w:rPr>
        <w:tab/>
        <w:t>Assistance with obtaining our TPPP Certificate in order for us to resume our operations.</w:t>
      </w:r>
    </w:p>
    <w:p w14:paraId="6BE2E097" w14:textId="77777777" w:rsidR="003C0F87" w:rsidRPr="001F355F" w:rsidRDefault="003C0F87" w:rsidP="003C0F87">
      <w:pPr>
        <w:spacing w:after="0" w:line="240" w:lineRule="auto"/>
        <w:ind w:left="1418" w:right="851"/>
        <w:rPr>
          <w:rFonts w:cs="Arial"/>
          <w:i/>
        </w:rPr>
      </w:pPr>
      <w:r w:rsidRPr="001F355F">
        <w:rPr>
          <w:rFonts w:cs="Arial"/>
          <w:i/>
        </w:rPr>
        <w:t>We have, as from the 1</w:t>
      </w:r>
      <w:r w:rsidRPr="001F355F">
        <w:rPr>
          <w:rFonts w:cs="Arial"/>
          <w:i/>
          <w:vertAlign w:val="superscript"/>
        </w:rPr>
        <w:t>st</w:t>
      </w:r>
      <w:r w:rsidRPr="001F355F">
        <w:rPr>
          <w:rFonts w:cs="Arial"/>
          <w:i/>
        </w:rPr>
        <w:t xml:space="preserve"> April 2022, a total of R153,000.00 worth of rental income, which will be able to cover both the CPF facility as well as all other expenses relating to the building. In essence more than 75% of our rental income, which will be coming from third party tenants, will cover the CPF whilst we also resume our normal business operations.…</w:t>
      </w:r>
    </w:p>
    <w:p w14:paraId="79CF04BA" w14:textId="77777777" w:rsidR="003C0F87" w:rsidRDefault="003C0F87" w:rsidP="003C0F87">
      <w:pPr>
        <w:spacing w:after="0" w:line="240" w:lineRule="auto"/>
        <w:ind w:left="1440" w:right="851" w:firstLine="720"/>
        <w:rPr>
          <w:rFonts w:cs="Arial"/>
        </w:rPr>
      </w:pPr>
      <w:r w:rsidRPr="001F355F">
        <w:rPr>
          <w:rFonts w:cs="Arial"/>
          <w:i/>
        </w:rPr>
        <w:t>We are confident that the combination of the resumption of our core business, that of being a Third Party Payment Provider, as well as the projected (including actual) rental income, we will be able to service this facility accordingly.</w:t>
      </w:r>
      <w:r w:rsidRPr="001F355F">
        <w:rPr>
          <w:rFonts w:cs="Arial"/>
        </w:rPr>
        <w:t>”</w:t>
      </w:r>
    </w:p>
    <w:p w14:paraId="773B0710" w14:textId="77777777" w:rsidR="00100361" w:rsidRPr="00100361" w:rsidRDefault="00100361" w:rsidP="000D6BBD">
      <w:pPr>
        <w:pStyle w:val="JudgmentNumbered"/>
        <w:numPr>
          <w:ilvl w:val="0"/>
          <w:numId w:val="0"/>
        </w:numPr>
        <w:spacing w:after="0"/>
        <w:rPr>
          <w:color w:val="1F1F1F"/>
          <w:szCs w:val="24"/>
        </w:rPr>
      </w:pPr>
    </w:p>
    <w:p w14:paraId="7DCFB95D" w14:textId="6BEF4D5A" w:rsidR="003C0F87" w:rsidRPr="001F355F" w:rsidRDefault="000C19AC" w:rsidP="000C19AC">
      <w:pPr>
        <w:pStyle w:val="JudgmentNumbered"/>
        <w:keepNext/>
        <w:numPr>
          <w:ilvl w:val="0"/>
          <w:numId w:val="0"/>
        </w:numPr>
        <w:ind w:left="567" w:hanging="567"/>
        <w:rPr>
          <w:color w:val="1F1F1F"/>
          <w:szCs w:val="24"/>
        </w:rPr>
      </w:pPr>
      <w:r w:rsidRPr="001F355F">
        <w:rPr>
          <w:iCs/>
          <w:color w:val="1F1F1F"/>
          <w:szCs w:val="24"/>
        </w:rPr>
        <w:lastRenderedPageBreak/>
        <w:t>[19]</w:t>
      </w:r>
      <w:r w:rsidRPr="001F355F">
        <w:rPr>
          <w:iCs/>
          <w:color w:val="1F1F1F"/>
          <w:szCs w:val="24"/>
        </w:rPr>
        <w:tab/>
      </w:r>
      <w:r w:rsidR="00EE13EB">
        <w:rPr>
          <w:color w:val="1F1F1F"/>
          <w:szCs w:val="24"/>
        </w:rPr>
        <w:t>This is an admission on the part of the respondent that it had fallen into breach of the loan agreement. Indeed, o</w:t>
      </w:r>
      <w:r w:rsidR="003C0F87" w:rsidRPr="001F355F">
        <w:rPr>
          <w:color w:val="1F1F1F"/>
          <w:szCs w:val="24"/>
        </w:rPr>
        <w:t xml:space="preserve">n 20 June 2022, the applicant </w:t>
      </w:r>
      <w:r w:rsidR="003C0F87">
        <w:rPr>
          <w:color w:val="1F1F1F"/>
          <w:szCs w:val="24"/>
        </w:rPr>
        <w:t xml:space="preserve">dispatched yet </w:t>
      </w:r>
      <w:r w:rsidR="003C0F87" w:rsidRPr="001F355F">
        <w:rPr>
          <w:color w:val="1F1F1F"/>
          <w:szCs w:val="24"/>
        </w:rPr>
        <w:t>another letter of demand</w:t>
      </w:r>
      <w:r w:rsidR="003C0F87">
        <w:rPr>
          <w:color w:val="1F1F1F"/>
          <w:szCs w:val="24"/>
        </w:rPr>
        <w:t>, which in relevant part reads</w:t>
      </w:r>
      <w:r w:rsidR="003C0F87" w:rsidRPr="001F355F">
        <w:rPr>
          <w:color w:val="1F1F1F"/>
          <w:szCs w:val="24"/>
        </w:rPr>
        <w:t>:</w:t>
      </w:r>
    </w:p>
    <w:p w14:paraId="250732B4" w14:textId="77777777"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color w:val="1F1F1F"/>
          <w:szCs w:val="24"/>
        </w:rPr>
        <w:t>“</w:t>
      </w:r>
      <w:r w:rsidRPr="001F355F">
        <w:rPr>
          <w:rFonts w:cs="Arial"/>
          <w:i/>
          <w:color w:val="1F1F1F"/>
          <w:szCs w:val="24"/>
        </w:rPr>
        <w:t>4.</w:t>
      </w:r>
      <w:r w:rsidRPr="001F355F">
        <w:rPr>
          <w:rFonts w:cs="Arial"/>
          <w:i/>
          <w:color w:val="1F1F1F"/>
          <w:szCs w:val="24"/>
        </w:rPr>
        <w:tab/>
        <w:t>The current outstanding balance in terms of the loan referred to in 1. above is R6,357,195.96 plus interest and fees.</w:t>
      </w:r>
    </w:p>
    <w:p w14:paraId="2030D811" w14:textId="77777777"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i/>
          <w:color w:val="1F1F1F"/>
          <w:szCs w:val="24"/>
        </w:rPr>
        <w:t>5.</w:t>
      </w:r>
      <w:r w:rsidRPr="001F355F">
        <w:rPr>
          <w:rFonts w:cs="Arial"/>
          <w:i/>
          <w:color w:val="1F1F1F"/>
          <w:szCs w:val="24"/>
        </w:rPr>
        <w:tab/>
        <w:t>The defaults as described in our letter dated 17 March 2022 have not been remedied within 14 days.</w:t>
      </w:r>
    </w:p>
    <w:p w14:paraId="0CDDD241" w14:textId="77777777"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i/>
          <w:color w:val="1F1F1F"/>
          <w:szCs w:val="24"/>
        </w:rPr>
        <w:t>6.</w:t>
      </w:r>
      <w:r w:rsidRPr="001F355F">
        <w:rPr>
          <w:rFonts w:cs="Arial"/>
          <w:i/>
          <w:color w:val="1F1F1F"/>
          <w:szCs w:val="24"/>
        </w:rPr>
        <w:tab/>
        <w:t>We also refer to your request contained in the letter dated 7 April 2022.</w:t>
      </w:r>
    </w:p>
    <w:p w14:paraId="34D7C56E" w14:textId="77777777"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i/>
          <w:color w:val="1F1F1F"/>
          <w:szCs w:val="24"/>
        </w:rPr>
        <w:t>7.</w:t>
      </w:r>
      <w:r w:rsidRPr="001F355F">
        <w:rPr>
          <w:rFonts w:cs="Arial"/>
          <w:i/>
          <w:color w:val="1F1F1F"/>
          <w:szCs w:val="24"/>
        </w:rPr>
        <w:tab/>
        <w:t>The availability of prepaid funds is subject to clause 4.5 of Appendix 1 of the Loan Agreement. It is evident that there are events of default which have not been remedied. These have been highlighted in the paragraphs below.</w:t>
      </w:r>
    </w:p>
    <w:p w14:paraId="54BDE12E" w14:textId="77777777"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i/>
          <w:color w:val="1F1F1F"/>
          <w:szCs w:val="24"/>
        </w:rPr>
        <w:t>8.</w:t>
      </w:r>
      <w:r w:rsidRPr="001F355F">
        <w:rPr>
          <w:rFonts w:cs="Arial"/>
          <w:i/>
          <w:color w:val="1F1F1F"/>
          <w:szCs w:val="24"/>
        </w:rPr>
        <w:tab/>
        <w:t>In terms of request 2 and 3 in your letter, the account is not in good standing due to the events of defaults that have not been remedied.</w:t>
      </w:r>
    </w:p>
    <w:p w14:paraId="137481D9" w14:textId="77777777"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i/>
          <w:color w:val="1F1F1F"/>
          <w:szCs w:val="24"/>
        </w:rPr>
        <w:t>9.</w:t>
      </w:r>
      <w:r w:rsidRPr="001F355F">
        <w:rPr>
          <w:rFonts w:cs="Arial"/>
          <w:i/>
          <w:color w:val="1F1F1F"/>
          <w:szCs w:val="24"/>
        </w:rPr>
        <w:tab/>
        <w:t>In terms of clause 9.3.10 of Appendix 1 of the Loan Agreement, the Borrower undertook to pay all rates and taxes in respect of the property. The rates and taxes are currently in arrears, this amounts to an event of default in terms of clause 14.2.6.</w:t>
      </w:r>
    </w:p>
    <w:p w14:paraId="77A61707" w14:textId="77777777"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i/>
          <w:color w:val="1F1F1F"/>
          <w:szCs w:val="24"/>
        </w:rPr>
        <w:t>10.</w:t>
      </w:r>
      <w:r w:rsidRPr="001F355F">
        <w:rPr>
          <w:rFonts w:cs="Arial"/>
          <w:i/>
          <w:color w:val="1F1F1F"/>
          <w:szCs w:val="24"/>
        </w:rPr>
        <w:tab/>
        <w:t>In terms of clause 14.1.17 of Appendix 1 of the Loan Agreement and Event of Default shall occur if the Borrower fails to record a trading profit for one or more years. The financial information received on 21 October 2021 reflect losses for the financial year of 2020 and 2021 which amounts to an event of default.</w:t>
      </w:r>
    </w:p>
    <w:p w14:paraId="39CE6666" w14:textId="77777777" w:rsidR="003C0F87" w:rsidRPr="001F355F" w:rsidRDefault="003C0F87" w:rsidP="003C0F87">
      <w:pPr>
        <w:tabs>
          <w:tab w:val="left" w:pos="1985"/>
        </w:tabs>
        <w:spacing w:after="0" w:line="240" w:lineRule="auto"/>
        <w:ind w:left="1985" w:right="851" w:hanging="567"/>
        <w:rPr>
          <w:rFonts w:cs="Arial"/>
          <w:i/>
          <w:color w:val="1F1F1F"/>
          <w:szCs w:val="24"/>
        </w:rPr>
      </w:pPr>
      <w:r w:rsidRPr="001F355F">
        <w:rPr>
          <w:rFonts w:cs="Arial"/>
          <w:i/>
          <w:color w:val="1F1F1F"/>
          <w:szCs w:val="24"/>
        </w:rPr>
        <w:t>11.</w:t>
      </w:r>
      <w:r w:rsidRPr="001F355F">
        <w:rPr>
          <w:rFonts w:cs="Arial"/>
          <w:i/>
          <w:color w:val="1F1F1F"/>
          <w:szCs w:val="24"/>
        </w:rPr>
        <w:tab/>
        <w:t>In terms of clause 9.3.6 of Appendix 1 of the Loan Agreement, the Borrower if it becomes aware of the occurrence of any fact/circumstances which may result in a Material Adverse Effect or in the occurrence Event of Default or Potential Event of Default, forthwith in writing advise the Bank. In terms of the account statistics, and information available, the company has not been able to generate revenue for the past 24 months. This amounts to an event of default, in terms of clause 14.2.32.</w:t>
      </w:r>
    </w:p>
    <w:p w14:paraId="3E3B1E76" w14:textId="10A5C7E7" w:rsidR="003C0F87" w:rsidRPr="001F355F" w:rsidRDefault="003C0F87" w:rsidP="003C0F87">
      <w:pPr>
        <w:tabs>
          <w:tab w:val="left" w:pos="1985"/>
        </w:tabs>
        <w:spacing w:after="0" w:line="240" w:lineRule="auto"/>
        <w:ind w:left="1985" w:right="851" w:hanging="567"/>
        <w:rPr>
          <w:rFonts w:cs="Arial"/>
        </w:rPr>
      </w:pPr>
      <w:r w:rsidRPr="001F355F">
        <w:rPr>
          <w:rFonts w:cs="Arial"/>
          <w:i/>
          <w:color w:val="1F1F1F"/>
          <w:szCs w:val="24"/>
        </w:rPr>
        <w:t>12.</w:t>
      </w:r>
      <w:r w:rsidRPr="001F355F">
        <w:rPr>
          <w:rFonts w:cs="Arial"/>
          <w:i/>
          <w:color w:val="1F1F1F"/>
          <w:szCs w:val="24"/>
        </w:rPr>
        <w:tab/>
        <w:t xml:space="preserve">In the circumstances and in terms of clause 15.3 of Appendix 1 of the Loan Agreement, the Bank hereby call upon you to immediately repay the total outstanding balance in the amount of R6,357,195.96 plus interest and fees (from date hereof to date of payment, both days inclusive). </w:t>
      </w:r>
      <w:r w:rsidR="009E4644">
        <w:rPr>
          <w:rFonts w:cs="Arial"/>
          <w:i/>
          <w:color w:val="1F1F1F"/>
          <w:szCs w:val="24"/>
        </w:rPr>
        <w:t xml:space="preserve">Failing which we shall have no alternative but to take action as deemed fit to protect our interests. </w:t>
      </w:r>
      <w:r w:rsidRPr="001F355F">
        <w:rPr>
          <w:rFonts w:cs="Arial"/>
          <w:i/>
          <w:color w:val="1F1F1F"/>
          <w:szCs w:val="24"/>
        </w:rPr>
        <w:t xml:space="preserve">This may include handing the matter over to our attorneys for collection and realisation of all securities and credit balances held. The costs incurred in this process will be for </w:t>
      </w:r>
      <w:r w:rsidRPr="001F355F">
        <w:rPr>
          <w:rFonts w:cs="Arial"/>
          <w:i/>
          <w:color w:val="1F1F1F"/>
          <w:szCs w:val="24"/>
        </w:rPr>
        <w:lastRenderedPageBreak/>
        <w:t>your account and any amounts then received will also be utilised to cover these costs.</w:t>
      </w:r>
      <w:r w:rsidRPr="001F355F">
        <w:rPr>
          <w:rFonts w:cs="Arial"/>
        </w:rPr>
        <w:t>”</w:t>
      </w:r>
    </w:p>
    <w:p w14:paraId="7D0C72AD" w14:textId="77777777" w:rsidR="003C0F87" w:rsidRPr="001F355F" w:rsidRDefault="003C0F87" w:rsidP="00100361">
      <w:pPr>
        <w:pStyle w:val="JudgmentNumbered"/>
        <w:numPr>
          <w:ilvl w:val="0"/>
          <w:numId w:val="0"/>
        </w:numPr>
        <w:spacing w:after="0"/>
        <w:ind w:left="567"/>
        <w:rPr>
          <w:color w:val="1F1F1F"/>
          <w:szCs w:val="24"/>
        </w:rPr>
      </w:pPr>
    </w:p>
    <w:p w14:paraId="61984092" w14:textId="056417BC" w:rsidR="003C0F87" w:rsidRPr="00C033BB" w:rsidRDefault="000C19AC" w:rsidP="000C19AC">
      <w:pPr>
        <w:pStyle w:val="JudgmentNumbered"/>
        <w:numPr>
          <w:ilvl w:val="0"/>
          <w:numId w:val="0"/>
        </w:numPr>
        <w:ind w:left="567" w:hanging="567"/>
        <w:rPr>
          <w:color w:val="1F1F1F"/>
          <w:szCs w:val="24"/>
        </w:rPr>
      </w:pPr>
      <w:r w:rsidRPr="00C033BB">
        <w:rPr>
          <w:iCs/>
          <w:color w:val="1F1F1F"/>
          <w:szCs w:val="24"/>
        </w:rPr>
        <w:t>[20]</w:t>
      </w:r>
      <w:r w:rsidRPr="00C033BB">
        <w:rPr>
          <w:iCs/>
          <w:color w:val="1F1F1F"/>
          <w:szCs w:val="24"/>
        </w:rPr>
        <w:tab/>
      </w:r>
      <w:r w:rsidR="003C0F87" w:rsidRPr="001F355F">
        <w:rPr>
          <w:color w:val="1D1D1D"/>
          <w:szCs w:val="24"/>
        </w:rPr>
        <w:t xml:space="preserve">In </w:t>
      </w:r>
      <w:r w:rsidR="003C0F87" w:rsidRPr="001F355F">
        <w:rPr>
          <w:color w:val="1F1F1F"/>
          <w:szCs w:val="24"/>
        </w:rPr>
        <w:t>response</w:t>
      </w:r>
      <w:r w:rsidR="003C0F87" w:rsidRPr="001F355F">
        <w:rPr>
          <w:color w:val="1D1D1D"/>
          <w:szCs w:val="24"/>
        </w:rPr>
        <w:t xml:space="preserve"> to that letter, </w:t>
      </w:r>
      <w:r w:rsidR="003C0F87">
        <w:rPr>
          <w:color w:val="1D1D1D"/>
          <w:szCs w:val="24"/>
        </w:rPr>
        <w:t xml:space="preserve">on 12 August 2022 </w:t>
      </w:r>
      <w:r w:rsidR="00297A6B">
        <w:rPr>
          <w:color w:val="1D1D1D"/>
          <w:szCs w:val="24"/>
        </w:rPr>
        <w:t>the respondent</w:t>
      </w:r>
      <w:r w:rsidR="003C0F87" w:rsidRPr="001F355F">
        <w:rPr>
          <w:color w:val="1D1D1D"/>
          <w:szCs w:val="24"/>
        </w:rPr>
        <w:t xml:space="preserve"> wrote to the applicant reiterating </w:t>
      </w:r>
      <w:r w:rsidR="003C0F87">
        <w:rPr>
          <w:color w:val="1D1D1D"/>
          <w:szCs w:val="24"/>
        </w:rPr>
        <w:t xml:space="preserve">the substance of </w:t>
      </w:r>
      <w:r w:rsidR="003C0F87" w:rsidRPr="001F355F">
        <w:rPr>
          <w:color w:val="1D1D1D"/>
          <w:szCs w:val="24"/>
        </w:rPr>
        <w:t>its settlement proposal of 7 April 2022</w:t>
      </w:r>
      <w:r w:rsidR="003C0F87">
        <w:rPr>
          <w:color w:val="1D1D1D"/>
          <w:szCs w:val="24"/>
        </w:rPr>
        <w:t>.</w:t>
      </w:r>
      <w:r w:rsidR="003C0F87">
        <w:rPr>
          <w:color w:val="1F1F1F"/>
          <w:szCs w:val="24"/>
        </w:rPr>
        <w:t xml:space="preserve"> </w:t>
      </w:r>
      <w:r w:rsidR="003C0F87" w:rsidRPr="00F229B7">
        <w:rPr>
          <w:color w:val="1D1D1D"/>
          <w:szCs w:val="24"/>
        </w:rPr>
        <w:t>The applicant rejected it.</w:t>
      </w:r>
    </w:p>
    <w:p w14:paraId="132FEC20" w14:textId="70CD0C77" w:rsidR="00100361" w:rsidRPr="001A7841" w:rsidRDefault="000C19AC" w:rsidP="000C19AC">
      <w:pPr>
        <w:pStyle w:val="JudgmentNumbered"/>
        <w:numPr>
          <w:ilvl w:val="0"/>
          <w:numId w:val="0"/>
        </w:numPr>
        <w:ind w:left="567" w:hanging="567"/>
        <w:rPr>
          <w:color w:val="1F1F1F"/>
          <w:szCs w:val="24"/>
        </w:rPr>
      </w:pPr>
      <w:r w:rsidRPr="001A7841">
        <w:rPr>
          <w:iCs/>
          <w:color w:val="1F1F1F"/>
          <w:szCs w:val="24"/>
        </w:rPr>
        <w:t>[21]</w:t>
      </w:r>
      <w:r w:rsidRPr="001A7841">
        <w:rPr>
          <w:iCs/>
          <w:color w:val="1F1F1F"/>
          <w:szCs w:val="24"/>
        </w:rPr>
        <w:tab/>
      </w:r>
      <w:r w:rsidR="003C0F87">
        <w:rPr>
          <w:color w:val="1D1D1D"/>
          <w:szCs w:val="24"/>
        </w:rPr>
        <w:t xml:space="preserve">On 19 August 2022, </w:t>
      </w:r>
      <w:r w:rsidR="00100361">
        <w:rPr>
          <w:color w:val="1D1D1D"/>
          <w:szCs w:val="24"/>
        </w:rPr>
        <w:t>the applicant’s</w:t>
      </w:r>
      <w:r w:rsidR="003C0F87">
        <w:rPr>
          <w:color w:val="1D1D1D"/>
          <w:szCs w:val="24"/>
        </w:rPr>
        <w:t xml:space="preserve"> attorneys </w:t>
      </w:r>
      <w:r w:rsidR="00100361">
        <w:rPr>
          <w:color w:val="1D1D1D"/>
          <w:szCs w:val="24"/>
        </w:rPr>
        <w:t xml:space="preserve">sent </w:t>
      </w:r>
      <w:r w:rsidR="003C0F87">
        <w:rPr>
          <w:color w:val="1D1D1D"/>
          <w:szCs w:val="24"/>
        </w:rPr>
        <w:t xml:space="preserve">to </w:t>
      </w:r>
      <w:r w:rsidR="001A7841">
        <w:rPr>
          <w:color w:val="1D1D1D"/>
          <w:szCs w:val="24"/>
        </w:rPr>
        <w:t xml:space="preserve">the e-mail address </w:t>
      </w:r>
      <w:hyperlink r:id="rId13" w:history="1">
        <w:r w:rsidR="001A7841" w:rsidRPr="00A75EEC">
          <w:rPr>
            <w:rStyle w:val="Hyperlink"/>
            <w:szCs w:val="24"/>
          </w:rPr>
          <w:t>info@smartpurse.co.za</w:t>
        </w:r>
      </w:hyperlink>
      <w:r w:rsidR="001A7841">
        <w:rPr>
          <w:color w:val="1D1D1D"/>
          <w:szCs w:val="24"/>
        </w:rPr>
        <w:t xml:space="preserve"> </w:t>
      </w:r>
      <w:r w:rsidR="003C0F87" w:rsidRPr="001A7841">
        <w:rPr>
          <w:color w:val="1D1D1D"/>
          <w:szCs w:val="24"/>
        </w:rPr>
        <w:t xml:space="preserve">a </w:t>
      </w:r>
      <w:r w:rsidR="00100361" w:rsidRPr="001A7841">
        <w:rPr>
          <w:color w:val="1D1D1D"/>
          <w:szCs w:val="24"/>
        </w:rPr>
        <w:t xml:space="preserve">letter of </w:t>
      </w:r>
      <w:r w:rsidR="003C0F87" w:rsidRPr="001A7841">
        <w:rPr>
          <w:color w:val="1D1D1D"/>
          <w:szCs w:val="24"/>
        </w:rPr>
        <w:t>demand</w:t>
      </w:r>
      <w:r w:rsidR="003C0F87">
        <w:rPr>
          <w:color w:val="1D1D1D"/>
          <w:szCs w:val="24"/>
        </w:rPr>
        <w:t xml:space="preserve"> </w:t>
      </w:r>
      <w:r w:rsidR="003C0F87" w:rsidRPr="001F355F">
        <w:rPr>
          <w:color w:val="1D1D1D"/>
          <w:szCs w:val="24"/>
        </w:rPr>
        <w:t>under section 345(1)(a)</w:t>
      </w:r>
      <w:r w:rsidR="004809BE">
        <w:rPr>
          <w:color w:val="1D1D1D"/>
          <w:szCs w:val="24"/>
        </w:rPr>
        <w:t>(i)</w:t>
      </w:r>
      <w:r w:rsidR="003C0F87" w:rsidRPr="001F355F">
        <w:rPr>
          <w:color w:val="1D1D1D"/>
          <w:szCs w:val="24"/>
        </w:rPr>
        <w:t xml:space="preserve"> of the Companies Act, 1973.</w:t>
      </w:r>
    </w:p>
    <w:p w14:paraId="31D1F99E" w14:textId="0AD036A5" w:rsidR="001A7841" w:rsidRPr="001A7841" w:rsidRDefault="000C19AC" w:rsidP="000C19AC">
      <w:pPr>
        <w:pStyle w:val="JudgmentNumbered"/>
        <w:numPr>
          <w:ilvl w:val="0"/>
          <w:numId w:val="0"/>
        </w:numPr>
        <w:ind w:left="567" w:hanging="567"/>
        <w:rPr>
          <w:color w:val="1F1F1F"/>
          <w:szCs w:val="24"/>
        </w:rPr>
      </w:pPr>
      <w:r w:rsidRPr="001A7841">
        <w:rPr>
          <w:iCs/>
          <w:color w:val="1F1F1F"/>
          <w:szCs w:val="24"/>
        </w:rPr>
        <w:t>[22]</w:t>
      </w:r>
      <w:r w:rsidRPr="001A7841">
        <w:rPr>
          <w:iCs/>
          <w:color w:val="1F1F1F"/>
          <w:szCs w:val="24"/>
        </w:rPr>
        <w:tab/>
      </w:r>
      <w:r w:rsidR="001A7841">
        <w:rPr>
          <w:color w:val="1D1D1D"/>
          <w:szCs w:val="24"/>
        </w:rPr>
        <w:t>On 13 September 2022, the sheriff served a copy of that letter of demand on one Ms GP Sika, a receptionist at the registered office of the respondent, at 12 Sunninghill Office Park, in Peltier Drive, in Sunninghill.</w:t>
      </w:r>
    </w:p>
    <w:p w14:paraId="7A60D4C4" w14:textId="09688C04" w:rsidR="00100361" w:rsidRPr="00100361" w:rsidRDefault="000C19AC" w:rsidP="000C19AC">
      <w:pPr>
        <w:pStyle w:val="JudgmentNumbered"/>
        <w:numPr>
          <w:ilvl w:val="0"/>
          <w:numId w:val="0"/>
        </w:numPr>
        <w:ind w:left="567" w:hanging="567"/>
        <w:rPr>
          <w:color w:val="1F1F1F"/>
          <w:szCs w:val="24"/>
        </w:rPr>
      </w:pPr>
      <w:r w:rsidRPr="00100361">
        <w:rPr>
          <w:iCs/>
          <w:color w:val="1F1F1F"/>
          <w:szCs w:val="24"/>
        </w:rPr>
        <w:t>[23]</w:t>
      </w:r>
      <w:r w:rsidRPr="00100361">
        <w:rPr>
          <w:iCs/>
          <w:color w:val="1F1F1F"/>
          <w:szCs w:val="24"/>
        </w:rPr>
        <w:tab/>
      </w:r>
      <w:r w:rsidR="001A7841" w:rsidRPr="001F355F">
        <w:rPr>
          <w:color w:val="1D1D1D"/>
          <w:szCs w:val="24"/>
        </w:rPr>
        <w:t xml:space="preserve">In </w:t>
      </w:r>
      <w:r w:rsidR="001A7841">
        <w:rPr>
          <w:color w:val="1D1D1D"/>
          <w:szCs w:val="24"/>
        </w:rPr>
        <w:t xml:space="preserve">that letter, </w:t>
      </w:r>
      <w:r w:rsidR="001A7841" w:rsidRPr="001F355F">
        <w:rPr>
          <w:color w:val="1D1D1D"/>
          <w:szCs w:val="24"/>
        </w:rPr>
        <w:t xml:space="preserve">the applicant listed various events of default on </w:t>
      </w:r>
      <w:r w:rsidR="001A7841">
        <w:rPr>
          <w:color w:val="1D1D1D"/>
          <w:szCs w:val="24"/>
        </w:rPr>
        <w:t>the respondent’s part</w:t>
      </w:r>
      <w:r w:rsidR="001A7841" w:rsidRPr="001F355F">
        <w:rPr>
          <w:color w:val="1D1D1D"/>
          <w:szCs w:val="24"/>
        </w:rPr>
        <w:t>.</w:t>
      </w:r>
      <w:r w:rsidR="001A7841">
        <w:rPr>
          <w:color w:val="1D1D1D"/>
          <w:szCs w:val="24"/>
        </w:rPr>
        <w:t xml:space="preserve"> </w:t>
      </w:r>
      <w:r w:rsidR="003C0F87" w:rsidRPr="00F229B7">
        <w:rPr>
          <w:color w:val="1D1D1D"/>
          <w:szCs w:val="24"/>
        </w:rPr>
        <w:t xml:space="preserve">The letter ended </w:t>
      </w:r>
      <w:r w:rsidR="00100361">
        <w:rPr>
          <w:color w:val="1D1D1D"/>
          <w:szCs w:val="24"/>
        </w:rPr>
        <w:t>in these words</w:t>
      </w:r>
      <w:r w:rsidR="003C0F87" w:rsidRPr="00F229B7">
        <w:rPr>
          <w:color w:val="1D1D1D"/>
          <w:szCs w:val="24"/>
        </w:rPr>
        <w:t xml:space="preserve">: </w:t>
      </w:r>
      <w:r w:rsidR="003C0F87" w:rsidRPr="00F229B7">
        <w:rPr>
          <w:iCs/>
          <w:color w:val="1D1D1D"/>
          <w:szCs w:val="24"/>
        </w:rPr>
        <w:t>“</w:t>
      </w:r>
      <w:r w:rsidR="003C0F87" w:rsidRPr="00F229B7">
        <w:rPr>
          <w:i/>
          <w:color w:val="1D1D1D"/>
          <w:szCs w:val="24"/>
        </w:rPr>
        <w:t>Accordingly we are instructed to demand, as we hereby do, repayment by Smartpurse to FNB of the indebtedness owing by Smartpurse to FNB.</w:t>
      </w:r>
      <w:r w:rsidR="003C0F87" w:rsidRPr="00F229B7">
        <w:rPr>
          <w:color w:val="1D1D1D"/>
          <w:szCs w:val="24"/>
        </w:rPr>
        <w:t>”</w:t>
      </w:r>
    </w:p>
    <w:p w14:paraId="2EB883EB" w14:textId="3F1450B2" w:rsidR="003C0F87" w:rsidRPr="00FD1467" w:rsidRDefault="000C19AC" w:rsidP="000C19AC">
      <w:pPr>
        <w:pStyle w:val="JudgmentNumbered"/>
        <w:numPr>
          <w:ilvl w:val="0"/>
          <w:numId w:val="0"/>
        </w:numPr>
        <w:ind w:left="567" w:hanging="567"/>
        <w:rPr>
          <w:color w:val="1F1F1F"/>
          <w:szCs w:val="24"/>
        </w:rPr>
      </w:pPr>
      <w:r w:rsidRPr="00FD1467">
        <w:rPr>
          <w:iCs/>
          <w:color w:val="1F1F1F"/>
          <w:szCs w:val="24"/>
        </w:rPr>
        <w:t>[24]</w:t>
      </w:r>
      <w:r w:rsidRPr="00FD1467">
        <w:rPr>
          <w:iCs/>
          <w:color w:val="1F1F1F"/>
          <w:szCs w:val="24"/>
        </w:rPr>
        <w:tab/>
      </w:r>
      <w:r w:rsidR="00297A6B">
        <w:rPr>
          <w:color w:val="1D1D1D"/>
          <w:szCs w:val="24"/>
        </w:rPr>
        <w:t>The respondent</w:t>
      </w:r>
      <w:r w:rsidR="003C0F87" w:rsidRPr="001F355F">
        <w:rPr>
          <w:color w:val="1D1D1D"/>
          <w:szCs w:val="24"/>
        </w:rPr>
        <w:t xml:space="preserve"> did not accede to th</w:t>
      </w:r>
      <w:r w:rsidR="00100361">
        <w:rPr>
          <w:color w:val="1D1D1D"/>
          <w:szCs w:val="24"/>
        </w:rPr>
        <w:t>at</w:t>
      </w:r>
      <w:r w:rsidR="003C0F87" w:rsidRPr="001F355F">
        <w:rPr>
          <w:color w:val="1D1D1D"/>
          <w:szCs w:val="24"/>
        </w:rPr>
        <w:t xml:space="preserve"> </w:t>
      </w:r>
      <w:r w:rsidR="003C0F87">
        <w:rPr>
          <w:color w:val="1D1D1D"/>
          <w:szCs w:val="24"/>
        </w:rPr>
        <w:t xml:space="preserve">statutory </w:t>
      </w:r>
      <w:r w:rsidR="003C0F87" w:rsidRPr="001F355F">
        <w:rPr>
          <w:color w:val="1D1D1D"/>
          <w:szCs w:val="24"/>
        </w:rPr>
        <w:t>demand</w:t>
      </w:r>
      <w:r w:rsidR="00175C38">
        <w:rPr>
          <w:color w:val="1D1D1D"/>
          <w:szCs w:val="24"/>
        </w:rPr>
        <w:t>, within three weeks or at all.</w:t>
      </w:r>
    </w:p>
    <w:p w14:paraId="77E3A931" w14:textId="59B1DE93" w:rsidR="00A54F0F" w:rsidRDefault="00C705AE" w:rsidP="00A54F0F">
      <w:pPr>
        <w:pStyle w:val="JudgmentNumbered"/>
        <w:keepNext/>
        <w:numPr>
          <w:ilvl w:val="0"/>
          <w:numId w:val="0"/>
        </w:numPr>
        <w:rPr>
          <w:b/>
        </w:rPr>
      </w:pPr>
      <w:r>
        <w:rPr>
          <w:b/>
        </w:rPr>
        <w:t>THE LAW</w:t>
      </w:r>
    </w:p>
    <w:p w14:paraId="04DD39E1" w14:textId="4EDBFC77" w:rsidR="002F37F7" w:rsidRPr="00A54F0F" w:rsidRDefault="002F37F7" w:rsidP="00A54F0F">
      <w:pPr>
        <w:pStyle w:val="JudgmentNumbered"/>
        <w:keepNext/>
        <w:numPr>
          <w:ilvl w:val="0"/>
          <w:numId w:val="0"/>
        </w:numPr>
        <w:rPr>
          <w:b/>
          <w:color w:val="1F1F1F"/>
          <w:szCs w:val="24"/>
        </w:rPr>
      </w:pPr>
      <w:r>
        <w:rPr>
          <w:b/>
        </w:rPr>
        <w:t>Sections 3</w:t>
      </w:r>
      <w:r w:rsidR="00175C38">
        <w:rPr>
          <w:b/>
        </w:rPr>
        <w:t>44–</w:t>
      </w:r>
      <w:r>
        <w:rPr>
          <w:b/>
        </w:rPr>
        <w:t>34</w:t>
      </w:r>
      <w:r w:rsidR="00175C38">
        <w:rPr>
          <w:b/>
        </w:rPr>
        <w:t>6</w:t>
      </w:r>
    </w:p>
    <w:p w14:paraId="75F9267D" w14:textId="2226A1A7" w:rsidR="00A54F0F" w:rsidRPr="0058166E" w:rsidRDefault="000C19AC" w:rsidP="000C19AC">
      <w:pPr>
        <w:pStyle w:val="JudgmentNumbered"/>
        <w:keepNext/>
        <w:numPr>
          <w:ilvl w:val="0"/>
          <w:numId w:val="0"/>
        </w:numPr>
        <w:ind w:left="567" w:hanging="567"/>
        <w:rPr>
          <w:color w:val="1F1F1F"/>
          <w:szCs w:val="24"/>
        </w:rPr>
      </w:pPr>
      <w:r w:rsidRPr="0058166E">
        <w:rPr>
          <w:iCs/>
          <w:color w:val="1F1F1F"/>
          <w:szCs w:val="24"/>
        </w:rPr>
        <w:t>[25]</w:t>
      </w:r>
      <w:r w:rsidRPr="0058166E">
        <w:rPr>
          <w:iCs/>
          <w:color w:val="1F1F1F"/>
          <w:szCs w:val="24"/>
        </w:rPr>
        <w:tab/>
      </w:r>
      <w:r w:rsidR="00A54F0F" w:rsidRPr="0093587B">
        <w:rPr>
          <w:color w:val="1D1D1D"/>
          <w:szCs w:val="24"/>
        </w:rPr>
        <w:t xml:space="preserve">Section 345 </w:t>
      </w:r>
      <w:r w:rsidR="00A54F0F">
        <w:rPr>
          <w:color w:val="1D1D1D"/>
          <w:szCs w:val="24"/>
        </w:rPr>
        <w:t xml:space="preserve">of the Companies Act, 1973, provides: </w:t>
      </w:r>
    </w:p>
    <w:p w14:paraId="2F5CC66F" w14:textId="4B52BD31" w:rsidR="00A54F0F" w:rsidRDefault="00A54F0F" w:rsidP="00844E60">
      <w:pPr>
        <w:pStyle w:val="JudgmentNumbered"/>
        <w:numPr>
          <w:ilvl w:val="0"/>
          <w:numId w:val="0"/>
        </w:numPr>
        <w:tabs>
          <w:tab w:val="left" w:pos="2127"/>
        </w:tabs>
        <w:spacing w:after="0" w:line="240" w:lineRule="auto"/>
        <w:ind w:left="2127" w:right="851" w:hanging="709"/>
        <w:rPr>
          <w:i/>
          <w:color w:val="1D1D1D"/>
          <w:szCs w:val="24"/>
        </w:rPr>
      </w:pPr>
      <w:r>
        <w:rPr>
          <w:color w:val="1D1D1D"/>
          <w:szCs w:val="24"/>
        </w:rPr>
        <w:t>“</w:t>
      </w:r>
      <w:r w:rsidRPr="002F318B">
        <w:rPr>
          <w:i/>
          <w:color w:val="1D1D1D"/>
          <w:szCs w:val="24"/>
        </w:rPr>
        <w:t xml:space="preserve">(1) </w:t>
      </w:r>
      <w:r>
        <w:rPr>
          <w:i/>
          <w:color w:val="1D1D1D"/>
          <w:szCs w:val="24"/>
        </w:rPr>
        <w:tab/>
      </w:r>
      <w:r w:rsidRPr="002F318B">
        <w:rPr>
          <w:i/>
          <w:color w:val="1D1D1D"/>
          <w:szCs w:val="24"/>
        </w:rPr>
        <w:t>A company or body corporate shall be deemed to be unable to pay its debts if</w:t>
      </w:r>
      <w:r>
        <w:rPr>
          <w:i/>
          <w:color w:val="1D1D1D"/>
          <w:szCs w:val="24"/>
        </w:rPr>
        <w:t xml:space="preserve"> –</w:t>
      </w:r>
    </w:p>
    <w:p w14:paraId="665E1A87" w14:textId="5F7D58D5" w:rsidR="00A54F0F" w:rsidRDefault="00A54F0F" w:rsidP="00844E60">
      <w:pPr>
        <w:pStyle w:val="JudgmentNumbered"/>
        <w:numPr>
          <w:ilvl w:val="0"/>
          <w:numId w:val="0"/>
        </w:numPr>
        <w:tabs>
          <w:tab w:val="left" w:pos="2694"/>
        </w:tabs>
        <w:spacing w:after="0" w:line="240" w:lineRule="auto"/>
        <w:ind w:left="2694" w:right="851" w:hanging="567"/>
        <w:rPr>
          <w:i/>
          <w:color w:val="1D1D1D"/>
          <w:szCs w:val="24"/>
        </w:rPr>
      </w:pPr>
      <w:r w:rsidRPr="002F318B">
        <w:rPr>
          <w:i/>
          <w:color w:val="1D1D1D"/>
          <w:szCs w:val="24"/>
        </w:rPr>
        <w:t xml:space="preserve">(a) </w:t>
      </w:r>
      <w:r>
        <w:rPr>
          <w:i/>
          <w:color w:val="1D1D1D"/>
          <w:szCs w:val="24"/>
        </w:rPr>
        <w:tab/>
      </w:r>
      <w:r w:rsidRPr="002F318B">
        <w:rPr>
          <w:i/>
          <w:color w:val="1D1D1D"/>
          <w:szCs w:val="24"/>
        </w:rPr>
        <w:t>a creditor, by cession or otherwise, to whom the company is indebted in a sum not less than one hundred rand then due</w:t>
      </w:r>
      <w:r>
        <w:rPr>
          <w:i/>
          <w:color w:val="1D1D1D"/>
          <w:szCs w:val="24"/>
        </w:rPr>
        <w:t xml:space="preserve"> –</w:t>
      </w:r>
    </w:p>
    <w:p w14:paraId="2ABAA02D" w14:textId="77777777" w:rsidR="00A54F0F" w:rsidRDefault="00A54F0F" w:rsidP="00844E60">
      <w:pPr>
        <w:pStyle w:val="JudgmentNumbered"/>
        <w:numPr>
          <w:ilvl w:val="0"/>
          <w:numId w:val="0"/>
        </w:numPr>
        <w:tabs>
          <w:tab w:val="left" w:pos="3261"/>
        </w:tabs>
        <w:spacing w:after="0" w:line="240" w:lineRule="auto"/>
        <w:ind w:left="3261" w:right="851" w:hanging="567"/>
        <w:rPr>
          <w:i/>
          <w:color w:val="1D1D1D"/>
          <w:szCs w:val="24"/>
        </w:rPr>
      </w:pPr>
      <w:r w:rsidRPr="002F318B">
        <w:rPr>
          <w:i/>
          <w:color w:val="1D1D1D"/>
          <w:szCs w:val="24"/>
        </w:rPr>
        <w:t>(i)</w:t>
      </w:r>
      <w:r>
        <w:rPr>
          <w:i/>
          <w:color w:val="1D1D1D"/>
          <w:szCs w:val="24"/>
        </w:rPr>
        <w:tab/>
      </w:r>
      <w:r w:rsidRPr="002F318B">
        <w:rPr>
          <w:i/>
          <w:color w:val="1D1D1D"/>
          <w:szCs w:val="24"/>
        </w:rPr>
        <w:t xml:space="preserve">has served on the company, by leaving the same at its registered office, a demand requiring the company to pay the sum so due; or  </w:t>
      </w:r>
    </w:p>
    <w:p w14:paraId="4940A658" w14:textId="37003DAE" w:rsidR="00A54F0F" w:rsidRDefault="00A54F0F" w:rsidP="00844E60">
      <w:pPr>
        <w:pStyle w:val="JudgmentNumbered"/>
        <w:numPr>
          <w:ilvl w:val="0"/>
          <w:numId w:val="0"/>
        </w:numPr>
        <w:tabs>
          <w:tab w:val="left" w:pos="3261"/>
        </w:tabs>
        <w:spacing w:after="0" w:line="240" w:lineRule="auto"/>
        <w:ind w:left="3261" w:right="851" w:hanging="567"/>
        <w:rPr>
          <w:i/>
          <w:color w:val="1D1D1D"/>
          <w:szCs w:val="24"/>
        </w:rPr>
      </w:pPr>
      <w:r w:rsidRPr="002F318B">
        <w:rPr>
          <w:i/>
          <w:color w:val="1D1D1D"/>
          <w:szCs w:val="24"/>
        </w:rPr>
        <w:t>(ii)</w:t>
      </w:r>
      <w:r>
        <w:rPr>
          <w:i/>
          <w:color w:val="1D1D1D"/>
          <w:szCs w:val="24"/>
        </w:rPr>
        <w:tab/>
      </w:r>
      <w:r w:rsidRPr="002F318B">
        <w:rPr>
          <w:i/>
          <w:color w:val="1D1D1D"/>
          <w:szCs w:val="24"/>
        </w:rPr>
        <w:t xml:space="preserve">in the case of any body corporate not incorporated under this Act, has served such demand by leaving it at its main office or delivering it to the secretary or some director, </w:t>
      </w:r>
      <w:r w:rsidRPr="002F318B">
        <w:rPr>
          <w:i/>
          <w:color w:val="1D1D1D"/>
          <w:szCs w:val="24"/>
        </w:rPr>
        <w:lastRenderedPageBreak/>
        <w:t xml:space="preserve">manager or principal officer of such body corporate or in such other manner as the Court may direct, and the company or body corporate has for three weeks thereafter neglected to pay the sum, or to secure or compound for it to the reasonable satisfaction of the creditor; or  </w:t>
      </w:r>
    </w:p>
    <w:p w14:paraId="33A0BEF2" w14:textId="77777777" w:rsidR="00A54F0F" w:rsidRDefault="00A54F0F" w:rsidP="00844E60">
      <w:pPr>
        <w:pStyle w:val="JudgmentNumbered"/>
        <w:numPr>
          <w:ilvl w:val="0"/>
          <w:numId w:val="0"/>
        </w:numPr>
        <w:tabs>
          <w:tab w:val="left" w:pos="2694"/>
        </w:tabs>
        <w:spacing w:after="0" w:line="240" w:lineRule="auto"/>
        <w:ind w:left="2694" w:right="851" w:hanging="567"/>
        <w:rPr>
          <w:i/>
          <w:color w:val="1D1D1D"/>
          <w:szCs w:val="24"/>
        </w:rPr>
      </w:pPr>
      <w:r w:rsidRPr="002F318B">
        <w:rPr>
          <w:i/>
          <w:color w:val="1D1D1D"/>
          <w:szCs w:val="24"/>
        </w:rPr>
        <w:t xml:space="preserve">(b) </w:t>
      </w:r>
      <w:r>
        <w:rPr>
          <w:i/>
          <w:color w:val="1D1D1D"/>
          <w:szCs w:val="24"/>
        </w:rPr>
        <w:tab/>
      </w:r>
      <w:r w:rsidRPr="002F318B">
        <w:rPr>
          <w:i/>
          <w:color w:val="1D1D1D"/>
          <w:szCs w:val="24"/>
        </w:rPr>
        <w:t xml:space="preserve">any process issued on a judgment, decree or order of any court in favour of a creditor of the company is returned by the sheriff or the messenger with an endorsement that he has not found sufficient disposable property to satisfy the judgment, decree or order or that any disposable property found did not upon sale satisfy such process; or  </w:t>
      </w:r>
    </w:p>
    <w:p w14:paraId="59933CBE" w14:textId="718ADC02" w:rsidR="00A54F0F" w:rsidRDefault="00A54F0F" w:rsidP="00844E60">
      <w:pPr>
        <w:pStyle w:val="JudgmentNumbered"/>
        <w:numPr>
          <w:ilvl w:val="0"/>
          <w:numId w:val="0"/>
        </w:numPr>
        <w:tabs>
          <w:tab w:val="left" w:pos="2694"/>
        </w:tabs>
        <w:spacing w:after="0" w:line="240" w:lineRule="auto"/>
        <w:ind w:left="2694" w:right="851" w:hanging="567"/>
        <w:rPr>
          <w:i/>
          <w:color w:val="1D1D1D"/>
          <w:szCs w:val="24"/>
        </w:rPr>
      </w:pPr>
      <w:r w:rsidRPr="002F318B">
        <w:rPr>
          <w:i/>
          <w:color w:val="1D1D1D"/>
          <w:szCs w:val="24"/>
        </w:rPr>
        <w:t xml:space="preserve">(c) </w:t>
      </w:r>
      <w:r>
        <w:rPr>
          <w:i/>
          <w:color w:val="1D1D1D"/>
          <w:szCs w:val="24"/>
        </w:rPr>
        <w:tab/>
      </w:r>
      <w:r w:rsidRPr="002F318B">
        <w:rPr>
          <w:i/>
          <w:color w:val="1D1D1D"/>
          <w:szCs w:val="24"/>
        </w:rPr>
        <w:t xml:space="preserve">it is proved to the satisfaction of the Court that the company is unable to pay its debts.  </w:t>
      </w:r>
    </w:p>
    <w:p w14:paraId="5EFABEBB" w14:textId="3C29E516" w:rsidR="00A54F0F" w:rsidRDefault="00A54F0F" w:rsidP="00844E60">
      <w:pPr>
        <w:pStyle w:val="JudgmentNumbered"/>
        <w:numPr>
          <w:ilvl w:val="0"/>
          <w:numId w:val="0"/>
        </w:numPr>
        <w:tabs>
          <w:tab w:val="left" w:pos="2127"/>
        </w:tabs>
        <w:spacing w:after="0" w:line="240" w:lineRule="auto"/>
        <w:ind w:left="2127" w:right="851" w:hanging="709"/>
        <w:rPr>
          <w:color w:val="1D1D1D"/>
          <w:szCs w:val="24"/>
        </w:rPr>
      </w:pPr>
      <w:r w:rsidRPr="002F318B">
        <w:rPr>
          <w:i/>
          <w:color w:val="1D1D1D"/>
          <w:szCs w:val="24"/>
        </w:rPr>
        <w:t xml:space="preserve">(2) </w:t>
      </w:r>
      <w:r>
        <w:rPr>
          <w:i/>
          <w:color w:val="1D1D1D"/>
          <w:szCs w:val="24"/>
        </w:rPr>
        <w:tab/>
      </w:r>
      <w:r w:rsidRPr="002F318B">
        <w:rPr>
          <w:i/>
          <w:color w:val="1D1D1D"/>
          <w:szCs w:val="24"/>
        </w:rPr>
        <w:t>In determining for the purpose of subsection (1) whether a company is unable to pay its debts, the Court shall also take into account the contingent and prospect</w:t>
      </w:r>
      <w:r>
        <w:rPr>
          <w:i/>
          <w:color w:val="1D1D1D"/>
          <w:szCs w:val="24"/>
        </w:rPr>
        <w:t>ive liabilities of the company.</w:t>
      </w:r>
      <w:r>
        <w:rPr>
          <w:color w:val="1D1D1D"/>
          <w:szCs w:val="24"/>
        </w:rPr>
        <w:t>”</w:t>
      </w:r>
    </w:p>
    <w:p w14:paraId="7AAB2FB8" w14:textId="77777777" w:rsidR="00FD1467" w:rsidRPr="00FD1467" w:rsidRDefault="00FD1467" w:rsidP="00FD1467">
      <w:pPr>
        <w:pStyle w:val="JudgmentNumbered"/>
        <w:numPr>
          <w:ilvl w:val="0"/>
          <w:numId w:val="0"/>
        </w:numPr>
        <w:tabs>
          <w:tab w:val="left" w:pos="2127"/>
        </w:tabs>
        <w:spacing w:after="0" w:line="240" w:lineRule="auto"/>
        <w:ind w:left="567" w:right="851" w:hanging="567"/>
        <w:rPr>
          <w:color w:val="1F1F1F"/>
          <w:szCs w:val="24"/>
        </w:rPr>
      </w:pPr>
    </w:p>
    <w:p w14:paraId="0FD55712" w14:textId="16D27030" w:rsidR="00E718E0" w:rsidRPr="00E718E0" w:rsidRDefault="000C19AC" w:rsidP="000C19AC">
      <w:pPr>
        <w:pStyle w:val="JudgmentNumbered"/>
        <w:numPr>
          <w:ilvl w:val="0"/>
          <w:numId w:val="0"/>
        </w:numPr>
        <w:ind w:left="567" w:hanging="567"/>
      </w:pPr>
      <w:r w:rsidRPr="00E718E0">
        <w:rPr>
          <w:iCs/>
        </w:rPr>
        <w:t>[26]</w:t>
      </w:r>
      <w:r w:rsidRPr="00E718E0">
        <w:rPr>
          <w:iCs/>
        </w:rPr>
        <w:tab/>
      </w:r>
      <w:r w:rsidR="00FC4158">
        <w:rPr>
          <w:color w:val="1D1D1D"/>
          <w:szCs w:val="24"/>
        </w:rPr>
        <w:t xml:space="preserve">Section 344 is headed “Circumstances in which company may be wound up”. For present purposes, only section 344(f) </w:t>
      </w:r>
      <w:r w:rsidR="00E718E0">
        <w:rPr>
          <w:color w:val="1D1D1D"/>
          <w:szCs w:val="24"/>
        </w:rPr>
        <w:t xml:space="preserve">is </w:t>
      </w:r>
      <w:r w:rsidR="00FC4158">
        <w:rPr>
          <w:color w:val="1D1D1D"/>
          <w:szCs w:val="24"/>
        </w:rPr>
        <w:t>appli</w:t>
      </w:r>
      <w:r w:rsidR="00E718E0">
        <w:rPr>
          <w:color w:val="1D1D1D"/>
          <w:szCs w:val="24"/>
        </w:rPr>
        <w:t>cable.</w:t>
      </w:r>
      <w:r w:rsidR="00FC4158">
        <w:rPr>
          <w:color w:val="1D1D1D"/>
          <w:szCs w:val="24"/>
        </w:rPr>
        <w:t xml:space="preserve"> </w:t>
      </w:r>
      <w:r w:rsidR="00E718E0">
        <w:rPr>
          <w:color w:val="1D1D1D"/>
          <w:szCs w:val="24"/>
        </w:rPr>
        <w:t xml:space="preserve">It </w:t>
      </w:r>
      <w:r w:rsidR="00FC4158">
        <w:rPr>
          <w:color w:val="1D1D1D"/>
          <w:szCs w:val="24"/>
        </w:rPr>
        <w:t>reads:</w:t>
      </w:r>
    </w:p>
    <w:p w14:paraId="79DBB475" w14:textId="637E5887" w:rsidR="00FC4158" w:rsidRDefault="00FC4158" w:rsidP="000D6BBD">
      <w:pPr>
        <w:pStyle w:val="Normal1"/>
        <w:ind w:left="1418" w:right="851"/>
      </w:pPr>
      <w:r>
        <w:t>“</w:t>
      </w:r>
      <w:r w:rsidRPr="000D6BBD">
        <w:rPr>
          <w:i/>
        </w:rPr>
        <w:t>A company may be wound up by the Court if … the company is unable to pay its debts as described in section 345</w:t>
      </w:r>
      <w:r w:rsidRPr="00FC4158">
        <w:t xml:space="preserve"> …</w:t>
      </w:r>
      <w:r>
        <w:t>”</w:t>
      </w:r>
    </w:p>
    <w:p w14:paraId="01172EAE" w14:textId="77777777" w:rsidR="000D6BBD" w:rsidRPr="000D6BBD" w:rsidRDefault="000D6BBD" w:rsidP="000D6BBD">
      <w:pPr>
        <w:pStyle w:val="JudgmentHeading"/>
        <w:spacing w:after="0"/>
        <w:rPr>
          <w:i w:val="0"/>
        </w:rPr>
      </w:pPr>
    </w:p>
    <w:p w14:paraId="3BE299B4" w14:textId="04F06EAC" w:rsidR="00175C38" w:rsidRPr="00175C38" w:rsidRDefault="000C19AC" w:rsidP="000C19AC">
      <w:pPr>
        <w:pStyle w:val="JudgmentNumbered"/>
        <w:numPr>
          <w:ilvl w:val="0"/>
          <w:numId w:val="0"/>
        </w:numPr>
        <w:ind w:left="567" w:hanging="567"/>
      </w:pPr>
      <w:r w:rsidRPr="00175C38">
        <w:rPr>
          <w:iCs/>
        </w:rPr>
        <w:t>[27]</w:t>
      </w:r>
      <w:r w:rsidRPr="00175C38">
        <w:rPr>
          <w:iCs/>
        </w:rPr>
        <w:tab/>
      </w:r>
      <w:r w:rsidR="00C275B5">
        <w:rPr>
          <w:color w:val="1D1D1D"/>
          <w:szCs w:val="24"/>
        </w:rPr>
        <w:t>Section 346(1)(b) reads:</w:t>
      </w:r>
    </w:p>
    <w:p w14:paraId="46BC270B" w14:textId="5D3E58D4" w:rsidR="00C275B5" w:rsidRDefault="00C275B5" w:rsidP="00DD7F16">
      <w:pPr>
        <w:pStyle w:val="JudgmentNumbered"/>
        <w:numPr>
          <w:ilvl w:val="0"/>
          <w:numId w:val="0"/>
        </w:numPr>
        <w:spacing w:after="0" w:line="240" w:lineRule="auto"/>
        <w:ind w:left="1418" w:right="851"/>
        <w:rPr>
          <w:color w:val="1D1D1D"/>
          <w:szCs w:val="24"/>
        </w:rPr>
      </w:pPr>
      <w:r w:rsidRPr="00DD7F16">
        <w:rPr>
          <w:color w:val="1D1D1D"/>
          <w:szCs w:val="24"/>
        </w:rPr>
        <w:t>“</w:t>
      </w:r>
      <w:r w:rsidR="004809BE" w:rsidRPr="00DD7F16">
        <w:rPr>
          <w:i/>
          <w:iCs/>
          <w:color w:val="1D1D1D"/>
          <w:szCs w:val="24"/>
        </w:rPr>
        <w:t>An application to the Court for the winding-up of a company may, subject to the provisions of this section, be made … by one or more of its creditors (including contingent or prospective creditors) …</w:t>
      </w:r>
      <w:r w:rsidRPr="00DD7F16">
        <w:rPr>
          <w:color w:val="1D1D1D"/>
          <w:szCs w:val="24"/>
        </w:rPr>
        <w:t>”</w:t>
      </w:r>
    </w:p>
    <w:p w14:paraId="4DDCDEEB" w14:textId="77777777" w:rsidR="002E55F5" w:rsidRDefault="002E55F5" w:rsidP="002E55F5">
      <w:pPr>
        <w:pStyle w:val="JudgmentNumbered"/>
        <w:numPr>
          <w:ilvl w:val="0"/>
          <w:numId w:val="0"/>
        </w:numPr>
        <w:spacing w:after="0"/>
        <w:ind w:left="567" w:hanging="567"/>
      </w:pPr>
    </w:p>
    <w:p w14:paraId="7C331A15" w14:textId="3AF5DB72" w:rsidR="00FC4158" w:rsidRPr="00FC4158" w:rsidRDefault="000C19AC" w:rsidP="000C19AC">
      <w:pPr>
        <w:pStyle w:val="JudgmentNumbered"/>
        <w:numPr>
          <w:ilvl w:val="0"/>
          <w:numId w:val="0"/>
        </w:numPr>
        <w:ind w:left="567" w:hanging="567"/>
      </w:pPr>
      <w:r w:rsidRPr="00FC4158">
        <w:rPr>
          <w:iCs/>
        </w:rPr>
        <w:t>[28]</w:t>
      </w:r>
      <w:r w:rsidRPr="00FC4158">
        <w:rPr>
          <w:iCs/>
        </w:rPr>
        <w:tab/>
      </w:r>
      <w:r w:rsidR="00FC4158">
        <w:rPr>
          <w:color w:val="1D1D1D"/>
          <w:szCs w:val="24"/>
        </w:rPr>
        <w:t>Thus, i</w:t>
      </w:r>
      <w:r w:rsidR="00A54F0F">
        <w:rPr>
          <w:color w:val="1D1D1D"/>
          <w:szCs w:val="24"/>
        </w:rPr>
        <w:t xml:space="preserve">n section 345(1), the legislature created </w:t>
      </w:r>
      <w:r w:rsidR="00E718E0">
        <w:rPr>
          <w:color w:val="1D1D1D"/>
          <w:szCs w:val="24"/>
        </w:rPr>
        <w:t xml:space="preserve">four </w:t>
      </w:r>
      <w:r w:rsidR="00C275B5">
        <w:rPr>
          <w:color w:val="1D1D1D"/>
          <w:szCs w:val="24"/>
        </w:rPr>
        <w:t>instances</w:t>
      </w:r>
      <w:r w:rsidR="00A54F0F">
        <w:rPr>
          <w:color w:val="1D1D1D"/>
          <w:szCs w:val="24"/>
        </w:rPr>
        <w:t xml:space="preserve"> in which a respondent company “</w:t>
      </w:r>
      <w:r w:rsidR="00A54F0F" w:rsidRPr="00370CC9">
        <w:rPr>
          <w:i/>
          <w:iCs/>
          <w:color w:val="1D1D1D"/>
          <w:szCs w:val="24"/>
        </w:rPr>
        <w:t>shall be deemed to be unable to pay its debts</w:t>
      </w:r>
      <w:r w:rsidR="00A54F0F">
        <w:rPr>
          <w:color w:val="1D1D1D"/>
          <w:szCs w:val="24"/>
        </w:rPr>
        <w:t>”</w:t>
      </w:r>
      <w:r w:rsidR="00FC4158">
        <w:rPr>
          <w:color w:val="1D1D1D"/>
          <w:szCs w:val="24"/>
        </w:rPr>
        <w:t>, for purposes of section 344(f).</w:t>
      </w:r>
    </w:p>
    <w:p w14:paraId="775DA3A6" w14:textId="7B104A0D" w:rsidR="000D6BBD" w:rsidRPr="00CD3438" w:rsidRDefault="000C19AC" w:rsidP="000C19AC">
      <w:pPr>
        <w:pStyle w:val="JudgmentNumbered"/>
        <w:numPr>
          <w:ilvl w:val="0"/>
          <w:numId w:val="0"/>
        </w:numPr>
        <w:ind w:left="567" w:hanging="567"/>
      </w:pPr>
      <w:r w:rsidRPr="00CD3438">
        <w:rPr>
          <w:iCs/>
        </w:rPr>
        <w:t>[29]</w:t>
      </w:r>
      <w:r w:rsidRPr="00CD3438">
        <w:rPr>
          <w:iCs/>
        </w:rPr>
        <w:tab/>
      </w:r>
      <w:r w:rsidR="00A54F0F">
        <w:rPr>
          <w:color w:val="1D1D1D"/>
          <w:szCs w:val="24"/>
        </w:rPr>
        <w:t>While common in statutes, depending on their context deeming provisions can have a range of meanings.</w:t>
      </w:r>
      <w:r w:rsidR="00A54F0F" w:rsidRPr="00677A8F">
        <w:rPr>
          <w:rStyle w:val="EndnoteReference"/>
        </w:rPr>
        <w:endnoteReference w:id="2"/>
      </w:r>
      <w:r w:rsidR="00CD5C55">
        <w:t xml:space="preserve"> </w:t>
      </w:r>
      <w:r w:rsidR="00A54F0F" w:rsidRPr="00CD5C55">
        <w:rPr>
          <w:color w:val="1D1D1D"/>
          <w:szCs w:val="24"/>
        </w:rPr>
        <w:t xml:space="preserve">Yet, </w:t>
      </w:r>
      <w:r w:rsidR="00CD5C55">
        <w:rPr>
          <w:color w:val="1D1D1D"/>
          <w:szCs w:val="24"/>
        </w:rPr>
        <w:t xml:space="preserve">as was observed in </w:t>
      </w:r>
      <w:r w:rsidR="00CD5C55" w:rsidRPr="00CD5C55">
        <w:rPr>
          <w:i/>
          <w:iCs/>
          <w:color w:val="1D1D1D"/>
          <w:szCs w:val="24"/>
        </w:rPr>
        <w:t>Commonwealth Shippers Ltd v Mayland Properties (Pty) Ltd</w:t>
      </w:r>
      <w:r w:rsidR="00CD5C55">
        <w:rPr>
          <w:color w:val="1D1D1D"/>
          <w:szCs w:val="24"/>
        </w:rPr>
        <w:t>,</w:t>
      </w:r>
      <w:r w:rsidR="000D6BBD">
        <w:rPr>
          <w:rStyle w:val="EndnoteReference"/>
          <w:color w:val="1D1D1D"/>
          <w:szCs w:val="24"/>
        </w:rPr>
        <w:endnoteReference w:id="3"/>
      </w:r>
      <w:r w:rsidR="000D6BBD">
        <w:rPr>
          <w:color w:val="1D1D1D"/>
          <w:szCs w:val="24"/>
        </w:rPr>
        <w:t xml:space="preserve"> </w:t>
      </w:r>
      <w:r w:rsidR="000D6BBD" w:rsidRPr="00CD5C55">
        <w:rPr>
          <w:color w:val="1D1D1D"/>
          <w:szCs w:val="24"/>
        </w:rPr>
        <w:t>section 345(1)(</w:t>
      </w:r>
      <w:r w:rsidR="000D6BBD">
        <w:rPr>
          <w:color w:val="1D1D1D"/>
          <w:szCs w:val="24"/>
        </w:rPr>
        <w:t>c</w:t>
      </w:r>
      <w:r w:rsidR="000D6BBD" w:rsidRPr="00CD5C55">
        <w:rPr>
          <w:color w:val="1D1D1D"/>
          <w:szCs w:val="24"/>
        </w:rPr>
        <w:t xml:space="preserve">) is </w:t>
      </w:r>
      <w:r w:rsidR="000D6BBD">
        <w:rPr>
          <w:color w:val="1D1D1D"/>
          <w:szCs w:val="24"/>
        </w:rPr>
        <w:t>“</w:t>
      </w:r>
      <w:r w:rsidR="000D6BBD" w:rsidRPr="00CD5C55">
        <w:rPr>
          <w:i/>
          <w:iCs/>
          <w:color w:val="1D1D1D"/>
          <w:szCs w:val="24"/>
        </w:rPr>
        <w:t>rather curious</w:t>
      </w:r>
      <w:r w:rsidR="000D6BBD">
        <w:rPr>
          <w:color w:val="1D1D1D"/>
          <w:szCs w:val="24"/>
        </w:rPr>
        <w:t xml:space="preserve">” and no true deeming provision, </w:t>
      </w:r>
      <w:r w:rsidR="000D6BBD" w:rsidRPr="00CD5C55">
        <w:rPr>
          <w:color w:val="1D1D1D"/>
          <w:szCs w:val="24"/>
        </w:rPr>
        <w:t>requir</w:t>
      </w:r>
      <w:r w:rsidR="000D6BBD">
        <w:rPr>
          <w:color w:val="1D1D1D"/>
          <w:szCs w:val="24"/>
        </w:rPr>
        <w:t>ing as it does</w:t>
      </w:r>
      <w:r w:rsidR="000D6BBD" w:rsidRPr="00CD5C55">
        <w:rPr>
          <w:color w:val="1D1D1D"/>
          <w:szCs w:val="24"/>
        </w:rPr>
        <w:t xml:space="preserve"> </w:t>
      </w:r>
      <w:r w:rsidR="000D6BBD">
        <w:rPr>
          <w:color w:val="1D1D1D"/>
          <w:szCs w:val="24"/>
        </w:rPr>
        <w:t xml:space="preserve">that </w:t>
      </w:r>
      <w:r w:rsidR="000D6BBD" w:rsidRPr="00CD5C55">
        <w:rPr>
          <w:color w:val="1D1D1D"/>
          <w:szCs w:val="24"/>
        </w:rPr>
        <w:t>the applicant prove to the court’s satisfaction that the company is unable to pay its debts</w:t>
      </w:r>
      <w:r w:rsidR="000D6BBD">
        <w:rPr>
          <w:color w:val="1D1D1D"/>
          <w:szCs w:val="24"/>
        </w:rPr>
        <w:t xml:space="preserve"> so that it might be deemed that the company is unable to pay its debts.</w:t>
      </w:r>
    </w:p>
    <w:p w14:paraId="79583E04" w14:textId="3C9D569B" w:rsidR="000D6BBD" w:rsidRPr="00512CDC" w:rsidRDefault="000C19AC" w:rsidP="000C19AC">
      <w:pPr>
        <w:pStyle w:val="JudgmentNumbered"/>
        <w:numPr>
          <w:ilvl w:val="0"/>
          <w:numId w:val="0"/>
        </w:numPr>
        <w:ind w:left="567" w:hanging="567"/>
      </w:pPr>
      <w:r w:rsidRPr="00512CDC">
        <w:rPr>
          <w:iCs/>
        </w:rPr>
        <w:lastRenderedPageBreak/>
        <w:t>[30]</w:t>
      </w:r>
      <w:r w:rsidRPr="00512CDC">
        <w:rPr>
          <w:iCs/>
        </w:rPr>
        <w:tab/>
      </w:r>
      <w:r w:rsidR="00C275B5">
        <w:rPr>
          <w:color w:val="1D1D1D"/>
          <w:szCs w:val="24"/>
        </w:rPr>
        <w:t xml:space="preserve">Yet, section 345(1)(a)(i) is a deeming provision properly so called. </w:t>
      </w:r>
      <w:r w:rsidR="000D6BBD">
        <w:rPr>
          <w:color w:val="1D1D1D"/>
          <w:szCs w:val="24"/>
        </w:rPr>
        <w:t>If the requirements of section 345(1)(a)(i) are met, there arises a conclusion of law for purposes of section 344(f) that the company is unable to pay its debts, even if the true position is otherwise. Naturally, a company might ignore a demand under section 345(1)(a)</w:t>
      </w:r>
      <w:r w:rsidR="00C275B5">
        <w:rPr>
          <w:color w:val="1D1D1D"/>
          <w:szCs w:val="24"/>
        </w:rPr>
        <w:t>(i)</w:t>
      </w:r>
      <w:r w:rsidR="000D6BBD">
        <w:rPr>
          <w:color w:val="1D1D1D"/>
          <w:szCs w:val="24"/>
        </w:rPr>
        <w:t>, while it is able to pay its debts.</w:t>
      </w:r>
      <w:r w:rsidR="000D6BBD">
        <w:t xml:space="preserve"> </w:t>
      </w:r>
      <w:r w:rsidR="00C275B5">
        <w:t>Compliance with section 345(1)(c) also</w:t>
      </w:r>
      <w:r w:rsidR="00C275B5">
        <w:rPr>
          <w:color w:val="1D1D1D"/>
          <w:szCs w:val="24"/>
        </w:rPr>
        <w:t xml:space="preserve"> activates section 344(f)</w:t>
      </w:r>
      <w:r w:rsidR="000D6BBD" w:rsidRPr="00E718E0">
        <w:rPr>
          <w:color w:val="1D1D1D"/>
          <w:szCs w:val="24"/>
        </w:rPr>
        <w:t xml:space="preserve">, except that </w:t>
      </w:r>
      <w:r w:rsidR="00175C38">
        <w:rPr>
          <w:color w:val="1D1D1D"/>
          <w:szCs w:val="24"/>
        </w:rPr>
        <w:t xml:space="preserve">for that </w:t>
      </w:r>
      <w:r w:rsidR="000D6BBD" w:rsidRPr="00E718E0">
        <w:rPr>
          <w:color w:val="1D1D1D"/>
          <w:szCs w:val="24"/>
        </w:rPr>
        <w:t>actual proof of the respondent’s inability to pay its debts is required.</w:t>
      </w:r>
    </w:p>
    <w:p w14:paraId="58B788F7" w14:textId="6C16AAA4" w:rsidR="00A54F0F" w:rsidRPr="00E718E0" w:rsidRDefault="000C19AC" w:rsidP="000C19AC">
      <w:pPr>
        <w:pStyle w:val="JudgmentNumbered"/>
        <w:numPr>
          <w:ilvl w:val="0"/>
          <w:numId w:val="0"/>
        </w:numPr>
        <w:ind w:left="567" w:hanging="567"/>
      </w:pPr>
      <w:r w:rsidRPr="00E718E0">
        <w:rPr>
          <w:iCs/>
        </w:rPr>
        <w:t>[31]</w:t>
      </w:r>
      <w:r w:rsidRPr="00E718E0">
        <w:rPr>
          <w:iCs/>
        </w:rPr>
        <w:tab/>
      </w:r>
      <w:r w:rsidR="00C275B5">
        <w:t>For purposes of</w:t>
      </w:r>
      <w:r w:rsidR="000D6BBD">
        <w:t xml:space="preserve"> section 345(1)(a)</w:t>
      </w:r>
      <w:r w:rsidR="00C275B5">
        <w:t>(i)</w:t>
      </w:r>
      <w:r w:rsidR="000D6BBD">
        <w:t xml:space="preserve">, other provisions </w:t>
      </w:r>
      <w:r w:rsidR="00C275B5">
        <w:t xml:space="preserve">contained </w:t>
      </w:r>
      <w:r w:rsidR="000D6BBD">
        <w:t>in the Companies Act relating to service are inapplicable.</w:t>
      </w:r>
      <w:r w:rsidR="000D6BBD">
        <w:rPr>
          <w:rStyle w:val="EndnoteReference"/>
        </w:rPr>
        <w:endnoteReference w:id="4"/>
      </w:r>
      <w:r w:rsidR="000D6BBD">
        <w:t xml:space="preserve"> </w:t>
      </w:r>
      <w:r w:rsidR="00FC4158">
        <w:t>For an applica</w:t>
      </w:r>
      <w:r w:rsidR="00E718E0">
        <w:t>nt</w:t>
      </w:r>
      <w:r w:rsidR="00FC4158">
        <w:t xml:space="preserve"> to benefit from the deeming </w:t>
      </w:r>
      <w:r w:rsidR="00C275B5">
        <w:t xml:space="preserve">force of </w:t>
      </w:r>
      <w:r w:rsidR="00FC4158">
        <w:t>section 345(1)(a)</w:t>
      </w:r>
      <w:r w:rsidR="00E718E0">
        <w:t>(i)</w:t>
      </w:r>
      <w:r w:rsidR="00C275B5">
        <w:t xml:space="preserve"> – the conclusion of law to which I refer above – i</w:t>
      </w:r>
      <w:r w:rsidR="00FC4158">
        <w:t>t must bring itself within the purview of that section.</w:t>
      </w:r>
      <w:r w:rsidR="00E718E0">
        <w:t xml:space="preserve"> It must show that a statutory demand was served at the registered office of the respondent. Indeed, </w:t>
      </w:r>
      <w:r w:rsidR="00E718E0">
        <w:rPr>
          <w:color w:val="1F1F1F"/>
          <w:szCs w:val="24"/>
        </w:rPr>
        <w:t>f</w:t>
      </w:r>
      <w:r w:rsidR="00A54F0F" w:rsidRPr="00E718E0">
        <w:rPr>
          <w:color w:val="1F1F1F"/>
          <w:szCs w:val="24"/>
        </w:rPr>
        <w:t>or section 345(1)(a)</w:t>
      </w:r>
      <w:r w:rsidR="00E718E0" w:rsidRPr="00E718E0">
        <w:rPr>
          <w:color w:val="1F1F1F"/>
          <w:szCs w:val="24"/>
        </w:rPr>
        <w:t>(i)</w:t>
      </w:r>
      <w:r w:rsidR="00C275B5">
        <w:rPr>
          <w:color w:val="1F1F1F"/>
          <w:szCs w:val="24"/>
        </w:rPr>
        <w:t>,</w:t>
      </w:r>
      <w:r w:rsidR="00A54F0F" w:rsidRPr="00E718E0">
        <w:rPr>
          <w:color w:val="1F1F1F"/>
          <w:szCs w:val="24"/>
        </w:rPr>
        <w:t xml:space="preserve"> the real question is not whether the letter of demand came to the attention of the respondent. If </w:t>
      </w:r>
      <w:r w:rsidR="005456DD" w:rsidRPr="00E718E0">
        <w:rPr>
          <w:color w:val="1F1F1F"/>
          <w:szCs w:val="24"/>
        </w:rPr>
        <w:t>i</w:t>
      </w:r>
      <w:r w:rsidR="00A54F0F" w:rsidRPr="00E718E0">
        <w:rPr>
          <w:color w:val="1F1F1F"/>
          <w:szCs w:val="24"/>
        </w:rPr>
        <w:t xml:space="preserve">t is proved to have </w:t>
      </w:r>
      <w:r w:rsidR="00E718E0">
        <w:rPr>
          <w:color w:val="1F1F1F"/>
          <w:szCs w:val="24"/>
        </w:rPr>
        <w:t>been served</w:t>
      </w:r>
      <w:r w:rsidR="00A54F0F" w:rsidRPr="00E718E0">
        <w:rPr>
          <w:color w:val="1F1F1F"/>
          <w:szCs w:val="24"/>
        </w:rPr>
        <w:t xml:space="preserve"> </w:t>
      </w:r>
      <w:r w:rsidR="00E718E0">
        <w:rPr>
          <w:color w:val="1F1F1F"/>
          <w:szCs w:val="24"/>
        </w:rPr>
        <w:t xml:space="preserve">at </w:t>
      </w:r>
      <w:r w:rsidR="00A54F0F" w:rsidRPr="00E718E0">
        <w:rPr>
          <w:color w:val="1F1F1F"/>
          <w:szCs w:val="24"/>
        </w:rPr>
        <w:t xml:space="preserve">the </w:t>
      </w:r>
      <w:r w:rsidR="005456DD" w:rsidRPr="00E718E0">
        <w:rPr>
          <w:color w:val="1F1F1F"/>
          <w:szCs w:val="24"/>
        </w:rPr>
        <w:t xml:space="preserve">respondent’s </w:t>
      </w:r>
      <w:r w:rsidR="00A54F0F" w:rsidRPr="00E718E0">
        <w:rPr>
          <w:color w:val="1F1F1F"/>
          <w:szCs w:val="24"/>
        </w:rPr>
        <w:t xml:space="preserve">registered address, </w:t>
      </w:r>
      <w:r w:rsidR="00E718E0">
        <w:rPr>
          <w:color w:val="1F1F1F"/>
          <w:szCs w:val="24"/>
        </w:rPr>
        <w:t xml:space="preserve">the requirements of </w:t>
      </w:r>
      <w:r w:rsidR="00A54F0F" w:rsidRPr="00E718E0">
        <w:rPr>
          <w:color w:val="1F1F1F"/>
          <w:szCs w:val="24"/>
        </w:rPr>
        <w:t>section 345(1)(a)</w:t>
      </w:r>
      <w:r w:rsidR="00E718E0">
        <w:rPr>
          <w:color w:val="1F1F1F"/>
          <w:szCs w:val="24"/>
        </w:rPr>
        <w:t>(i)</w:t>
      </w:r>
      <w:r w:rsidR="00A54F0F" w:rsidRPr="00E718E0">
        <w:rPr>
          <w:color w:val="1F1F1F"/>
          <w:szCs w:val="24"/>
        </w:rPr>
        <w:t xml:space="preserve"> </w:t>
      </w:r>
      <w:r w:rsidR="00E718E0">
        <w:rPr>
          <w:color w:val="1F1F1F"/>
          <w:szCs w:val="24"/>
        </w:rPr>
        <w:t>are</w:t>
      </w:r>
      <w:r w:rsidR="00A54F0F" w:rsidRPr="00E718E0">
        <w:rPr>
          <w:color w:val="1F1F1F"/>
          <w:szCs w:val="24"/>
        </w:rPr>
        <w:t xml:space="preserve"> satisfied </w:t>
      </w:r>
      <w:r w:rsidR="00E718E0">
        <w:rPr>
          <w:color w:val="1F1F1F"/>
          <w:szCs w:val="24"/>
        </w:rPr>
        <w:t xml:space="preserve">and </w:t>
      </w:r>
      <w:r w:rsidR="00A54F0F" w:rsidRPr="00E718E0">
        <w:rPr>
          <w:color w:val="1F1F1F"/>
          <w:szCs w:val="24"/>
        </w:rPr>
        <w:t xml:space="preserve">the respondent </w:t>
      </w:r>
      <w:r w:rsidR="00E718E0">
        <w:rPr>
          <w:color w:val="1F1F1F"/>
          <w:szCs w:val="24"/>
        </w:rPr>
        <w:t>is taken</w:t>
      </w:r>
      <w:r w:rsidR="00175C38">
        <w:rPr>
          <w:color w:val="1F1F1F"/>
          <w:szCs w:val="24"/>
        </w:rPr>
        <w:t>,</w:t>
      </w:r>
      <w:r w:rsidR="00E718E0">
        <w:rPr>
          <w:color w:val="1F1F1F"/>
          <w:szCs w:val="24"/>
        </w:rPr>
        <w:t xml:space="preserve"> or </w:t>
      </w:r>
      <w:r w:rsidR="00A54F0F" w:rsidRPr="00E718E0">
        <w:rPr>
          <w:color w:val="1F1F1F"/>
          <w:szCs w:val="24"/>
        </w:rPr>
        <w:t>deemed</w:t>
      </w:r>
      <w:r w:rsidR="00175C38">
        <w:rPr>
          <w:color w:val="1F1F1F"/>
          <w:szCs w:val="24"/>
        </w:rPr>
        <w:t>,</w:t>
      </w:r>
      <w:r w:rsidR="00A54F0F" w:rsidRPr="00E718E0">
        <w:rPr>
          <w:color w:val="1F1F1F"/>
          <w:szCs w:val="24"/>
        </w:rPr>
        <w:t xml:space="preserve"> to have notice.</w:t>
      </w:r>
    </w:p>
    <w:p w14:paraId="79C4B7DA" w14:textId="525D9B2B" w:rsidR="00E718E0" w:rsidRPr="007C61C0" w:rsidRDefault="000C19AC" w:rsidP="000C19AC">
      <w:pPr>
        <w:pStyle w:val="JudgmentNumbered"/>
        <w:numPr>
          <w:ilvl w:val="0"/>
          <w:numId w:val="0"/>
        </w:numPr>
        <w:ind w:left="567" w:hanging="567"/>
      </w:pPr>
      <w:r w:rsidRPr="007C61C0">
        <w:rPr>
          <w:iCs/>
        </w:rPr>
        <w:t>[32]</w:t>
      </w:r>
      <w:r w:rsidRPr="007C61C0">
        <w:rPr>
          <w:iCs/>
        </w:rPr>
        <w:tab/>
      </w:r>
      <w:r w:rsidR="00E718E0">
        <w:rPr>
          <w:color w:val="1F1F1F"/>
          <w:szCs w:val="24"/>
        </w:rPr>
        <w:t>The further requirement of section 345(1)(a)(i) is that</w:t>
      </w:r>
      <w:r w:rsidR="00C275B5">
        <w:rPr>
          <w:color w:val="1F1F1F"/>
          <w:szCs w:val="24"/>
        </w:rPr>
        <w:t>,</w:t>
      </w:r>
      <w:r w:rsidR="00E718E0">
        <w:t xml:space="preserve"> </w:t>
      </w:r>
      <w:r w:rsidR="00E718E0" w:rsidRPr="00E718E0">
        <w:rPr>
          <w:iCs/>
          <w:color w:val="1D1D1D"/>
          <w:szCs w:val="24"/>
        </w:rPr>
        <w:t>for three weeks after such service</w:t>
      </w:r>
      <w:r w:rsidR="00C275B5">
        <w:rPr>
          <w:iCs/>
          <w:color w:val="1D1D1D"/>
          <w:szCs w:val="24"/>
        </w:rPr>
        <w:t>, the respondent company</w:t>
      </w:r>
      <w:r w:rsidR="00E718E0" w:rsidRPr="00E718E0">
        <w:rPr>
          <w:iCs/>
          <w:color w:val="1D1D1D"/>
          <w:szCs w:val="24"/>
        </w:rPr>
        <w:t xml:space="preserve"> </w:t>
      </w:r>
      <w:r w:rsidR="00C275B5">
        <w:rPr>
          <w:iCs/>
          <w:color w:val="1D1D1D"/>
          <w:szCs w:val="24"/>
        </w:rPr>
        <w:t xml:space="preserve">must have </w:t>
      </w:r>
      <w:r w:rsidR="00E718E0" w:rsidRPr="00E718E0">
        <w:rPr>
          <w:iCs/>
          <w:color w:val="1D1D1D"/>
          <w:szCs w:val="24"/>
        </w:rPr>
        <w:t>neglected to pay the sum, or to secure or compound for it to the reasonable satisfaction of the creditor</w:t>
      </w:r>
      <w:r w:rsidR="00C275B5">
        <w:rPr>
          <w:iCs/>
          <w:color w:val="1D1D1D"/>
          <w:szCs w:val="24"/>
        </w:rPr>
        <w:t>, the applicant in this application</w:t>
      </w:r>
      <w:r w:rsidR="00E718E0" w:rsidRPr="00E718E0">
        <w:rPr>
          <w:iCs/>
          <w:color w:val="1D1D1D"/>
          <w:szCs w:val="24"/>
        </w:rPr>
        <w:t>.</w:t>
      </w:r>
    </w:p>
    <w:p w14:paraId="0E1114B9" w14:textId="724168C7" w:rsidR="003F41A9" w:rsidRDefault="000C19AC" w:rsidP="000C19AC">
      <w:pPr>
        <w:pStyle w:val="JudgmentNumbered"/>
        <w:numPr>
          <w:ilvl w:val="0"/>
          <w:numId w:val="0"/>
        </w:numPr>
        <w:ind w:left="567" w:hanging="567"/>
      </w:pPr>
      <w:r>
        <w:rPr>
          <w:iCs/>
        </w:rPr>
        <w:t>[33]</w:t>
      </w:r>
      <w:r>
        <w:rPr>
          <w:iCs/>
        </w:rPr>
        <w:tab/>
      </w:r>
      <w:r w:rsidR="007C61C0">
        <w:t xml:space="preserve">As far as the proof </w:t>
      </w:r>
      <w:r w:rsidR="00C275B5">
        <w:t xml:space="preserve">goes that is </w:t>
      </w:r>
      <w:r w:rsidR="007C61C0">
        <w:t xml:space="preserve">required under section 345(1)(c), the inability of a company to pay its debts might be proved in a variety of ways. The obvious way of showing it is through leading evidence that on demand </w:t>
      </w:r>
      <w:r w:rsidR="00C275B5">
        <w:t xml:space="preserve">the respondent </w:t>
      </w:r>
      <w:r w:rsidR="007C61C0">
        <w:t xml:space="preserve">failed to pay its debts. The well-known statement by Caney J in </w:t>
      </w:r>
      <w:r w:rsidR="007C61C0" w:rsidRPr="007C61C0">
        <w:rPr>
          <w:i/>
          <w:iCs/>
        </w:rPr>
        <w:t>Rosenbach &amp; Co (Pty) Ltd v Singh’s Bazaars (Pty) Ltd</w:t>
      </w:r>
      <w:r w:rsidR="00BF552D" w:rsidRPr="00C9470D">
        <w:rPr>
          <w:rStyle w:val="EndnoteReference"/>
        </w:rPr>
        <w:endnoteReference w:id="5"/>
      </w:r>
      <w:r w:rsidR="00BF552D">
        <w:t xml:space="preserve"> </w:t>
      </w:r>
      <w:r w:rsidR="00C275B5">
        <w:t>is apposite</w:t>
      </w:r>
      <w:r w:rsidR="007C61C0">
        <w:t>:</w:t>
      </w:r>
      <w:r w:rsidR="00F72950">
        <w:rPr>
          <w:rStyle w:val="EndnoteReference"/>
        </w:rPr>
        <w:endnoteReference w:id="6"/>
      </w:r>
      <w:r w:rsidR="00F72950">
        <w:t xml:space="preserve"> </w:t>
      </w:r>
      <w:r w:rsidR="007C61C0">
        <w:t>“</w:t>
      </w:r>
      <w:r w:rsidR="007C61C0" w:rsidRPr="007C61C0">
        <w:rPr>
          <w:i/>
          <w:iCs/>
        </w:rPr>
        <w:t>[A] concern which is not in financial difficulties ought to be able to pay its way from current revenue or readily available resources.</w:t>
      </w:r>
      <w:r w:rsidR="007C61C0">
        <w:t xml:space="preserve">” Facts that do not conform strictly to the requirements of section 345(1)(a) or (b) might </w:t>
      </w:r>
      <w:r w:rsidR="00175C38">
        <w:t xml:space="preserve">also </w:t>
      </w:r>
      <w:r w:rsidR="007C61C0">
        <w:t>provide sufficient proof for purposes of section 345(1)(c).</w:t>
      </w:r>
    </w:p>
    <w:p w14:paraId="2746E94A" w14:textId="6B456F9C" w:rsidR="007C61C0" w:rsidRPr="002F37F7" w:rsidRDefault="002F37F7" w:rsidP="00060DE0">
      <w:pPr>
        <w:pStyle w:val="JudgmentNumbered"/>
        <w:keepNext/>
        <w:numPr>
          <w:ilvl w:val="0"/>
          <w:numId w:val="0"/>
        </w:numPr>
        <w:rPr>
          <w:b/>
          <w:bCs/>
        </w:rPr>
      </w:pPr>
      <w:r w:rsidRPr="002F37F7">
        <w:rPr>
          <w:b/>
          <w:bCs/>
        </w:rPr>
        <w:lastRenderedPageBreak/>
        <w:t>The court’s discretion</w:t>
      </w:r>
      <w:r w:rsidR="00B8415F">
        <w:rPr>
          <w:b/>
          <w:bCs/>
        </w:rPr>
        <w:t xml:space="preserve"> and the burden of proof</w:t>
      </w:r>
    </w:p>
    <w:p w14:paraId="16F796A1" w14:textId="4ED8E7CC" w:rsidR="00046EE1" w:rsidRDefault="000C19AC" w:rsidP="000C19AC">
      <w:pPr>
        <w:pStyle w:val="JudgmentNumbered"/>
        <w:numPr>
          <w:ilvl w:val="0"/>
          <w:numId w:val="0"/>
        </w:numPr>
        <w:ind w:left="567" w:hanging="567"/>
        <w:rPr>
          <w:color w:val="1F1F1F"/>
          <w:szCs w:val="24"/>
        </w:rPr>
      </w:pPr>
      <w:r>
        <w:rPr>
          <w:iCs/>
          <w:color w:val="1F1F1F"/>
          <w:szCs w:val="24"/>
        </w:rPr>
        <w:t>[34]</w:t>
      </w:r>
      <w:r>
        <w:rPr>
          <w:iCs/>
          <w:color w:val="1F1F1F"/>
          <w:szCs w:val="24"/>
        </w:rPr>
        <w:tab/>
      </w:r>
      <w:r w:rsidR="00046EE1">
        <w:rPr>
          <w:color w:val="1D1D1D"/>
          <w:szCs w:val="24"/>
        </w:rPr>
        <w:t>Under section 344(f), the respondent “</w:t>
      </w:r>
      <w:r w:rsidR="00046EE1" w:rsidRPr="00046EE1">
        <w:rPr>
          <w:i/>
          <w:iCs/>
          <w:color w:val="1D1D1D"/>
          <w:szCs w:val="24"/>
        </w:rPr>
        <w:t>may be wound up</w:t>
      </w:r>
      <w:r w:rsidR="00046EE1">
        <w:rPr>
          <w:color w:val="1D1D1D"/>
          <w:szCs w:val="24"/>
        </w:rPr>
        <w:t xml:space="preserve">” by this court if there is compliance with one of the four </w:t>
      </w:r>
      <w:r w:rsidR="003F41A9">
        <w:rPr>
          <w:color w:val="1D1D1D"/>
          <w:szCs w:val="24"/>
        </w:rPr>
        <w:t xml:space="preserve">instances set out </w:t>
      </w:r>
      <w:r w:rsidR="00046EE1">
        <w:rPr>
          <w:color w:val="1D1D1D"/>
          <w:szCs w:val="24"/>
        </w:rPr>
        <w:t>in section 23</w:t>
      </w:r>
      <w:r w:rsidR="002E55F5">
        <w:rPr>
          <w:color w:val="1D1D1D"/>
          <w:szCs w:val="24"/>
        </w:rPr>
        <w:t>5</w:t>
      </w:r>
      <w:r w:rsidR="00046EE1">
        <w:rPr>
          <w:color w:val="1D1D1D"/>
          <w:szCs w:val="24"/>
        </w:rPr>
        <w:t xml:space="preserve">(1). </w:t>
      </w:r>
      <w:r w:rsidR="003F41A9">
        <w:rPr>
          <w:color w:val="1D1D1D"/>
          <w:szCs w:val="24"/>
        </w:rPr>
        <w:t>As the modal verb “</w:t>
      </w:r>
      <w:r w:rsidR="003F41A9" w:rsidRPr="003F41A9">
        <w:rPr>
          <w:i/>
          <w:iCs/>
          <w:color w:val="1D1D1D"/>
          <w:szCs w:val="24"/>
        </w:rPr>
        <w:t>may</w:t>
      </w:r>
      <w:r w:rsidR="003F41A9">
        <w:rPr>
          <w:color w:val="1D1D1D"/>
          <w:szCs w:val="24"/>
        </w:rPr>
        <w:t>” indicates, t</w:t>
      </w:r>
      <w:r w:rsidR="00046EE1">
        <w:rPr>
          <w:color w:val="1D1D1D"/>
          <w:szCs w:val="24"/>
        </w:rPr>
        <w:t xml:space="preserve">his court’s </w:t>
      </w:r>
      <w:r w:rsidR="002F37F7" w:rsidRPr="00046EE1">
        <w:rPr>
          <w:color w:val="1D1D1D"/>
          <w:szCs w:val="24"/>
        </w:rPr>
        <w:t xml:space="preserve">power to grant a winding-up order is a </w:t>
      </w:r>
      <w:r w:rsidR="00046EE1">
        <w:rPr>
          <w:color w:val="1D1D1D"/>
          <w:szCs w:val="24"/>
        </w:rPr>
        <w:t xml:space="preserve">discretionary </w:t>
      </w:r>
      <w:r w:rsidR="003F41A9">
        <w:rPr>
          <w:color w:val="1D1D1D"/>
          <w:szCs w:val="24"/>
        </w:rPr>
        <w:t>one</w:t>
      </w:r>
      <w:r w:rsidR="00046EE1">
        <w:rPr>
          <w:color w:val="1D1D1D"/>
          <w:szCs w:val="24"/>
        </w:rPr>
        <w:t>. Th</w:t>
      </w:r>
      <w:r w:rsidR="00AD7B47">
        <w:rPr>
          <w:color w:val="1D1D1D"/>
          <w:szCs w:val="24"/>
        </w:rPr>
        <w:t>at</w:t>
      </w:r>
      <w:r w:rsidR="00046EE1">
        <w:rPr>
          <w:color w:val="1D1D1D"/>
          <w:szCs w:val="24"/>
        </w:rPr>
        <w:t xml:space="preserve"> is so whatever the ground is upon which the winding up is sought.</w:t>
      </w:r>
      <w:r w:rsidR="00046EE1">
        <w:rPr>
          <w:color w:val="1F1F1F"/>
          <w:szCs w:val="24"/>
        </w:rPr>
        <w:t xml:space="preserve"> </w:t>
      </w:r>
      <w:r w:rsidR="00046EE1" w:rsidRPr="00046EE1">
        <w:rPr>
          <w:color w:val="1F1F1F"/>
          <w:szCs w:val="24"/>
        </w:rPr>
        <w:t>Naturally, this discretion must be exercised judicial</w:t>
      </w:r>
      <w:r w:rsidR="003F41A9">
        <w:rPr>
          <w:color w:val="1F1F1F"/>
          <w:szCs w:val="24"/>
        </w:rPr>
        <w:t>ly</w:t>
      </w:r>
      <w:r w:rsidR="00046EE1" w:rsidRPr="00046EE1">
        <w:rPr>
          <w:color w:val="1F1F1F"/>
          <w:szCs w:val="24"/>
        </w:rPr>
        <w:t>.</w:t>
      </w:r>
    </w:p>
    <w:p w14:paraId="0E507C19" w14:textId="17847067" w:rsidR="008A1C23" w:rsidRPr="00046EE1" w:rsidRDefault="000C19AC" w:rsidP="000C19AC">
      <w:pPr>
        <w:pStyle w:val="JudgmentNumbered"/>
        <w:numPr>
          <w:ilvl w:val="0"/>
          <w:numId w:val="0"/>
        </w:numPr>
        <w:ind w:left="567" w:hanging="567"/>
        <w:rPr>
          <w:color w:val="1F1F1F"/>
          <w:szCs w:val="24"/>
        </w:rPr>
      </w:pPr>
      <w:r w:rsidRPr="00046EE1">
        <w:rPr>
          <w:iCs/>
          <w:color w:val="1F1F1F"/>
          <w:szCs w:val="24"/>
        </w:rPr>
        <w:t>[35]</w:t>
      </w:r>
      <w:r w:rsidRPr="00046EE1">
        <w:rPr>
          <w:iCs/>
          <w:color w:val="1F1F1F"/>
          <w:szCs w:val="24"/>
        </w:rPr>
        <w:tab/>
      </w:r>
      <w:r w:rsidR="008A1C23">
        <w:rPr>
          <w:color w:val="1D1D1D"/>
          <w:szCs w:val="24"/>
        </w:rPr>
        <w:t>Yet, where a creditor seeks that</w:t>
      </w:r>
      <w:r w:rsidR="008A1C23">
        <w:rPr>
          <w:color w:val="1F1F1F"/>
          <w:szCs w:val="24"/>
        </w:rPr>
        <w:t xml:space="preserve"> a company be wound up and no other creditors oppose that application, the court’s discretion is very narrow. It is well-establis</w:t>
      </w:r>
      <w:r w:rsidR="00175C38">
        <w:rPr>
          <w:color w:val="1F1F1F"/>
          <w:szCs w:val="24"/>
        </w:rPr>
        <w:t>h</w:t>
      </w:r>
      <w:r w:rsidR="008A1C23">
        <w:rPr>
          <w:color w:val="1F1F1F"/>
          <w:szCs w:val="24"/>
        </w:rPr>
        <w:t xml:space="preserve">ed that an unpaid creditor that cannot obtain payment and </w:t>
      </w:r>
      <w:r w:rsidR="00175C38">
        <w:rPr>
          <w:color w:val="1F1F1F"/>
          <w:szCs w:val="24"/>
        </w:rPr>
        <w:t xml:space="preserve">that </w:t>
      </w:r>
      <w:r w:rsidR="008A1C23">
        <w:rPr>
          <w:color w:val="1F1F1F"/>
          <w:szCs w:val="24"/>
        </w:rPr>
        <w:t xml:space="preserve">claims under the Companies Act is, as against the company, entitled </w:t>
      </w:r>
      <w:r w:rsidR="008A1C23" w:rsidRPr="008A1C23">
        <w:rPr>
          <w:i/>
          <w:iCs/>
          <w:color w:val="1F1F1F"/>
          <w:szCs w:val="24"/>
        </w:rPr>
        <w:t>ex debito justitiae</w:t>
      </w:r>
      <w:r w:rsidR="008A1C23">
        <w:rPr>
          <w:color w:val="1F1F1F"/>
          <w:szCs w:val="24"/>
        </w:rPr>
        <w:t xml:space="preserve"> to a winding-up order.</w:t>
      </w:r>
    </w:p>
    <w:p w14:paraId="6F02207A" w14:textId="57ACB40E" w:rsidR="00046EE1" w:rsidRDefault="000C19AC" w:rsidP="000C19AC">
      <w:pPr>
        <w:pStyle w:val="JudgmentNumbered"/>
        <w:numPr>
          <w:ilvl w:val="0"/>
          <w:numId w:val="0"/>
        </w:numPr>
        <w:ind w:left="567" w:hanging="567"/>
        <w:rPr>
          <w:color w:val="1F1F1F"/>
          <w:szCs w:val="24"/>
        </w:rPr>
      </w:pPr>
      <w:r>
        <w:rPr>
          <w:iCs/>
          <w:color w:val="1F1F1F"/>
          <w:szCs w:val="24"/>
        </w:rPr>
        <w:t>[36]</w:t>
      </w:r>
      <w:r>
        <w:rPr>
          <w:iCs/>
          <w:color w:val="1F1F1F"/>
          <w:szCs w:val="24"/>
        </w:rPr>
        <w:tab/>
      </w:r>
      <w:r w:rsidR="00046EE1">
        <w:rPr>
          <w:color w:val="1F1F1F"/>
          <w:szCs w:val="24"/>
        </w:rPr>
        <w:t>Over and above th</w:t>
      </w:r>
      <w:r w:rsidR="008A1C23">
        <w:rPr>
          <w:color w:val="1F1F1F"/>
          <w:szCs w:val="24"/>
        </w:rPr>
        <w:t>e</w:t>
      </w:r>
      <w:r w:rsidR="00046EE1">
        <w:rPr>
          <w:color w:val="1F1F1F"/>
          <w:szCs w:val="24"/>
        </w:rPr>
        <w:t xml:space="preserve"> discretion</w:t>
      </w:r>
      <w:r w:rsidR="008A1C23">
        <w:rPr>
          <w:color w:val="1F1F1F"/>
          <w:szCs w:val="24"/>
        </w:rPr>
        <w:t xml:space="preserve"> whether or not to wind up the respondent company</w:t>
      </w:r>
      <w:r w:rsidR="00046EE1">
        <w:rPr>
          <w:color w:val="1F1F1F"/>
          <w:szCs w:val="24"/>
        </w:rPr>
        <w:t>, the court has an inherent discretion to prevent abuse of its process.</w:t>
      </w:r>
      <w:r w:rsidR="00046EE1" w:rsidRPr="00677A8F">
        <w:rPr>
          <w:rStyle w:val="EndnoteReference"/>
        </w:rPr>
        <w:endnoteReference w:id="7"/>
      </w:r>
      <w:r w:rsidR="00046EE1">
        <w:rPr>
          <w:color w:val="1F1F1F"/>
          <w:szCs w:val="24"/>
        </w:rPr>
        <w:t xml:space="preserve"> Even if a ground for winding up is demonstrated, a court will not grant the order where the sole or predominant motive or purpose of the applicant is something other than the </w:t>
      </w:r>
      <w:r w:rsidR="00046EE1" w:rsidRPr="003F41A9">
        <w:rPr>
          <w:i/>
          <w:iCs/>
          <w:color w:val="1F1F1F"/>
          <w:szCs w:val="24"/>
        </w:rPr>
        <w:t>bona fide</w:t>
      </w:r>
      <w:r w:rsidR="00046EE1">
        <w:rPr>
          <w:color w:val="1F1F1F"/>
          <w:szCs w:val="24"/>
        </w:rPr>
        <w:t xml:space="preserve"> bringing about of the respondent company’s liquidation for its own sake. </w:t>
      </w:r>
      <w:r w:rsidR="003F41A9">
        <w:rPr>
          <w:color w:val="1F1F1F"/>
          <w:szCs w:val="24"/>
        </w:rPr>
        <w:t xml:space="preserve">A </w:t>
      </w:r>
      <w:r w:rsidR="00175C38">
        <w:rPr>
          <w:color w:val="1F1F1F"/>
          <w:szCs w:val="24"/>
        </w:rPr>
        <w:t xml:space="preserve">central </w:t>
      </w:r>
      <w:r w:rsidR="003F41A9">
        <w:rPr>
          <w:color w:val="1F1F1F"/>
          <w:szCs w:val="24"/>
        </w:rPr>
        <w:t>e</w:t>
      </w:r>
      <w:r w:rsidR="00046EE1">
        <w:rPr>
          <w:color w:val="1F1F1F"/>
          <w:szCs w:val="24"/>
        </w:rPr>
        <w:t xml:space="preserve">xample of the latter </w:t>
      </w:r>
      <w:r w:rsidR="003F41A9">
        <w:rPr>
          <w:color w:val="1F1F1F"/>
          <w:szCs w:val="24"/>
        </w:rPr>
        <w:t>is</w:t>
      </w:r>
      <w:r w:rsidR="00046EE1">
        <w:rPr>
          <w:color w:val="1F1F1F"/>
          <w:szCs w:val="24"/>
        </w:rPr>
        <w:t xml:space="preserve"> where the applicant seeks to enforce </w:t>
      </w:r>
      <w:r w:rsidR="003F41A9">
        <w:rPr>
          <w:color w:val="1F1F1F"/>
          <w:szCs w:val="24"/>
        </w:rPr>
        <w:t xml:space="preserve">the </w:t>
      </w:r>
      <w:r w:rsidR="00046EE1">
        <w:rPr>
          <w:color w:val="1F1F1F"/>
          <w:szCs w:val="24"/>
        </w:rPr>
        <w:t xml:space="preserve">payment of a debt </w:t>
      </w:r>
      <w:r w:rsidR="003F41A9">
        <w:rPr>
          <w:color w:val="1F1F1F"/>
          <w:szCs w:val="24"/>
        </w:rPr>
        <w:t xml:space="preserve">over which the respondent has raised a </w:t>
      </w:r>
      <w:r w:rsidR="00046EE1" w:rsidRPr="003F41A9">
        <w:rPr>
          <w:i/>
          <w:iCs/>
          <w:color w:val="1F1F1F"/>
          <w:szCs w:val="24"/>
        </w:rPr>
        <w:t>bona fide</w:t>
      </w:r>
      <w:r w:rsidR="00046EE1">
        <w:rPr>
          <w:color w:val="1F1F1F"/>
          <w:szCs w:val="24"/>
        </w:rPr>
        <w:t xml:space="preserve"> dispute</w:t>
      </w:r>
      <w:r w:rsidR="003F41A9">
        <w:rPr>
          <w:color w:val="1F1F1F"/>
          <w:szCs w:val="24"/>
        </w:rPr>
        <w:t>. Another example is where the winding-up application is brought</w:t>
      </w:r>
      <w:r w:rsidR="00046EE1">
        <w:rPr>
          <w:color w:val="1F1F1F"/>
          <w:szCs w:val="24"/>
        </w:rPr>
        <w:t xml:space="preserve"> </w:t>
      </w:r>
      <w:r w:rsidR="003F41A9">
        <w:rPr>
          <w:color w:val="1F1F1F"/>
          <w:szCs w:val="24"/>
        </w:rPr>
        <w:t xml:space="preserve">to </w:t>
      </w:r>
      <w:r w:rsidR="00046EE1">
        <w:rPr>
          <w:color w:val="1F1F1F"/>
          <w:szCs w:val="24"/>
        </w:rPr>
        <w:t xml:space="preserve">harass, oppress or </w:t>
      </w:r>
      <w:r w:rsidR="00175C38">
        <w:rPr>
          <w:color w:val="1F1F1F"/>
          <w:szCs w:val="24"/>
        </w:rPr>
        <w:t xml:space="preserve">to </w:t>
      </w:r>
      <w:r w:rsidR="00046EE1">
        <w:rPr>
          <w:color w:val="1F1F1F"/>
          <w:szCs w:val="24"/>
        </w:rPr>
        <w:t>defraud the respondent company.</w:t>
      </w:r>
    </w:p>
    <w:p w14:paraId="02E7317F" w14:textId="5043E4C8" w:rsidR="00033F8E" w:rsidRDefault="000C19AC" w:rsidP="000C19AC">
      <w:pPr>
        <w:pStyle w:val="JudgmentNumbered"/>
        <w:keepNext/>
        <w:numPr>
          <w:ilvl w:val="0"/>
          <w:numId w:val="0"/>
        </w:numPr>
        <w:ind w:left="567" w:hanging="567"/>
      </w:pPr>
      <w:r>
        <w:rPr>
          <w:iCs/>
        </w:rPr>
        <w:t>[37]</w:t>
      </w:r>
      <w:r>
        <w:rPr>
          <w:iCs/>
        </w:rPr>
        <w:tab/>
      </w:r>
      <w:r w:rsidR="00033F8E">
        <w:t xml:space="preserve">In </w:t>
      </w:r>
      <w:r w:rsidR="00033F8E" w:rsidRPr="008F3AB5">
        <w:rPr>
          <w:i/>
          <w:iCs/>
        </w:rPr>
        <w:t>Estate Logie v Priest</w:t>
      </w:r>
      <w:r w:rsidR="00033F8E">
        <w:t>,</w:t>
      </w:r>
      <w:r w:rsidR="00033F8E" w:rsidRPr="00677A8F">
        <w:rPr>
          <w:rStyle w:val="EndnoteReference"/>
        </w:rPr>
        <w:endnoteReference w:id="8"/>
      </w:r>
      <w:r w:rsidR="00033F8E">
        <w:t xml:space="preserve"> </w:t>
      </w:r>
      <w:r w:rsidR="00175C38">
        <w:t>the erstwhile Appellate Division (</w:t>
      </w:r>
      <w:r w:rsidR="00175C38" w:rsidRPr="00175C38">
        <w:rPr>
          <w:i/>
          <w:iCs/>
        </w:rPr>
        <w:t>per</w:t>
      </w:r>
      <w:r w:rsidR="00175C38">
        <w:t xml:space="preserve"> </w:t>
      </w:r>
      <w:r w:rsidR="00033F8E">
        <w:t>Solomon J</w:t>
      </w:r>
      <w:r w:rsidR="00175C38">
        <w:t>A)</w:t>
      </w:r>
      <w:r w:rsidR="00033F8E">
        <w:t xml:space="preserve"> held:</w:t>
      </w:r>
      <w:r w:rsidR="00033F8E">
        <w:rPr>
          <w:rStyle w:val="EndnoteReference"/>
        </w:rPr>
        <w:endnoteReference w:id="9"/>
      </w:r>
    </w:p>
    <w:p w14:paraId="7A627D98" w14:textId="77777777" w:rsidR="00033F8E" w:rsidRDefault="00033F8E" w:rsidP="00033F8E">
      <w:pPr>
        <w:pStyle w:val="Normal1"/>
        <w:ind w:left="1418" w:right="851"/>
      </w:pPr>
      <w:r>
        <w:t>“</w:t>
      </w:r>
      <w:r w:rsidRPr="00677A8F">
        <w:rPr>
          <w:i/>
        </w:rPr>
        <w:t>[I]t is perfectly legitimate for a creditor to take insolvency proceedings against a debtor for the purpose of obtaining payment of his debt. In truth that is the motive by which persons, as a rule, are actuated in claiming sequestration orders. They are not influenced by altruistic considerations or regard for the benefit of other creditors, who are able to look after themselves. What they want is payment of their debt, or as much of it as they can get</w:t>
      </w:r>
      <w:r>
        <w:t>.”</w:t>
      </w:r>
    </w:p>
    <w:p w14:paraId="2F7933B9" w14:textId="77777777" w:rsidR="00033F8E" w:rsidRDefault="00033F8E" w:rsidP="00033F8E">
      <w:pPr>
        <w:pStyle w:val="JudgmentNumbered"/>
        <w:numPr>
          <w:ilvl w:val="0"/>
          <w:numId w:val="0"/>
        </w:numPr>
        <w:spacing w:after="0"/>
        <w:ind w:left="567" w:right="851" w:hanging="567"/>
      </w:pPr>
    </w:p>
    <w:p w14:paraId="57C20238" w14:textId="0873745E" w:rsidR="00033F8E" w:rsidRDefault="000C19AC" w:rsidP="000C19AC">
      <w:pPr>
        <w:pStyle w:val="JudgmentNumbered"/>
        <w:keepNext/>
        <w:numPr>
          <w:ilvl w:val="0"/>
          <w:numId w:val="0"/>
        </w:numPr>
        <w:ind w:left="567" w:hanging="567"/>
      </w:pPr>
      <w:r>
        <w:rPr>
          <w:iCs/>
        </w:rPr>
        <w:lastRenderedPageBreak/>
        <w:t>[38]</w:t>
      </w:r>
      <w:r>
        <w:rPr>
          <w:iCs/>
        </w:rPr>
        <w:tab/>
      </w:r>
      <w:r w:rsidR="00033F8E">
        <w:t xml:space="preserve">On the issue of an abuse of process, in </w:t>
      </w:r>
      <w:r w:rsidR="00033F8E" w:rsidRPr="0029330E">
        <w:rPr>
          <w:i/>
          <w:iCs/>
        </w:rPr>
        <w:t>Mineral Sands Resources (Pty) Ltd and Others v Reddell</w:t>
      </w:r>
      <w:r w:rsidR="00033F8E">
        <w:t>,</w:t>
      </w:r>
      <w:r w:rsidR="00C67AF1" w:rsidRPr="00677A8F">
        <w:rPr>
          <w:rStyle w:val="EndnoteReference"/>
        </w:rPr>
        <w:endnoteReference w:id="10"/>
      </w:r>
      <w:r w:rsidR="00033F8E">
        <w:t xml:space="preserve"> recently the Constitutional Court glossed </w:t>
      </w:r>
      <w:r w:rsidR="00033F8E" w:rsidRPr="00370CC9">
        <w:rPr>
          <w:i/>
          <w:iCs/>
        </w:rPr>
        <w:t>Estate Logie</w:t>
      </w:r>
      <w:r w:rsidR="00033F8E" w:rsidRPr="00C67AF1">
        <w:t>:</w:t>
      </w:r>
      <w:r w:rsidR="00DD7F16">
        <w:rPr>
          <w:rStyle w:val="EndnoteReference"/>
        </w:rPr>
        <w:endnoteReference w:id="11"/>
      </w:r>
      <w:r w:rsidR="00DD7F16">
        <w:t xml:space="preserve"> </w:t>
      </w:r>
    </w:p>
    <w:p w14:paraId="582E4A5A" w14:textId="3F082A5A" w:rsidR="00033F8E" w:rsidRPr="00033F8E" w:rsidRDefault="00033F8E" w:rsidP="00033F8E">
      <w:pPr>
        <w:pStyle w:val="Normal1"/>
        <w:ind w:left="1418" w:right="851"/>
      </w:pPr>
      <w:r>
        <w:t>“</w:t>
      </w:r>
      <w:r w:rsidRPr="003F41A9">
        <w:rPr>
          <w:i/>
          <w:iCs/>
        </w:rPr>
        <w:t>[</w:t>
      </w:r>
      <w:r w:rsidRPr="003F41A9">
        <w:t>Estate Logie</w:t>
      </w:r>
      <w:r w:rsidRPr="003F41A9">
        <w:rPr>
          <w:i/>
          <w:iCs/>
        </w:rPr>
        <w:t xml:space="preserve">] </w:t>
      </w:r>
      <w:r w:rsidRPr="00677A8F">
        <w:rPr>
          <w:i/>
        </w:rPr>
        <w:t>must be understood in the context of the finding that the enforcement of a debt by utilising sequestration proceedings is unobjectionable and does not constitute an abuse of process</w:t>
      </w:r>
      <w:r w:rsidRPr="00796E0E">
        <w:t>.</w:t>
      </w:r>
      <w:r>
        <w:t>”</w:t>
      </w:r>
    </w:p>
    <w:p w14:paraId="33919798" w14:textId="77777777" w:rsidR="00033F8E" w:rsidRPr="00033F8E" w:rsidRDefault="00033F8E" w:rsidP="00033F8E">
      <w:pPr>
        <w:pStyle w:val="JudgmentNumbered"/>
        <w:numPr>
          <w:ilvl w:val="0"/>
          <w:numId w:val="0"/>
        </w:numPr>
        <w:spacing w:after="0"/>
        <w:ind w:left="567" w:hanging="567"/>
      </w:pPr>
    </w:p>
    <w:p w14:paraId="78743C77" w14:textId="4BE417D7" w:rsidR="00B8415F" w:rsidRPr="00B8415F" w:rsidRDefault="000C19AC" w:rsidP="000C19AC">
      <w:pPr>
        <w:pStyle w:val="JudgmentNumbered"/>
        <w:numPr>
          <w:ilvl w:val="0"/>
          <w:numId w:val="0"/>
        </w:numPr>
        <w:ind w:left="567" w:hanging="567"/>
      </w:pPr>
      <w:r w:rsidRPr="00B8415F">
        <w:rPr>
          <w:iCs/>
        </w:rPr>
        <w:t>[39]</w:t>
      </w:r>
      <w:r w:rsidRPr="00B8415F">
        <w:rPr>
          <w:iCs/>
        </w:rPr>
        <w:tab/>
      </w:r>
      <w:r w:rsidR="00175C38">
        <w:rPr>
          <w:color w:val="1F1F1F"/>
          <w:szCs w:val="24"/>
        </w:rPr>
        <w:t xml:space="preserve">As to </w:t>
      </w:r>
      <w:r w:rsidR="00C67AF1" w:rsidRPr="00C67AF1">
        <w:rPr>
          <w:i/>
          <w:iCs/>
          <w:color w:val="1F1F1F"/>
          <w:szCs w:val="24"/>
        </w:rPr>
        <w:t>inter alia</w:t>
      </w:r>
      <w:r w:rsidR="00C67AF1">
        <w:rPr>
          <w:color w:val="1F1F1F"/>
          <w:szCs w:val="24"/>
        </w:rPr>
        <w:t xml:space="preserve"> the onus </w:t>
      </w:r>
      <w:r w:rsidR="002E55F5">
        <w:rPr>
          <w:color w:val="1F1F1F"/>
          <w:szCs w:val="24"/>
        </w:rPr>
        <w:t xml:space="preserve">that rests </w:t>
      </w:r>
      <w:r w:rsidR="00C67AF1">
        <w:rPr>
          <w:color w:val="1F1F1F"/>
          <w:szCs w:val="24"/>
        </w:rPr>
        <w:t xml:space="preserve">upon </w:t>
      </w:r>
      <w:r w:rsidR="002E55F5">
        <w:rPr>
          <w:color w:val="1F1F1F"/>
          <w:szCs w:val="24"/>
        </w:rPr>
        <w:t>an</w:t>
      </w:r>
      <w:r w:rsidR="00C67AF1">
        <w:rPr>
          <w:color w:val="1F1F1F"/>
          <w:szCs w:val="24"/>
        </w:rPr>
        <w:t xml:space="preserve"> applicant</w:t>
      </w:r>
      <w:r w:rsidR="002E55F5">
        <w:rPr>
          <w:color w:val="1F1F1F"/>
          <w:szCs w:val="24"/>
        </w:rPr>
        <w:t xml:space="preserve"> in a winding-up application</w:t>
      </w:r>
      <w:r w:rsidR="00C67AF1">
        <w:rPr>
          <w:color w:val="1F1F1F"/>
          <w:szCs w:val="24"/>
        </w:rPr>
        <w:t>, i</w:t>
      </w:r>
      <w:r w:rsidR="00A54F0F" w:rsidRPr="00863540">
        <w:rPr>
          <w:color w:val="1F1F1F"/>
          <w:szCs w:val="24"/>
        </w:rPr>
        <w:t xml:space="preserve">n </w:t>
      </w:r>
      <w:r w:rsidR="00A54F0F">
        <w:rPr>
          <w:i/>
          <w:color w:val="1F1F1F"/>
          <w:szCs w:val="24"/>
        </w:rPr>
        <w:t>Orestisolve (Pty) Ltd t/</w:t>
      </w:r>
      <w:r w:rsidR="00A54F0F" w:rsidRPr="00863540">
        <w:rPr>
          <w:i/>
          <w:color w:val="1F1F1F"/>
          <w:szCs w:val="24"/>
        </w:rPr>
        <w:t>a Essa Investments v NFDT Investment Holdings (Pty) Ltd</w:t>
      </w:r>
      <w:r w:rsidR="00A54F0F" w:rsidRPr="00863540">
        <w:rPr>
          <w:iCs/>
          <w:color w:val="1F1F1F"/>
          <w:szCs w:val="24"/>
        </w:rPr>
        <w:t>,</w:t>
      </w:r>
      <w:r w:rsidR="00A54F0F" w:rsidRPr="00677A8F">
        <w:rPr>
          <w:rStyle w:val="EndnoteReference"/>
        </w:rPr>
        <w:endnoteReference w:id="12"/>
      </w:r>
      <w:r w:rsidR="008A1C23">
        <w:rPr>
          <w:iCs/>
          <w:color w:val="1F1F1F"/>
          <w:szCs w:val="24"/>
        </w:rPr>
        <w:t xml:space="preserve"> the W</w:t>
      </w:r>
      <w:r w:rsidR="00C67AF1">
        <w:rPr>
          <w:iCs/>
          <w:color w:val="1F1F1F"/>
          <w:szCs w:val="24"/>
        </w:rPr>
        <w:t xml:space="preserve">estern </w:t>
      </w:r>
      <w:r w:rsidR="008A1C23">
        <w:rPr>
          <w:iCs/>
          <w:color w:val="1F1F1F"/>
          <w:szCs w:val="24"/>
        </w:rPr>
        <w:t>C</w:t>
      </w:r>
      <w:r w:rsidR="00C67AF1">
        <w:rPr>
          <w:iCs/>
          <w:color w:val="1F1F1F"/>
          <w:szCs w:val="24"/>
        </w:rPr>
        <w:t>ape High Court</w:t>
      </w:r>
      <w:r w:rsidR="008A1C23">
        <w:rPr>
          <w:iCs/>
          <w:color w:val="1F1F1F"/>
          <w:szCs w:val="24"/>
        </w:rPr>
        <w:t xml:space="preserve"> (</w:t>
      </w:r>
      <w:r w:rsidR="008A1C23" w:rsidRPr="008A1C23">
        <w:rPr>
          <w:i/>
          <w:color w:val="1F1F1F"/>
          <w:szCs w:val="24"/>
        </w:rPr>
        <w:t>per</w:t>
      </w:r>
      <w:r w:rsidR="008A1C23">
        <w:rPr>
          <w:iCs/>
          <w:color w:val="1F1F1F"/>
          <w:szCs w:val="24"/>
        </w:rPr>
        <w:t xml:space="preserve"> Rogers J) observed:</w:t>
      </w:r>
    </w:p>
    <w:p w14:paraId="08511C75" w14:textId="5E3B5414" w:rsidR="008A1C23" w:rsidRPr="00B6043B" w:rsidRDefault="00033F8E" w:rsidP="00C40BFD">
      <w:pPr>
        <w:pStyle w:val="Normal1"/>
        <w:tabs>
          <w:tab w:val="left" w:pos="1985"/>
        </w:tabs>
        <w:ind w:left="1985" w:right="851" w:hanging="567"/>
        <w:rPr>
          <w:i/>
        </w:rPr>
      </w:pPr>
      <w:r>
        <w:t>“</w:t>
      </w:r>
      <w:r w:rsidR="008A1C23" w:rsidRPr="00B6043B">
        <w:rPr>
          <w:i/>
        </w:rPr>
        <w:t>[7]</w:t>
      </w:r>
      <w:r w:rsidR="008A1C23" w:rsidRPr="00B6043B">
        <w:rPr>
          <w:i/>
        </w:rPr>
        <w:tab/>
        <w:t xml:space="preserve">In an opposed application for provisional liquidation the applicant must establish its entitlement to an order on a </w:t>
      </w:r>
      <w:r w:rsidR="008A1C23" w:rsidRPr="00B6043B">
        <w:t>prima facie</w:t>
      </w:r>
      <w:r w:rsidR="008A1C23" w:rsidRPr="00B6043B">
        <w:rPr>
          <w:i/>
        </w:rPr>
        <w:t xml:space="preserve"> basis, meaning that the applicant must show that the balance of probabilities on the affidavits is in its favour (</w:t>
      </w:r>
      <w:r w:rsidR="008A1C23" w:rsidRPr="00B6043B">
        <w:t>Kalil v Decotex (Pty) Ltd and Another</w:t>
      </w:r>
      <w:r w:rsidR="008A1C23" w:rsidRPr="00B6043B">
        <w:rPr>
          <w:i/>
        </w:rPr>
        <w:t xml:space="preserve"> 1988 (1) SA 943 (A) at 975J–979F). This would include the existence of the applicant's claim where such is disputed. (I need not concern myself with the circumstances in which oral evidence will be permitted where the applicant cannot establish a </w:t>
      </w:r>
      <w:r w:rsidR="008A1C23" w:rsidRPr="00B6043B">
        <w:t>prima facie</w:t>
      </w:r>
      <w:r w:rsidR="008A1C23" w:rsidRPr="00B6043B">
        <w:rPr>
          <w:i/>
        </w:rPr>
        <w:t xml:space="preserve"> case.) </w:t>
      </w:r>
    </w:p>
    <w:p w14:paraId="2ABD7099" w14:textId="5171C537" w:rsidR="008A1C23" w:rsidRPr="00B6043B" w:rsidRDefault="008A1C23" w:rsidP="00033F8E">
      <w:pPr>
        <w:tabs>
          <w:tab w:val="left" w:pos="1985"/>
        </w:tabs>
        <w:spacing w:after="0" w:line="240" w:lineRule="auto"/>
        <w:ind w:left="1985" w:right="851" w:hanging="567"/>
        <w:rPr>
          <w:i/>
        </w:rPr>
      </w:pPr>
      <w:r w:rsidRPr="00B6043B">
        <w:rPr>
          <w:i/>
        </w:rPr>
        <w:t>[8]</w:t>
      </w:r>
      <w:r w:rsidRPr="00B6043B">
        <w:rPr>
          <w:i/>
        </w:rPr>
        <w:tab/>
        <w:t xml:space="preserve">Even if the applicant establishes its claim on a </w:t>
      </w:r>
      <w:r w:rsidRPr="00B6043B">
        <w:t>prima facie</w:t>
      </w:r>
      <w:r w:rsidRPr="00B6043B">
        <w:rPr>
          <w:i/>
        </w:rPr>
        <w:t xml:space="preserve"> basis, a court will ordinarily refuse the application if the claim is </w:t>
      </w:r>
      <w:r w:rsidRPr="00B6043B">
        <w:t>bona fide</w:t>
      </w:r>
      <w:r w:rsidRPr="00B6043B">
        <w:rPr>
          <w:i/>
        </w:rPr>
        <w:t xml:space="preserve"> disputed on reasonable grounds. The rule that winding-up proceedings should not be resorted to as a means of enforcing payment of a debt, the existence of which is </w:t>
      </w:r>
      <w:r w:rsidRPr="00B6043B">
        <w:t>bona fide</w:t>
      </w:r>
      <w:r w:rsidRPr="00B6043B">
        <w:rPr>
          <w:i/>
        </w:rPr>
        <w:t xml:space="preserve"> disputed on reasonable grounds, is part of the broader principle that the court</w:t>
      </w:r>
      <w:r w:rsidR="00033F8E">
        <w:rPr>
          <w:i/>
        </w:rPr>
        <w:t>’</w:t>
      </w:r>
      <w:r w:rsidRPr="00B6043B">
        <w:rPr>
          <w:i/>
        </w:rPr>
        <w:t xml:space="preserve">s processes should not be abused. In the context of liquidation proceedings, the rule is generally known as the </w:t>
      </w:r>
      <w:r w:rsidRPr="00B6043B">
        <w:t>Badenhorst</w:t>
      </w:r>
      <w:r w:rsidRPr="00B6043B">
        <w:rPr>
          <w:i/>
        </w:rPr>
        <w:t xml:space="preserve"> rule, from the leading eponymous case on the subject, </w:t>
      </w:r>
      <w:r w:rsidRPr="00B6043B">
        <w:t>Badenhorst v Northern Construction Enterprises (Pty) Ltd</w:t>
      </w:r>
      <w:r w:rsidRPr="00B6043B">
        <w:rPr>
          <w:i/>
        </w:rPr>
        <w:t xml:space="preserve"> 1956 (2) SA 346 (T) at 347H–348C, and is generally now treated as an independent rule, not dependent on proof of actual abuse of process (Blackman </w:t>
      </w:r>
      <w:r w:rsidRPr="00B6043B">
        <w:t>et al Commentary on the Companies Act</w:t>
      </w:r>
      <w:r w:rsidRPr="00B6043B">
        <w:rPr>
          <w:i/>
        </w:rPr>
        <w:t>, Vol 3 at 14–82 to 14–83). A distinction must thus be drawn between factual disputes relating to the respondent's liability to the applicant and disputes relating to the other requirements for liquidation. At the provisional stage the other requirements must be satisfied on a balance of probabilities with reference to the affidavits. In relation to the applicant</w:t>
      </w:r>
      <w:r w:rsidR="00C67AF1">
        <w:rPr>
          <w:i/>
        </w:rPr>
        <w:t>’</w:t>
      </w:r>
      <w:r w:rsidRPr="00B6043B">
        <w:rPr>
          <w:i/>
        </w:rPr>
        <w:t xml:space="preserve">s claim, however, the court must consider not only where the balance of probabilities lies on the papers but also whether the claim is </w:t>
      </w:r>
      <w:r w:rsidRPr="00B6043B">
        <w:t>bona fide</w:t>
      </w:r>
      <w:r w:rsidRPr="00B6043B">
        <w:rPr>
          <w:i/>
        </w:rPr>
        <w:t xml:space="preserve"> disputed on reasonable grounds. A court may reach this conclusion even though on a balance of probabilities (based on the </w:t>
      </w:r>
      <w:r w:rsidRPr="00B6043B">
        <w:rPr>
          <w:i/>
        </w:rPr>
        <w:lastRenderedPageBreak/>
        <w:t>papers) the applicant</w:t>
      </w:r>
      <w:r w:rsidR="00C67AF1">
        <w:rPr>
          <w:i/>
        </w:rPr>
        <w:t>’</w:t>
      </w:r>
      <w:r w:rsidRPr="00B6043B">
        <w:rPr>
          <w:i/>
        </w:rPr>
        <w:t>s claim has been made out (</w:t>
      </w:r>
      <w:r w:rsidRPr="00B6043B">
        <w:t>Payslip Investment Holdings CC v Y2K Tec Ltd</w:t>
      </w:r>
      <w:r w:rsidRPr="00B6043B">
        <w:rPr>
          <w:i/>
        </w:rPr>
        <w:t xml:space="preserve"> 2001 (4) SA 781 (C) at 783G–I). However, where the applicant at the provisional stage shows that the debt </w:t>
      </w:r>
      <w:r w:rsidRPr="00B6043B">
        <w:t>prima facie</w:t>
      </w:r>
      <w:r w:rsidRPr="00B6043B">
        <w:rPr>
          <w:i/>
        </w:rPr>
        <w:t xml:space="preserve"> exists, the onus is on the company to show that it is </w:t>
      </w:r>
      <w:r w:rsidRPr="00B6043B">
        <w:t>bona fide</w:t>
      </w:r>
      <w:r w:rsidRPr="00B6043B">
        <w:rPr>
          <w:i/>
        </w:rPr>
        <w:t xml:space="preserve"> disputed on reasonable grounds (</w:t>
      </w:r>
      <w:r w:rsidRPr="00B6043B">
        <w:t xml:space="preserve">Hülse-Reutter and Another v HEG Consulting Enterprises (Pty) Ltd (Lane and Fey NNO Intervening) </w:t>
      </w:r>
      <w:r w:rsidRPr="00B6043B">
        <w:rPr>
          <w:i/>
        </w:rPr>
        <w:t xml:space="preserve">1998 (2) SA 208 (C) at 218D–219C). </w:t>
      </w:r>
    </w:p>
    <w:p w14:paraId="3F361160" w14:textId="6EB529DB" w:rsidR="008A1C23" w:rsidRDefault="008A1C23" w:rsidP="00033F8E">
      <w:pPr>
        <w:tabs>
          <w:tab w:val="left" w:pos="1985"/>
        </w:tabs>
        <w:spacing w:after="0" w:line="240" w:lineRule="auto"/>
        <w:ind w:left="1985" w:right="851" w:hanging="567"/>
      </w:pPr>
      <w:r w:rsidRPr="00B6043B">
        <w:rPr>
          <w:i/>
        </w:rPr>
        <w:t xml:space="preserve">[9] </w:t>
      </w:r>
      <w:r w:rsidRPr="00B6043B">
        <w:rPr>
          <w:i/>
        </w:rPr>
        <w:tab/>
      </w:r>
      <w:r w:rsidRPr="00C67AF1">
        <w:rPr>
          <w:i/>
          <w:u w:val="single"/>
        </w:rPr>
        <w:t xml:space="preserve">The test for a final order of liquidation is different. The applicant must establish its case on a balance of probabilities. Where the facts are disputed, the court is not permitted to determine the balance of probabilities on the affidavits but must instead apply the </w:t>
      </w:r>
      <w:r w:rsidRPr="00C67AF1">
        <w:rPr>
          <w:u w:val="single"/>
        </w:rPr>
        <w:t>Plascon-Evans</w:t>
      </w:r>
      <w:r w:rsidRPr="00C67AF1">
        <w:rPr>
          <w:i/>
          <w:u w:val="single"/>
        </w:rPr>
        <w:t xml:space="preserve"> rule</w:t>
      </w:r>
      <w:r w:rsidRPr="00B6043B">
        <w:rPr>
          <w:i/>
        </w:rPr>
        <w:t xml:space="preserve"> (</w:t>
      </w:r>
      <w:r w:rsidRPr="00B6043B">
        <w:t>Paarwater v South Sahara Investments (Pty) Ltd</w:t>
      </w:r>
      <w:r w:rsidRPr="00B6043B">
        <w:rPr>
          <w:i/>
        </w:rPr>
        <w:t xml:space="preserve"> [2005] 4 All SA 185 (SCA) para 4; </w:t>
      </w:r>
      <w:r w:rsidRPr="00B6043B">
        <w:t>Golden Mile Financial Solutions CC v Amagen Development (Pty) Ltd</w:t>
      </w:r>
      <w:r w:rsidRPr="00B6043B">
        <w:rPr>
          <w:i/>
        </w:rPr>
        <w:t xml:space="preserve"> [2010] ZAWCHC 339 paras 8–10; </w:t>
      </w:r>
      <w:r w:rsidRPr="00B6043B">
        <w:t>Budge and Others NNO v Midnight Storm Investments 256 (Pty) Ltd and Another</w:t>
      </w:r>
      <w:r w:rsidRPr="00B6043B">
        <w:rPr>
          <w:i/>
        </w:rPr>
        <w:t xml:space="preserve"> 2012 (2) SA 28 (GSJ) para 14).</w:t>
      </w:r>
      <w:r>
        <w:t>”</w:t>
      </w:r>
    </w:p>
    <w:p w14:paraId="3713AA8C" w14:textId="7D82E778" w:rsidR="00C40BFD" w:rsidRDefault="00C67AF1" w:rsidP="00C67AF1">
      <w:pPr>
        <w:pStyle w:val="JudgmentNumbered"/>
        <w:numPr>
          <w:ilvl w:val="0"/>
          <w:numId w:val="0"/>
        </w:numPr>
        <w:spacing w:after="0"/>
        <w:ind w:left="567"/>
        <w:jc w:val="right"/>
      </w:pPr>
      <w:r>
        <w:t>[emphasis added]</w:t>
      </w:r>
    </w:p>
    <w:p w14:paraId="15F5C965" w14:textId="77777777" w:rsidR="00C67AF1" w:rsidRPr="00C40BFD" w:rsidRDefault="00C67AF1" w:rsidP="00C67AF1">
      <w:pPr>
        <w:pStyle w:val="JudgmentNumbered"/>
        <w:numPr>
          <w:ilvl w:val="0"/>
          <w:numId w:val="0"/>
        </w:numPr>
        <w:spacing w:after="0"/>
        <w:ind w:left="567" w:hanging="567"/>
      </w:pPr>
    </w:p>
    <w:p w14:paraId="330F0908" w14:textId="0C8E5D8D" w:rsidR="00A54F0F" w:rsidRDefault="000C19AC" w:rsidP="000C19AC">
      <w:pPr>
        <w:pStyle w:val="JudgmentNumbered"/>
        <w:numPr>
          <w:ilvl w:val="0"/>
          <w:numId w:val="0"/>
        </w:numPr>
        <w:ind w:left="567" w:hanging="567"/>
      </w:pPr>
      <w:r>
        <w:rPr>
          <w:iCs/>
        </w:rPr>
        <w:t>[40]</w:t>
      </w:r>
      <w:r>
        <w:rPr>
          <w:iCs/>
        </w:rPr>
        <w:tab/>
      </w:r>
      <w:r w:rsidR="008A1C23" w:rsidRPr="00B6043B">
        <w:t>The</w:t>
      </w:r>
      <w:r w:rsidR="00033F8E">
        <w:t xml:space="preserve"> approach</w:t>
      </w:r>
      <w:r w:rsidR="008A1C23" w:rsidRPr="00B6043B">
        <w:t xml:space="preserve"> </w:t>
      </w:r>
      <w:r w:rsidR="00033F8E">
        <w:t xml:space="preserve">in </w:t>
      </w:r>
      <w:r w:rsidR="008A1C23" w:rsidRPr="00B6043B">
        <w:rPr>
          <w:i/>
        </w:rPr>
        <w:t>Plascon-Evans</w:t>
      </w:r>
      <w:r w:rsidR="008A1C23" w:rsidRPr="00B6043B">
        <w:t xml:space="preserve"> requires </w:t>
      </w:r>
      <w:r w:rsidR="00033F8E">
        <w:t xml:space="preserve">that the court accept the </w:t>
      </w:r>
      <w:r w:rsidR="008A1C23" w:rsidRPr="00B6043B">
        <w:t xml:space="preserve">facts </w:t>
      </w:r>
      <w:r w:rsidR="00033F8E">
        <w:t>presented on oath by the respondent</w:t>
      </w:r>
      <w:r w:rsidR="008A1C23" w:rsidRPr="00B6043B">
        <w:t xml:space="preserve">, unless they </w:t>
      </w:r>
      <w:r w:rsidR="00033F8E">
        <w:t xml:space="preserve">are </w:t>
      </w:r>
      <w:r w:rsidR="008A1C23" w:rsidRPr="00B6043B">
        <w:t>bald or uncreditworthy denials or are palpably implausible, far-fetched or so clearly untenable that they could safely be rejected on the papers.</w:t>
      </w:r>
    </w:p>
    <w:p w14:paraId="00035D0F" w14:textId="6C3B3039" w:rsidR="005456DD" w:rsidRPr="005456DD" w:rsidRDefault="005456DD" w:rsidP="000D6BBD">
      <w:pPr>
        <w:pStyle w:val="JudgmentNumbered"/>
        <w:keepNext/>
        <w:numPr>
          <w:ilvl w:val="0"/>
          <w:numId w:val="0"/>
        </w:numPr>
        <w:rPr>
          <w:b/>
          <w:bCs/>
        </w:rPr>
      </w:pPr>
      <w:r w:rsidRPr="005456DD">
        <w:rPr>
          <w:b/>
          <w:bCs/>
        </w:rPr>
        <w:t>THE DEFENCES</w:t>
      </w:r>
    </w:p>
    <w:p w14:paraId="72EE9E40" w14:textId="5585E426" w:rsidR="00AC2DAF" w:rsidRPr="00AC2DAF" w:rsidRDefault="000C19AC" w:rsidP="000C19AC">
      <w:pPr>
        <w:pStyle w:val="JudgmentNumbered"/>
        <w:numPr>
          <w:ilvl w:val="0"/>
          <w:numId w:val="0"/>
        </w:numPr>
        <w:ind w:left="567" w:hanging="567"/>
        <w:rPr>
          <w:color w:val="1F1F1F"/>
          <w:szCs w:val="24"/>
        </w:rPr>
      </w:pPr>
      <w:r w:rsidRPr="00AC2DAF">
        <w:rPr>
          <w:iCs/>
          <w:color w:val="1F1F1F"/>
          <w:szCs w:val="24"/>
        </w:rPr>
        <w:t>[41]</w:t>
      </w:r>
      <w:r w:rsidRPr="00AC2DAF">
        <w:rPr>
          <w:iCs/>
          <w:color w:val="1F1F1F"/>
          <w:szCs w:val="24"/>
        </w:rPr>
        <w:tab/>
      </w:r>
      <w:r w:rsidR="00AD7B47">
        <w:t xml:space="preserve">As I say above, the </w:t>
      </w:r>
      <w:r w:rsidR="003F41A9">
        <w:t xml:space="preserve">respondent raises </w:t>
      </w:r>
      <w:r w:rsidR="00A54F0F">
        <w:rPr>
          <w:color w:val="1D1D1D"/>
          <w:szCs w:val="24"/>
        </w:rPr>
        <w:t>four defences.</w:t>
      </w:r>
    </w:p>
    <w:p w14:paraId="30A1D1B1" w14:textId="40714C38" w:rsidR="00AD7B47" w:rsidRPr="00AD7B47" w:rsidRDefault="000C19AC" w:rsidP="000C19AC">
      <w:pPr>
        <w:pStyle w:val="JudgmentNumbered"/>
        <w:numPr>
          <w:ilvl w:val="0"/>
          <w:numId w:val="0"/>
        </w:numPr>
        <w:ind w:left="567" w:hanging="567"/>
        <w:rPr>
          <w:color w:val="1F1F1F"/>
          <w:szCs w:val="24"/>
        </w:rPr>
      </w:pPr>
      <w:r w:rsidRPr="00AD7B47">
        <w:rPr>
          <w:iCs/>
          <w:color w:val="1F1F1F"/>
          <w:szCs w:val="24"/>
        </w:rPr>
        <w:t>[42]</w:t>
      </w:r>
      <w:r w:rsidRPr="00AD7B47">
        <w:rPr>
          <w:iCs/>
          <w:color w:val="1F1F1F"/>
          <w:szCs w:val="24"/>
        </w:rPr>
        <w:tab/>
      </w:r>
      <w:r w:rsidR="00A54F0F">
        <w:rPr>
          <w:color w:val="1D1D1D"/>
          <w:szCs w:val="24"/>
        </w:rPr>
        <w:t xml:space="preserve">First, </w:t>
      </w:r>
      <w:r w:rsidR="00AD7B47">
        <w:rPr>
          <w:lang w:eastAsia="en-GB"/>
        </w:rPr>
        <w:t>the respondent says that, since the loan agreement contains “</w:t>
      </w:r>
      <w:r w:rsidR="00AD7B47" w:rsidRPr="00AD7B47">
        <w:rPr>
          <w:i/>
          <w:iCs/>
          <w:lang w:eastAsia="en-GB"/>
        </w:rPr>
        <w:t>built-in remedies</w:t>
      </w:r>
      <w:r w:rsidR="00AD7B47">
        <w:rPr>
          <w:lang w:eastAsia="en-GB"/>
        </w:rPr>
        <w:t>” that enforce and protect the applicant’s rights in the loan agreement, this application is an abuse of process.</w:t>
      </w:r>
    </w:p>
    <w:p w14:paraId="6E75C20E" w14:textId="37C5F5BE" w:rsidR="00AD7B47" w:rsidRPr="00AD7B47" w:rsidRDefault="000C19AC" w:rsidP="000C19AC">
      <w:pPr>
        <w:pStyle w:val="JudgmentNumbered"/>
        <w:numPr>
          <w:ilvl w:val="0"/>
          <w:numId w:val="0"/>
        </w:numPr>
        <w:ind w:left="567" w:hanging="567"/>
        <w:rPr>
          <w:color w:val="1F1F1F"/>
          <w:szCs w:val="24"/>
        </w:rPr>
      </w:pPr>
      <w:r w:rsidRPr="00AD7B47">
        <w:rPr>
          <w:iCs/>
          <w:color w:val="1F1F1F"/>
          <w:szCs w:val="24"/>
        </w:rPr>
        <w:t>[43]</w:t>
      </w:r>
      <w:r w:rsidRPr="00AD7B47">
        <w:rPr>
          <w:iCs/>
          <w:color w:val="1F1F1F"/>
          <w:szCs w:val="24"/>
        </w:rPr>
        <w:tab/>
      </w:r>
      <w:r w:rsidR="00AD7B47">
        <w:rPr>
          <w:lang w:eastAsia="en-GB"/>
        </w:rPr>
        <w:t xml:space="preserve">Second, it argues that, since the applicant failed to comply with the remedial plan provided for in clause 14.2.7.1 </w:t>
      </w:r>
      <w:r w:rsidR="00C67AF1">
        <w:rPr>
          <w:lang w:eastAsia="en-GB"/>
        </w:rPr>
        <w:t xml:space="preserve">in appendix 1 to </w:t>
      </w:r>
      <w:r w:rsidR="00AD7B47">
        <w:rPr>
          <w:lang w:eastAsia="en-GB"/>
        </w:rPr>
        <w:t>the loan agreement, the application is premature.</w:t>
      </w:r>
    </w:p>
    <w:p w14:paraId="13387C16" w14:textId="2B6AB59C" w:rsidR="00AD7B47" w:rsidRPr="00AD7B47" w:rsidRDefault="000C19AC" w:rsidP="000C19AC">
      <w:pPr>
        <w:pStyle w:val="JudgmentNumbered"/>
        <w:numPr>
          <w:ilvl w:val="0"/>
          <w:numId w:val="0"/>
        </w:numPr>
        <w:ind w:left="567" w:hanging="567"/>
        <w:rPr>
          <w:color w:val="1F1F1F"/>
          <w:szCs w:val="24"/>
        </w:rPr>
      </w:pPr>
      <w:r w:rsidRPr="00AD7B47">
        <w:rPr>
          <w:iCs/>
          <w:color w:val="1F1F1F"/>
          <w:szCs w:val="24"/>
        </w:rPr>
        <w:t>[44]</w:t>
      </w:r>
      <w:r w:rsidRPr="00AD7B47">
        <w:rPr>
          <w:iCs/>
          <w:color w:val="1F1F1F"/>
          <w:szCs w:val="24"/>
        </w:rPr>
        <w:tab/>
      </w:r>
      <w:r w:rsidR="00AD7B47">
        <w:rPr>
          <w:lang w:eastAsia="en-GB"/>
        </w:rPr>
        <w:t>Third, the respondent argues that, since neither the applicant’s letter of demand under section 345(1)(a)</w:t>
      </w:r>
      <w:r w:rsidR="00C9470D">
        <w:rPr>
          <w:lang w:eastAsia="en-GB"/>
        </w:rPr>
        <w:t>(i)</w:t>
      </w:r>
      <w:r w:rsidR="00AD7B47">
        <w:rPr>
          <w:lang w:eastAsia="en-GB"/>
        </w:rPr>
        <w:t xml:space="preserve">, nor this application was served on its </w:t>
      </w:r>
      <w:r w:rsidR="00AD7B47" w:rsidRPr="00AD7B47">
        <w:rPr>
          <w:i/>
          <w:iCs/>
          <w:lang w:eastAsia="en-GB"/>
        </w:rPr>
        <w:t>domicilium</w:t>
      </w:r>
      <w:r w:rsidR="00AD7B47">
        <w:rPr>
          <w:lang w:eastAsia="en-GB"/>
        </w:rPr>
        <w:t xml:space="preserve"> address, as required by clause 20.1.2 </w:t>
      </w:r>
      <w:r w:rsidR="00C9470D">
        <w:rPr>
          <w:lang w:eastAsia="en-GB"/>
        </w:rPr>
        <w:t xml:space="preserve">in appendix 1 </w:t>
      </w:r>
      <w:r w:rsidR="00AD7B47">
        <w:rPr>
          <w:lang w:eastAsia="en-GB"/>
        </w:rPr>
        <w:t>of the loan agreement, those were irregular steps.</w:t>
      </w:r>
    </w:p>
    <w:p w14:paraId="669B6F3A" w14:textId="1CEF8269" w:rsidR="00AD7B47" w:rsidRPr="00AD7B47" w:rsidRDefault="000C19AC" w:rsidP="000C19AC">
      <w:pPr>
        <w:pStyle w:val="JudgmentNumbered"/>
        <w:numPr>
          <w:ilvl w:val="0"/>
          <w:numId w:val="0"/>
        </w:numPr>
        <w:ind w:left="567" w:hanging="567"/>
        <w:rPr>
          <w:color w:val="1F1F1F"/>
          <w:szCs w:val="24"/>
        </w:rPr>
      </w:pPr>
      <w:r w:rsidRPr="00AD7B47">
        <w:rPr>
          <w:iCs/>
          <w:color w:val="1F1F1F"/>
          <w:szCs w:val="24"/>
        </w:rPr>
        <w:lastRenderedPageBreak/>
        <w:t>[45]</w:t>
      </w:r>
      <w:r w:rsidRPr="00AD7B47">
        <w:rPr>
          <w:iCs/>
          <w:color w:val="1F1F1F"/>
          <w:szCs w:val="24"/>
        </w:rPr>
        <w:tab/>
      </w:r>
      <w:r w:rsidR="00AD7B47">
        <w:rPr>
          <w:lang w:eastAsia="en-GB"/>
        </w:rPr>
        <w:t>Last,</w:t>
      </w:r>
      <w:r w:rsidR="00AD7B47">
        <w:rPr>
          <w:color w:val="1D1D1D"/>
          <w:szCs w:val="24"/>
        </w:rPr>
        <w:t xml:space="preserve"> </w:t>
      </w:r>
      <w:r w:rsidR="00AD7B47">
        <w:rPr>
          <w:lang w:eastAsia="en-GB"/>
        </w:rPr>
        <w:t xml:space="preserve">the respondent contends that, since the applicant did not reissue to the respondent a </w:t>
      </w:r>
      <w:r w:rsidR="00C9470D">
        <w:rPr>
          <w:lang w:eastAsia="en-GB"/>
        </w:rPr>
        <w:t xml:space="preserve">third-party </w:t>
      </w:r>
      <w:r w:rsidR="003976AB">
        <w:rPr>
          <w:lang w:eastAsia="en-GB"/>
        </w:rPr>
        <w:t>payment processor (TPPP)</w:t>
      </w:r>
      <w:r w:rsidR="00AD7B47">
        <w:rPr>
          <w:lang w:eastAsia="en-GB"/>
        </w:rPr>
        <w:t xml:space="preserve"> certificate, which </w:t>
      </w:r>
      <w:r w:rsidR="00AD7B47">
        <w:rPr>
          <w:color w:val="1D1D1D"/>
          <w:szCs w:val="24"/>
        </w:rPr>
        <w:t xml:space="preserve">led to its </w:t>
      </w:r>
      <w:r w:rsidR="00AD7B47" w:rsidRPr="00DD1F0C">
        <w:rPr>
          <w:color w:val="1D1D1D"/>
          <w:szCs w:val="24"/>
        </w:rPr>
        <w:t>inability to render services and derive an income</w:t>
      </w:r>
      <w:r w:rsidR="00AD7B47">
        <w:rPr>
          <w:color w:val="1D1D1D"/>
          <w:szCs w:val="24"/>
        </w:rPr>
        <w:t>,</w:t>
      </w:r>
      <w:r w:rsidR="00AD7B47">
        <w:rPr>
          <w:lang w:eastAsia="en-GB"/>
        </w:rPr>
        <w:t xml:space="preserve"> the applicant approaches this court with unclean (or “</w:t>
      </w:r>
      <w:r w:rsidR="00AD7B47" w:rsidRPr="00AD7B47">
        <w:rPr>
          <w:i/>
          <w:iCs/>
          <w:lang w:eastAsia="en-GB"/>
        </w:rPr>
        <w:t>dirty</w:t>
      </w:r>
      <w:r w:rsidR="00AD7B47">
        <w:rPr>
          <w:lang w:eastAsia="en-GB"/>
        </w:rPr>
        <w:t>”) hands.</w:t>
      </w:r>
    </w:p>
    <w:p w14:paraId="56A38916" w14:textId="73C9B9F3" w:rsidR="00FD1467" w:rsidRPr="00AD7B47" w:rsidRDefault="000C19AC" w:rsidP="000C19AC">
      <w:pPr>
        <w:pStyle w:val="JudgmentNumbered"/>
        <w:numPr>
          <w:ilvl w:val="0"/>
          <w:numId w:val="0"/>
        </w:numPr>
        <w:ind w:left="567" w:hanging="567"/>
        <w:rPr>
          <w:color w:val="1F1F1F"/>
          <w:szCs w:val="24"/>
        </w:rPr>
      </w:pPr>
      <w:r w:rsidRPr="00AD7B47">
        <w:rPr>
          <w:iCs/>
          <w:color w:val="1F1F1F"/>
          <w:szCs w:val="24"/>
        </w:rPr>
        <w:t>[46]</w:t>
      </w:r>
      <w:r w:rsidRPr="00AD7B47">
        <w:rPr>
          <w:iCs/>
          <w:color w:val="1F1F1F"/>
          <w:szCs w:val="24"/>
        </w:rPr>
        <w:tab/>
      </w:r>
      <w:r w:rsidR="00F45F8D">
        <w:t>I</w:t>
      </w:r>
      <w:r w:rsidR="003F41A9">
        <w:t xml:space="preserve">n the light of the </w:t>
      </w:r>
      <w:r w:rsidR="00AD7B47">
        <w:t xml:space="preserve">applicable legal </w:t>
      </w:r>
      <w:r w:rsidR="003F41A9">
        <w:t>principles set out above,</w:t>
      </w:r>
      <w:r w:rsidR="00FD1467">
        <w:t xml:space="preserve"> </w:t>
      </w:r>
      <w:r w:rsidR="003F41A9">
        <w:t xml:space="preserve">I </w:t>
      </w:r>
      <w:r w:rsidR="00FD1467">
        <w:t>turn to deal with the defences.</w:t>
      </w:r>
    </w:p>
    <w:p w14:paraId="66CE0E7A" w14:textId="0802F04F" w:rsidR="00E92309" w:rsidRDefault="000C19AC" w:rsidP="000C19AC">
      <w:pPr>
        <w:pStyle w:val="JudgmentNumbered"/>
        <w:numPr>
          <w:ilvl w:val="0"/>
          <w:numId w:val="0"/>
        </w:numPr>
        <w:ind w:left="567" w:hanging="567"/>
        <w:rPr>
          <w:color w:val="1F1F1F"/>
          <w:szCs w:val="24"/>
        </w:rPr>
      </w:pPr>
      <w:r>
        <w:rPr>
          <w:iCs/>
          <w:color w:val="1F1F1F"/>
          <w:szCs w:val="24"/>
        </w:rPr>
        <w:t>[47]</w:t>
      </w:r>
      <w:r>
        <w:rPr>
          <w:iCs/>
          <w:color w:val="1F1F1F"/>
          <w:szCs w:val="24"/>
        </w:rPr>
        <w:tab/>
      </w:r>
      <w:r w:rsidR="00AD7B47">
        <w:rPr>
          <w:color w:val="1F1F1F"/>
          <w:szCs w:val="24"/>
        </w:rPr>
        <w:t>It seems that one of the defences – namely the third one, that there was no proper service of the statutory demand – is a species of denial that there was proper compliance with the requirements of section 345(1)(a)(i). If this</w:t>
      </w:r>
      <w:r w:rsidR="00E92309">
        <w:rPr>
          <w:color w:val="1F1F1F"/>
          <w:szCs w:val="24"/>
        </w:rPr>
        <w:t xml:space="preserve"> defence prevails, the winding-up order sought cannot be granted under that subsection, and the application would have to rely upon the alternative ground, namely section 345(1)(c).</w:t>
      </w:r>
    </w:p>
    <w:p w14:paraId="52C69FE7" w14:textId="1BDCFDD7" w:rsidR="00E92309" w:rsidRDefault="000C19AC" w:rsidP="000C19AC">
      <w:pPr>
        <w:pStyle w:val="JudgmentNumbered"/>
        <w:numPr>
          <w:ilvl w:val="0"/>
          <w:numId w:val="0"/>
        </w:numPr>
        <w:ind w:left="567" w:hanging="567"/>
        <w:rPr>
          <w:color w:val="1F1F1F"/>
          <w:szCs w:val="24"/>
        </w:rPr>
      </w:pPr>
      <w:r>
        <w:rPr>
          <w:iCs/>
          <w:color w:val="1F1F1F"/>
          <w:szCs w:val="24"/>
        </w:rPr>
        <w:t>[48]</w:t>
      </w:r>
      <w:r>
        <w:rPr>
          <w:iCs/>
          <w:color w:val="1F1F1F"/>
          <w:szCs w:val="24"/>
        </w:rPr>
        <w:tab/>
      </w:r>
      <w:r w:rsidR="00E92309">
        <w:rPr>
          <w:color w:val="1F1F1F"/>
          <w:szCs w:val="24"/>
        </w:rPr>
        <w:t>In various ways, the other three defences go to the question whether there has been compliance with section 345(1)(c) as well as to the court’s discretion to prevent abuse of its process.</w:t>
      </w:r>
    </w:p>
    <w:p w14:paraId="581F5368" w14:textId="11DE6533" w:rsidR="00E92309" w:rsidRDefault="000C19AC" w:rsidP="000C19AC">
      <w:pPr>
        <w:pStyle w:val="JudgmentNumbered"/>
        <w:numPr>
          <w:ilvl w:val="0"/>
          <w:numId w:val="0"/>
        </w:numPr>
        <w:ind w:left="567" w:hanging="567"/>
        <w:rPr>
          <w:color w:val="1F1F1F"/>
          <w:szCs w:val="24"/>
        </w:rPr>
      </w:pPr>
      <w:r>
        <w:rPr>
          <w:iCs/>
          <w:color w:val="1F1F1F"/>
          <w:szCs w:val="24"/>
        </w:rPr>
        <w:t>[49]</w:t>
      </w:r>
      <w:r>
        <w:rPr>
          <w:iCs/>
          <w:color w:val="1F1F1F"/>
          <w:szCs w:val="24"/>
        </w:rPr>
        <w:tab/>
      </w:r>
      <w:r w:rsidR="00E92309">
        <w:rPr>
          <w:color w:val="1F1F1F"/>
          <w:szCs w:val="24"/>
        </w:rPr>
        <w:t>I deal first with the defence premissed upon there not having been valid service.</w:t>
      </w:r>
    </w:p>
    <w:p w14:paraId="20645E20" w14:textId="77777777" w:rsidR="00E92309" w:rsidRPr="00B86752" w:rsidRDefault="00E92309" w:rsidP="00E92309">
      <w:pPr>
        <w:pStyle w:val="JudgmentNumbered"/>
        <w:keepNext/>
        <w:numPr>
          <w:ilvl w:val="0"/>
          <w:numId w:val="0"/>
        </w:numPr>
        <w:rPr>
          <w:b/>
          <w:bCs/>
        </w:rPr>
      </w:pPr>
      <w:r>
        <w:rPr>
          <w:b/>
          <w:bCs/>
        </w:rPr>
        <w:t>This application is an i</w:t>
      </w:r>
      <w:r w:rsidRPr="00B86752">
        <w:rPr>
          <w:b/>
          <w:bCs/>
        </w:rPr>
        <w:t>rregular step</w:t>
      </w:r>
    </w:p>
    <w:p w14:paraId="5FA4C999" w14:textId="194547C1" w:rsidR="00E92309" w:rsidRDefault="000C19AC" w:rsidP="000C19AC">
      <w:pPr>
        <w:pStyle w:val="JudgmentNumbered"/>
        <w:numPr>
          <w:ilvl w:val="0"/>
          <w:numId w:val="0"/>
        </w:numPr>
        <w:ind w:left="567" w:hanging="567"/>
      </w:pPr>
      <w:r>
        <w:rPr>
          <w:iCs/>
        </w:rPr>
        <w:t>[50]</w:t>
      </w:r>
      <w:r>
        <w:rPr>
          <w:iCs/>
        </w:rPr>
        <w:tab/>
      </w:r>
      <w:r w:rsidR="00E92309">
        <w:t xml:space="preserve">Even though the respondent frames it in the singular, the third defence </w:t>
      </w:r>
      <w:r w:rsidR="003976AB">
        <w:t xml:space="preserve">(which I address first) </w:t>
      </w:r>
      <w:r w:rsidR="00E92309">
        <w:t xml:space="preserve">is that </w:t>
      </w:r>
      <w:r w:rsidR="00E92309" w:rsidRPr="00FB3A30">
        <w:t xml:space="preserve">the applicant committed </w:t>
      </w:r>
      <w:r w:rsidR="00E92309">
        <w:t>two</w:t>
      </w:r>
      <w:r w:rsidR="00E92309" w:rsidRPr="00FB3A30">
        <w:t xml:space="preserve"> irregular step</w:t>
      </w:r>
      <w:r w:rsidR="00E92309">
        <w:t>s, as contemplated in r</w:t>
      </w:r>
      <w:r w:rsidR="00E92309" w:rsidRPr="00FB3A30">
        <w:t>ule 30 of the Uniform Rules of Court.</w:t>
      </w:r>
    </w:p>
    <w:p w14:paraId="02D3EA37" w14:textId="766845A8" w:rsidR="00E92309" w:rsidRDefault="000C19AC" w:rsidP="000C19AC">
      <w:pPr>
        <w:pStyle w:val="JudgmentNumbered"/>
        <w:numPr>
          <w:ilvl w:val="0"/>
          <w:numId w:val="0"/>
        </w:numPr>
        <w:ind w:left="567" w:hanging="567"/>
      </w:pPr>
      <w:r>
        <w:rPr>
          <w:iCs/>
        </w:rPr>
        <w:t>[51]</w:t>
      </w:r>
      <w:r>
        <w:rPr>
          <w:iCs/>
        </w:rPr>
        <w:tab/>
      </w:r>
      <w:r w:rsidR="00E92309">
        <w:t xml:space="preserve">The first of those irregular steps was that the applicant had refrained from serving the statutory demand at the </w:t>
      </w:r>
      <w:r w:rsidR="00E92309" w:rsidRPr="00E92309">
        <w:rPr>
          <w:i/>
          <w:iCs/>
        </w:rPr>
        <w:t>domicilium citandi et executandi</w:t>
      </w:r>
      <w:r w:rsidR="00E92309">
        <w:t xml:space="preserve"> of the respondent, as identified in clause 20.1.2 </w:t>
      </w:r>
      <w:r w:rsidR="003976AB">
        <w:t>in</w:t>
      </w:r>
      <w:r w:rsidR="00E92309">
        <w:t xml:space="preserve"> </w:t>
      </w:r>
      <w:r w:rsidR="00FE4FB9">
        <w:t xml:space="preserve">appendix </w:t>
      </w:r>
      <w:r w:rsidR="003976AB">
        <w:t>1</w:t>
      </w:r>
      <w:r w:rsidR="00FE4FB9">
        <w:t xml:space="preserve"> to </w:t>
      </w:r>
      <w:r w:rsidR="00E92309">
        <w:t>the loan agreement</w:t>
      </w:r>
      <w:r w:rsidR="000F56D1">
        <w:t xml:space="preserve"> (namely the applicant’s standard terms and conditions)</w:t>
      </w:r>
      <w:r w:rsidR="00E92309">
        <w:t xml:space="preserve">, rather serving it at the respondent’s registered address. The second irregular step is that the application itself was served not at the </w:t>
      </w:r>
      <w:r w:rsidR="00E92309" w:rsidRPr="00E92309">
        <w:rPr>
          <w:i/>
          <w:iCs/>
        </w:rPr>
        <w:t>domicilium</w:t>
      </w:r>
      <w:r w:rsidR="00E92309">
        <w:t xml:space="preserve"> address but again at the respondent’s registered address.</w:t>
      </w:r>
    </w:p>
    <w:p w14:paraId="0862D221" w14:textId="1ECE964A" w:rsidR="00FE4FB9" w:rsidRDefault="000C19AC" w:rsidP="000C19AC">
      <w:pPr>
        <w:pStyle w:val="JudgmentNumbered"/>
        <w:numPr>
          <w:ilvl w:val="0"/>
          <w:numId w:val="0"/>
        </w:numPr>
        <w:spacing w:after="0"/>
        <w:ind w:left="567" w:hanging="567"/>
      </w:pPr>
      <w:r>
        <w:rPr>
          <w:iCs/>
        </w:rPr>
        <w:t>[52]</w:t>
      </w:r>
      <w:r>
        <w:rPr>
          <w:iCs/>
        </w:rPr>
        <w:tab/>
      </w:r>
      <w:r w:rsidR="007268DC">
        <w:t xml:space="preserve">Clause 20 of </w:t>
      </w:r>
      <w:r w:rsidR="00FE4FB9">
        <w:t xml:space="preserve">appendix </w:t>
      </w:r>
      <w:r w:rsidR="002D759F">
        <w:t>1</w:t>
      </w:r>
      <w:r w:rsidR="007268DC">
        <w:t xml:space="preserve"> </w:t>
      </w:r>
      <w:r w:rsidR="00FE4FB9">
        <w:t>is headed “NOTICES”. Clause 20.1 reads: “</w:t>
      </w:r>
      <w:r w:rsidR="00FE4FB9" w:rsidRPr="00FE4FB9">
        <w:rPr>
          <w:i/>
          <w:iCs/>
        </w:rPr>
        <w:t xml:space="preserve">The Parties choose as their </w:t>
      </w:r>
      <w:r w:rsidR="00FE4FB9" w:rsidRPr="00FE4FB9">
        <w:t>domicilia citandi et executandi</w:t>
      </w:r>
      <w:r w:rsidR="00FE4FB9" w:rsidRPr="00FE4FB9">
        <w:rPr>
          <w:i/>
          <w:iCs/>
        </w:rPr>
        <w:t xml:space="preserve"> the physical addresses set out in </w:t>
      </w:r>
      <w:r w:rsidR="00FE4FB9" w:rsidRPr="00FE4FB9">
        <w:rPr>
          <w:i/>
          <w:iCs/>
        </w:rPr>
        <w:lastRenderedPageBreak/>
        <w:t xml:space="preserve">this clause for all purposes arising out of or in connection with this Agreement, at which address all processes and notices arising out of or in connection with this Agreement, its breach or termination </w:t>
      </w:r>
      <w:r w:rsidR="00FE4FB9" w:rsidRPr="00FE4FB9">
        <w:rPr>
          <w:i/>
          <w:iCs/>
          <w:u w:val="single"/>
        </w:rPr>
        <w:t>may validly be served upon or delivered to the Parties</w:t>
      </w:r>
      <w:r w:rsidR="00FE4FB9" w:rsidRPr="00FE4FB9">
        <w:rPr>
          <w:i/>
          <w:iCs/>
        </w:rPr>
        <w:t>.</w:t>
      </w:r>
      <w:r w:rsidR="00FE4FB9">
        <w:t>”</w:t>
      </w:r>
    </w:p>
    <w:p w14:paraId="64086AAC" w14:textId="72C8499A" w:rsidR="00FE4FB9" w:rsidRDefault="00FE4FB9" w:rsidP="00C40BFD">
      <w:pPr>
        <w:pStyle w:val="JudgmentNumbered"/>
        <w:numPr>
          <w:ilvl w:val="0"/>
          <w:numId w:val="0"/>
        </w:numPr>
        <w:ind w:left="567"/>
        <w:jc w:val="right"/>
      </w:pPr>
      <w:r>
        <w:t>[emphasis added]</w:t>
      </w:r>
    </w:p>
    <w:p w14:paraId="03631C87" w14:textId="753F773F" w:rsidR="00FE4FB9" w:rsidRDefault="000C19AC" w:rsidP="000C19AC">
      <w:pPr>
        <w:pStyle w:val="JudgmentNumbered"/>
        <w:numPr>
          <w:ilvl w:val="0"/>
          <w:numId w:val="0"/>
        </w:numPr>
        <w:spacing w:before="240"/>
        <w:ind w:left="567" w:hanging="567"/>
      </w:pPr>
      <w:r>
        <w:rPr>
          <w:iCs/>
        </w:rPr>
        <w:t>[53]</w:t>
      </w:r>
      <w:r>
        <w:rPr>
          <w:iCs/>
        </w:rPr>
        <w:tab/>
      </w:r>
      <w:r w:rsidR="00FE4FB9">
        <w:t xml:space="preserve">Clause 20.1.2 </w:t>
      </w:r>
      <w:r w:rsidR="003976AB">
        <w:t xml:space="preserve">in appendix 1 </w:t>
      </w:r>
      <w:r w:rsidR="00FE4FB9">
        <w:t xml:space="preserve">provides that the respondent’s </w:t>
      </w:r>
      <w:r w:rsidR="00FE4FB9" w:rsidRPr="00FE4FB9">
        <w:rPr>
          <w:i/>
          <w:iCs/>
        </w:rPr>
        <w:t>domicilium</w:t>
      </w:r>
      <w:r w:rsidR="00FE4FB9">
        <w:t xml:space="preserve"> address is “</w:t>
      </w:r>
      <w:r w:rsidR="00FE4FB9" w:rsidRPr="000F56D1">
        <w:rPr>
          <w:i/>
          <w:iCs/>
        </w:rPr>
        <w:t>the contact details specified on p</w:t>
      </w:r>
      <w:r w:rsidR="000F56D1" w:rsidRPr="000F56D1">
        <w:rPr>
          <w:i/>
          <w:iCs/>
        </w:rPr>
        <w:t>age</w:t>
      </w:r>
      <w:r w:rsidR="00FE4FB9" w:rsidRPr="000F56D1">
        <w:rPr>
          <w:i/>
          <w:iCs/>
        </w:rPr>
        <w:t xml:space="preserve"> 1 of this Agreement</w:t>
      </w:r>
      <w:r w:rsidR="000F56D1">
        <w:t>” [</w:t>
      </w:r>
      <w:r w:rsidR="000F56D1" w:rsidRPr="000F56D1">
        <w:rPr>
          <w:i/>
          <w:iCs/>
        </w:rPr>
        <w:t>sc.</w:t>
      </w:r>
      <w:r w:rsidR="000F56D1">
        <w:t xml:space="preserve"> 12 Neerlandia Road, Halway Gardens Extension 4, Midrand, Gauteng, 1685] or “</w:t>
      </w:r>
      <w:r w:rsidR="000F56D1" w:rsidRPr="000F56D1">
        <w:rPr>
          <w:i/>
          <w:iCs/>
        </w:rPr>
        <w:t xml:space="preserve">at such other address in South Africa of which the Party concerned may notify the other in writing provided that no street address mentioned in this sub clause shall be be changed to a post office box or </w:t>
      </w:r>
      <w:r w:rsidR="000F56D1" w:rsidRPr="002D759F">
        <w:t>poste restante</w:t>
      </w:r>
      <w:r w:rsidR="000F56D1">
        <w:t>”.</w:t>
      </w:r>
    </w:p>
    <w:p w14:paraId="34A6EE69" w14:textId="68CC0096" w:rsidR="007268DC" w:rsidRDefault="000C19AC" w:rsidP="000C19AC">
      <w:pPr>
        <w:pStyle w:val="JudgmentNumbered"/>
        <w:numPr>
          <w:ilvl w:val="0"/>
          <w:numId w:val="0"/>
        </w:numPr>
        <w:ind w:left="567" w:hanging="567"/>
      </w:pPr>
      <w:r>
        <w:rPr>
          <w:iCs/>
        </w:rPr>
        <w:t>[54]</w:t>
      </w:r>
      <w:r>
        <w:rPr>
          <w:iCs/>
        </w:rPr>
        <w:tab/>
      </w:r>
      <w:r w:rsidR="00793E9F">
        <w:t>Importantly, t</w:t>
      </w:r>
      <w:r w:rsidR="00FE4FB9">
        <w:t>he modal verb “</w:t>
      </w:r>
      <w:r w:rsidR="00FE4FB9" w:rsidRPr="000F56D1">
        <w:rPr>
          <w:i/>
          <w:iCs/>
        </w:rPr>
        <w:t>may</w:t>
      </w:r>
      <w:r w:rsidR="00FE4FB9">
        <w:t>” in the underlined passage in clause 20.1</w:t>
      </w:r>
      <w:r w:rsidR="00793E9F">
        <w:t xml:space="preserve">, quoted above, indicates that the parties agreed that, even as between them, the use of the </w:t>
      </w:r>
      <w:r w:rsidR="00793E9F" w:rsidRPr="00793E9F">
        <w:rPr>
          <w:i/>
          <w:iCs/>
        </w:rPr>
        <w:t>domicilium</w:t>
      </w:r>
      <w:r w:rsidR="00793E9F">
        <w:t xml:space="preserve"> address would be permissive rather than peremptory.</w:t>
      </w:r>
      <w:r w:rsidR="00973D32">
        <w:t xml:space="preserve"> Accordingly, there is no factual basis for the respondent’s averment that clause 20.1.2 </w:t>
      </w:r>
      <w:r w:rsidR="003976AB">
        <w:t xml:space="preserve">in appendix 1 </w:t>
      </w:r>
      <w:r w:rsidR="00973D32">
        <w:t>“</w:t>
      </w:r>
      <w:r w:rsidR="00973D32" w:rsidRPr="00973D32">
        <w:rPr>
          <w:i/>
          <w:iCs/>
        </w:rPr>
        <w:t>requires that the parties address all process and notices</w:t>
      </w:r>
      <w:r w:rsidR="00973D32">
        <w:t xml:space="preserve">” to the </w:t>
      </w:r>
      <w:r w:rsidR="00973D32" w:rsidRPr="00973D32">
        <w:rPr>
          <w:i/>
          <w:iCs/>
        </w:rPr>
        <w:t>domicilium</w:t>
      </w:r>
      <w:r w:rsidR="00973D32">
        <w:t xml:space="preserve"> address or that it is “</w:t>
      </w:r>
      <w:r w:rsidR="00973D32" w:rsidRPr="00973D32">
        <w:rPr>
          <w:i/>
          <w:iCs/>
        </w:rPr>
        <w:t>peremptory</w:t>
      </w:r>
      <w:r w:rsidR="00973D32">
        <w:t>”. The opposite is the case.</w:t>
      </w:r>
    </w:p>
    <w:p w14:paraId="18192083" w14:textId="6276208F" w:rsidR="00793E9F" w:rsidRDefault="000C19AC" w:rsidP="000C19AC">
      <w:pPr>
        <w:pStyle w:val="JudgmentNumbered"/>
        <w:numPr>
          <w:ilvl w:val="0"/>
          <w:numId w:val="0"/>
        </w:numPr>
        <w:ind w:left="567" w:hanging="567"/>
      </w:pPr>
      <w:r>
        <w:rPr>
          <w:iCs/>
        </w:rPr>
        <w:t>[55]</w:t>
      </w:r>
      <w:r>
        <w:rPr>
          <w:iCs/>
        </w:rPr>
        <w:tab/>
      </w:r>
      <w:r w:rsidR="00793E9F">
        <w:t>But</w:t>
      </w:r>
      <w:r w:rsidR="00973D32">
        <w:t>,</w:t>
      </w:r>
      <w:r w:rsidR="00793E9F">
        <w:t xml:space="preserve"> </w:t>
      </w:r>
      <w:r w:rsidR="00973D32">
        <w:t>more fundamentally, it is section 345(1)(a)(i) that is indeed peremptory. For an applicant to be entitled to the deeming force of that sub-section, there must be careful compliance with what it requires, and that is that the letter of demand be served upon the respondent company “</w:t>
      </w:r>
      <w:r w:rsidR="00973D32" w:rsidRPr="00973D32">
        <w:rPr>
          <w:i/>
          <w:iCs/>
        </w:rPr>
        <w:t>by leaving [it] at its registered office</w:t>
      </w:r>
      <w:r w:rsidR="00973D32">
        <w:t>”.</w:t>
      </w:r>
    </w:p>
    <w:p w14:paraId="17BC522E" w14:textId="4E4FB240" w:rsidR="003976AB" w:rsidRDefault="000C19AC" w:rsidP="000C19AC">
      <w:pPr>
        <w:pStyle w:val="JudgmentNumbered"/>
        <w:numPr>
          <w:ilvl w:val="0"/>
          <w:numId w:val="0"/>
        </w:numPr>
        <w:ind w:left="567" w:hanging="567"/>
      </w:pPr>
      <w:r>
        <w:rPr>
          <w:iCs/>
        </w:rPr>
        <w:t>[56]</w:t>
      </w:r>
      <w:r>
        <w:rPr>
          <w:iCs/>
        </w:rPr>
        <w:tab/>
      </w:r>
      <w:r w:rsidR="003976AB">
        <w:t>It hardly needs to be said that, under rule 4(1)(a)(v), service upon a company at its registered office is valid service.</w:t>
      </w:r>
    </w:p>
    <w:p w14:paraId="5C24EE8B" w14:textId="02E60B64" w:rsidR="00973D32" w:rsidRDefault="000C19AC" w:rsidP="000C19AC">
      <w:pPr>
        <w:pStyle w:val="JudgmentNumbered"/>
        <w:numPr>
          <w:ilvl w:val="0"/>
          <w:numId w:val="0"/>
        </w:numPr>
        <w:ind w:left="567" w:hanging="567"/>
      </w:pPr>
      <w:r>
        <w:rPr>
          <w:iCs/>
        </w:rPr>
        <w:t>[57]</w:t>
      </w:r>
      <w:r>
        <w:rPr>
          <w:iCs/>
        </w:rPr>
        <w:tab/>
      </w:r>
      <w:r w:rsidR="00973D32">
        <w:t xml:space="preserve">There is no basis to this defence. Moreover, it has a perverse touch. Were the applicant to have done as the respondent now </w:t>
      </w:r>
      <w:r w:rsidR="003976AB">
        <w:t>suggests</w:t>
      </w:r>
      <w:r w:rsidR="00973D32">
        <w:t xml:space="preserve">, surely the respondent’s first – entirely valid – objection would have been that there </w:t>
      </w:r>
      <w:r w:rsidR="002D759F">
        <w:t>had been</w:t>
      </w:r>
      <w:r w:rsidR="00973D32">
        <w:t xml:space="preserve"> no compliance with the service requirements of section 345(1)(a)(i)</w:t>
      </w:r>
      <w:r w:rsidR="003976AB">
        <w:t>.</w:t>
      </w:r>
      <w:r w:rsidR="00973D32">
        <w:t xml:space="preserve"> </w:t>
      </w:r>
    </w:p>
    <w:p w14:paraId="457BA3FA" w14:textId="1D1327AE" w:rsidR="00E92309" w:rsidRDefault="000C19AC" w:rsidP="000C19AC">
      <w:pPr>
        <w:pStyle w:val="JudgmentNumbered"/>
        <w:numPr>
          <w:ilvl w:val="0"/>
          <w:numId w:val="0"/>
        </w:numPr>
        <w:ind w:left="567" w:hanging="567"/>
      </w:pPr>
      <w:r>
        <w:rPr>
          <w:iCs/>
        </w:rPr>
        <w:t>[58]</w:t>
      </w:r>
      <w:r>
        <w:rPr>
          <w:iCs/>
        </w:rPr>
        <w:tab/>
      </w:r>
      <w:r w:rsidR="00973D32">
        <w:t xml:space="preserve">What is more, rule 30 has its own internal architecture and </w:t>
      </w:r>
      <w:r w:rsidR="003976AB">
        <w:t>timetable</w:t>
      </w:r>
      <w:r w:rsidR="00973D32">
        <w:t>. It little behoves a litigant to do as the respondent does in its answering affidavit</w:t>
      </w:r>
      <w:r w:rsidR="003976AB">
        <w:t>:</w:t>
      </w:r>
      <w:r w:rsidR="00973D32">
        <w:t xml:space="preserve"> saying </w:t>
      </w:r>
      <w:r w:rsidR="00973D32">
        <w:lastRenderedPageBreak/>
        <w:t>blithely</w:t>
      </w:r>
      <w:r w:rsidR="00BE1187">
        <w:t>, and belatedly,</w:t>
      </w:r>
      <w:r w:rsidR="00973D32">
        <w:t xml:space="preserve"> that </w:t>
      </w:r>
      <w:r w:rsidR="00BE1187">
        <w:t xml:space="preserve">it </w:t>
      </w:r>
      <w:r w:rsidR="00973D32">
        <w:t>“</w:t>
      </w:r>
      <w:r w:rsidR="00973D32" w:rsidRPr="00BE1187">
        <w:rPr>
          <w:i/>
          <w:iCs/>
        </w:rPr>
        <w:t>has instructed its attorneys of record to invoke the procedure set out Rule 30</w:t>
      </w:r>
      <w:r w:rsidR="00BE1187">
        <w:t>”.</w:t>
      </w:r>
    </w:p>
    <w:p w14:paraId="19C998EF" w14:textId="425DA1C0" w:rsidR="00AD7B47" w:rsidRPr="00B55553" w:rsidRDefault="000C19AC" w:rsidP="000C19AC">
      <w:pPr>
        <w:pStyle w:val="JudgmentNumbered"/>
        <w:numPr>
          <w:ilvl w:val="0"/>
          <w:numId w:val="0"/>
        </w:numPr>
        <w:ind w:left="567" w:hanging="567"/>
      </w:pPr>
      <w:r w:rsidRPr="00B55553">
        <w:rPr>
          <w:iCs/>
        </w:rPr>
        <w:t>[59]</w:t>
      </w:r>
      <w:r w:rsidRPr="00B55553">
        <w:rPr>
          <w:iCs/>
        </w:rPr>
        <w:tab/>
      </w:r>
      <w:r w:rsidR="00BE1187">
        <w:t>The facts bear out that there was proper compliance with section 345(1)(a)(i).</w:t>
      </w:r>
      <w:r w:rsidR="00E92309" w:rsidRPr="00B55553">
        <w:rPr>
          <w:color w:val="1F1F1F"/>
          <w:szCs w:val="24"/>
        </w:rPr>
        <w:t xml:space="preserve">  </w:t>
      </w:r>
    </w:p>
    <w:p w14:paraId="445B5712" w14:textId="214E9A1B" w:rsidR="00A54F0F" w:rsidRPr="00677A8F" w:rsidRDefault="00C705AE" w:rsidP="00677A8F">
      <w:pPr>
        <w:pStyle w:val="JudgmentNumbered"/>
        <w:keepNext/>
        <w:numPr>
          <w:ilvl w:val="0"/>
          <w:numId w:val="0"/>
        </w:numPr>
        <w:rPr>
          <w:b/>
        </w:rPr>
      </w:pPr>
      <w:r>
        <w:rPr>
          <w:b/>
        </w:rPr>
        <w:t>This application is an a</w:t>
      </w:r>
      <w:r w:rsidR="00A54F0F" w:rsidRPr="00677A8F">
        <w:rPr>
          <w:b/>
        </w:rPr>
        <w:t>buse of process</w:t>
      </w:r>
    </w:p>
    <w:p w14:paraId="354CE413" w14:textId="68C756E6" w:rsidR="00EA4AF3" w:rsidRDefault="000C19AC" w:rsidP="000C19AC">
      <w:pPr>
        <w:pStyle w:val="JudgmentNumbered"/>
        <w:numPr>
          <w:ilvl w:val="0"/>
          <w:numId w:val="0"/>
        </w:numPr>
        <w:ind w:left="567" w:hanging="567"/>
      </w:pPr>
      <w:r>
        <w:rPr>
          <w:iCs/>
        </w:rPr>
        <w:t>[60]</w:t>
      </w:r>
      <w:r>
        <w:rPr>
          <w:iCs/>
        </w:rPr>
        <w:tab/>
      </w:r>
      <w:r w:rsidR="00EA4AF3">
        <w:t>As I observe above, the court has an inherent discretion to prevent abuse of its process.</w:t>
      </w:r>
    </w:p>
    <w:p w14:paraId="37F986DD" w14:textId="489DCCD1" w:rsidR="00E739FA" w:rsidRDefault="000C19AC" w:rsidP="000C19AC">
      <w:pPr>
        <w:pStyle w:val="JudgmentNumbered"/>
        <w:numPr>
          <w:ilvl w:val="0"/>
          <w:numId w:val="0"/>
        </w:numPr>
        <w:ind w:left="567" w:hanging="567"/>
      </w:pPr>
      <w:r>
        <w:rPr>
          <w:iCs/>
        </w:rPr>
        <w:t>[61]</w:t>
      </w:r>
      <w:r>
        <w:rPr>
          <w:iCs/>
        </w:rPr>
        <w:tab/>
      </w:r>
      <w:r w:rsidR="00EA4AF3">
        <w:t>The first respondent</w:t>
      </w:r>
      <w:r w:rsidR="00C705AE">
        <w:t xml:space="preserve"> </w:t>
      </w:r>
      <w:r w:rsidR="00EA4AF3">
        <w:t xml:space="preserve">raises abuse of process as its first defence to the winding-up order sought. It </w:t>
      </w:r>
      <w:r w:rsidR="00C705AE">
        <w:t>contends that</w:t>
      </w:r>
      <w:r w:rsidR="003976AB">
        <w:t>,</w:t>
      </w:r>
      <w:r w:rsidR="00C705AE">
        <w:t xml:space="preserve"> </w:t>
      </w:r>
      <w:r w:rsidR="00EA4AF3">
        <w:t>in the loan agreement itself</w:t>
      </w:r>
      <w:r w:rsidR="003976AB">
        <w:t>,</w:t>
      </w:r>
      <w:r w:rsidR="00EA4AF3">
        <w:t xml:space="preserve"> there are </w:t>
      </w:r>
      <w:r w:rsidR="00C705AE">
        <w:t xml:space="preserve">several remedies open to the applicant </w:t>
      </w:r>
      <w:r w:rsidR="00E739FA">
        <w:t xml:space="preserve">where events of default occur, </w:t>
      </w:r>
      <w:r w:rsidR="00C705AE">
        <w:t>by which t</w:t>
      </w:r>
      <w:r w:rsidR="00E739FA">
        <w:t>he applicant</w:t>
      </w:r>
      <w:r w:rsidR="00C705AE">
        <w:t xml:space="preserve"> might enforce and protect its right</w:t>
      </w:r>
      <w:r w:rsidR="00FD1467">
        <w:t>s</w:t>
      </w:r>
      <w:r w:rsidR="00EA4AF3">
        <w:t xml:space="preserve">. </w:t>
      </w:r>
      <w:r w:rsidR="008A1C23">
        <w:t xml:space="preserve">It relies upon the doctrine of </w:t>
      </w:r>
      <w:r w:rsidR="008A1C23" w:rsidRPr="008A1C23">
        <w:rPr>
          <w:i/>
          <w:iCs/>
        </w:rPr>
        <w:t>pacta sunt servanda</w:t>
      </w:r>
      <w:r w:rsidR="008A1C23">
        <w:t xml:space="preserve"> and the sanctity of contract. </w:t>
      </w:r>
      <w:r w:rsidR="00EA4AF3">
        <w:t>Accordingly, it says,</w:t>
      </w:r>
      <w:r w:rsidR="00C705AE">
        <w:t xml:space="preserve"> this application is an abuse of process.</w:t>
      </w:r>
    </w:p>
    <w:p w14:paraId="298CE33D" w14:textId="6DFE1CA5" w:rsidR="00C705AE" w:rsidRDefault="000C19AC" w:rsidP="000C19AC">
      <w:pPr>
        <w:pStyle w:val="JudgmentNumbered"/>
        <w:numPr>
          <w:ilvl w:val="0"/>
          <w:numId w:val="0"/>
        </w:numPr>
        <w:ind w:left="567" w:hanging="567"/>
      </w:pPr>
      <w:r>
        <w:rPr>
          <w:iCs/>
        </w:rPr>
        <w:t>[62]</w:t>
      </w:r>
      <w:r>
        <w:rPr>
          <w:iCs/>
        </w:rPr>
        <w:tab/>
      </w:r>
      <w:r w:rsidR="00C705AE">
        <w:t>In the answering affidavit, the respondent goes s</w:t>
      </w:r>
      <w:r w:rsidR="00FD1467">
        <w:t>o</w:t>
      </w:r>
      <w:r w:rsidR="00C705AE">
        <w:t xml:space="preserve"> far as to say</w:t>
      </w:r>
      <w:r w:rsidR="00E739FA">
        <w:t>,</w:t>
      </w:r>
      <w:r w:rsidR="00C705AE">
        <w:t xml:space="preserve"> </w:t>
      </w:r>
      <w:r w:rsidR="00E739FA">
        <w:t xml:space="preserve">in the round and without reference to the wording of any specific remedy, </w:t>
      </w:r>
      <w:r w:rsidR="00C705AE">
        <w:t>that the applicant “</w:t>
      </w:r>
      <w:r w:rsidR="00C705AE" w:rsidRPr="00E739FA">
        <w:rPr>
          <w:i/>
          <w:iCs/>
        </w:rPr>
        <w:t>cannot deviate from the remedies provided by the agreement</w:t>
      </w:r>
      <w:r w:rsidR="00C705AE">
        <w:t>”. To this, it adds that liquidation should be “</w:t>
      </w:r>
      <w:r w:rsidR="00C705AE" w:rsidRPr="00E739FA">
        <w:rPr>
          <w:i/>
          <w:iCs/>
        </w:rPr>
        <w:t>a measure of last resort and cannot be used in order to enforce payment</w:t>
      </w:r>
      <w:r w:rsidR="00C705AE">
        <w:t>”.</w:t>
      </w:r>
    </w:p>
    <w:p w14:paraId="47FF7B47" w14:textId="07FC1D56" w:rsidR="00474CFE" w:rsidRDefault="000C19AC" w:rsidP="000C19AC">
      <w:pPr>
        <w:pStyle w:val="JudgmentNumbered"/>
        <w:numPr>
          <w:ilvl w:val="0"/>
          <w:numId w:val="0"/>
        </w:numPr>
        <w:ind w:left="567" w:hanging="567"/>
      </w:pPr>
      <w:r>
        <w:rPr>
          <w:iCs/>
        </w:rPr>
        <w:t>[63]</w:t>
      </w:r>
      <w:r>
        <w:rPr>
          <w:iCs/>
        </w:rPr>
        <w:tab/>
      </w:r>
      <w:r w:rsidR="0093150F">
        <w:t xml:space="preserve">The respondent </w:t>
      </w:r>
      <w:r w:rsidR="00474CFE">
        <w:t>says that the applicant has</w:t>
      </w:r>
      <w:r w:rsidR="0093150F">
        <w:t xml:space="preserve"> security in the shape of the mortgage over the property</w:t>
      </w:r>
      <w:r w:rsidR="00474CFE">
        <w:t xml:space="preserve"> as well as the two suretyships.</w:t>
      </w:r>
      <w:r w:rsidR="0093150F">
        <w:t xml:space="preserve"> It adds that, under clause 14.3 </w:t>
      </w:r>
      <w:r w:rsidR="00474CFE">
        <w:t xml:space="preserve">in appendix </w:t>
      </w:r>
      <w:r w:rsidR="003976AB">
        <w:t>1</w:t>
      </w:r>
      <w:r w:rsidR="0093150F">
        <w:t xml:space="preserve"> </w:t>
      </w:r>
      <w:r w:rsidR="00474CFE">
        <w:t xml:space="preserve">to </w:t>
      </w:r>
      <w:r w:rsidR="0093150F">
        <w:t>the loan agreement, in an event of default, the applicant might accelerate payment of all amounts owing</w:t>
      </w:r>
      <w:r w:rsidR="00474CFE">
        <w:t xml:space="preserve"> to it or call up any security. It adds that the applicant </w:t>
      </w:r>
      <w:r w:rsidR="003976AB">
        <w:t>c</w:t>
      </w:r>
      <w:r w:rsidR="00474CFE">
        <w:t xml:space="preserve">ould also charge interest and seize and sell </w:t>
      </w:r>
      <w:r w:rsidR="003976AB">
        <w:t xml:space="preserve">the </w:t>
      </w:r>
      <w:r w:rsidR="00474CFE">
        <w:t>moveables of the respondent.</w:t>
      </w:r>
    </w:p>
    <w:p w14:paraId="2ACDA4CB" w14:textId="51215D10" w:rsidR="00E739FA" w:rsidRDefault="000C19AC" w:rsidP="000C19AC">
      <w:pPr>
        <w:pStyle w:val="JudgmentNumbered"/>
        <w:numPr>
          <w:ilvl w:val="0"/>
          <w:numId w:val="0"/>
        </w:numPr>
        <w:ind w:left="567" w:hanging="567"/>
      </w:pPr>
      <w:r>
        <w:rPr>
          <w:iCs/>
        </w:rPr>
        <w:t>[64]</w:t>
      </w:r>
      <w:r>
        <w:rPr>
          <w:iCs/>
        </w:rPr>
        <w:tab/>
      </w:r>
      <w:r w:rsidR="00474CFE">
        <w:t>While there may be other remedies available to the applicant – and indeed the factual summary above indicates that it has called up what is owing to it, to no avail – there can be no suggestion that a creditor in the position of the applicant abuses the process of this court by resorting to an application for the relief it seeks here.</w:t>
      </w:r>
    </w:p>
    <w:p w14:paraId="12BE1B72" w14:textId="291621F4" w:rsidR="00C70809" w:rsidRDefault="000C19AC" w:rsidP="000C19AC">
      <w:pPr>
        <w:pStyle w:val="JudgmentNumbered"/>
        <w:numPr>
          <w:ilvl w:val="0"/>
          <w:numId w:val="0"/>
        </w:numPr>
        <w:ind w:left="567" w:hanging="567"/>
      </w:pPr>
      <w:r>
        <w:rPr>
          <w:iCs/>
        </w:rPr>
        <w:lastRenderedPageBreak/>
        <w:t>[65]</w:t>
      </w:r>
      <w:r>
        <w:rPr>
          <w:iCs/>
        </w:rPr>
        <w:tab/>
      </w:r>
      <w:r w:rsidR="00474CFE">
        <w:t>These facts are at a considerable remove from the case where an applicant for winding-up has other remedies available to it and unreasonably refrains from pursuing them. Indeed, together with this application, I am seized of an application for payment orders under the two suretyships. What is more, as I say above, the factual history of this matter shows th</w:t>
      </w:r>
      <w:r w:rsidR="003976AB">
        <w:t>at the</w:t>
      </w:r>
      <w:r w:rsidR="00474CFE">
        <w:t xml:space="preserve"> applicant </w:t>
      </w:r>
      <w:r w:rsidR="003976AB">
        <w:t xml:space="preserve">is not </w:t>
      </w:r>
      <w:r w:rsidR="00474CFE">
        <w:t>a creditor that has rushed precipitously to court for this relief.</w:t>
      </w:r>
    </w:p>
    <w:p w14:paraId="19C43C85" w14:textId="1BB5D0C0" w:rsidR="003976AB" w:rsidRDefault="000C19AC" w:rsidP="000C19AC">
      <w:pPr>
        <w:pStyle w:val="JudgmentNumbered"/>
        <w:numPr>
          <w:ilvl w:val="0"/>
          <w:numId w:val="0"/>
        </w:numPr>
        <w:ind w:left="567" w:hanging="567"/>
      </w:pPr>
      <w:r>
        <w:rPr>
          <w:iCs/>
        </w:rPr>
        <w:t>[66]</w:t>
      </w:r>
      <w:r>
        <w:rPr>
          <w:iCs/>
        </w:rPr>
        <w:tab/>
      </w:r>
      <w:r w:rsidR="003976AB">
        <w:t xml:space="preserve">There is no basis to </w:t>
      </w:r>
      <w:r w:rsidR="002D759F">
        <w:t xml:space="preserve">call </w:t>
      </w:r>
      <w:r w:rsidR="003976AB">
        <w:t>this application an abuse.</w:t>
      </w:r>
    </w:p>
    <w:p w14:paraId="49B6CA4E" w14:textId="77777777" w:rsidR="00333B83" w:rsidRPr="001F355F" w:rsidRDefault="00333B83" w:rsidP="00333B83">
      <w:pPr>
        <w:pStyle w:val="JudgmentNumbered"/>
        <w:keepNext/>
        <w:numPr>
          <w:ilvl w:val="0"/>
          <w:numId w:val="0"/>
        </w:numPr>
        <w:rPr>
          <w:b/>
          <w:bCs/>
        </w:rPr>
      </w:pPr>
      <w:r>
        <w:rPr>
          <w:b/>
          <w:bCs/>
        </w:rPr>
        <w:t>The applicant ought to have exhausted the d</w:t>
      </w:r>
      <w:r w:rsidRPr="001F355F">
        <w:rPr>
          <w:b/>
          <w:bCs/>
        </w:rPr>
        <w:t xml:space="preserve">omestic </w:t>
      </w:r>
      <w:r w:rsidRPr="001F355F">
        <w:rPr>
          <w:b/>
          <w:bCs/>
          <w:lang w:eastAsia="en-GB"/>
        </w:rPr>
        <w:t>remed</w:t>
      </w:r>
      <w:r>
        <w:rPr>
          <w:b/>
          <w:bCs/>
          <w:lang w:eastAsia="en-GB"/>
        </w:rPr>
        <w:t>y in clause 14.2.7.1</w:t>
      </w:r>
    </w:p>
    <w:p w14:paraId="047BFA1E" w14:textId="05AEBDD9" w:rsidR="00333B83" w:rsidRDefault="000C19AC" w:rsidP="000C19AC">
      <w:pPr>
        <w:pStyle w:val="JudgmentNumbered"/>
        <w:numPr>
          <w:ilvl w:val="0"/>
          <w:numId w:val="0"/>
        </w:numPr>
        <w:ind w:left="567" w:hanging="567"/>
      </w:pPr>
      <w:r>
        <w:rPr>
          <w:iCs/>
        </w:rPr>
        <w:t>[67]</w:t>
      </w:r>
      <w:r>
        <w:rPr>
          <w:iCs/>
        </w:rPr>
        <w:tab/>
      </w:r>
      <w:r w:rsidR="00097162">
        <w:t xml:space="preserve">The respondent’s next defence is that this application is premature since the parties did not exhaust the domestic remedy in clause 14.2.7.1 </w:t>
      </w:r>
      <w:r w:rsidR="00C67AF1">
        <w:t>in appendix 1</w:t>
      </w:r>
      <w:r w:rsidR="00097162">
        <w:t xml:space="preserve"> </w:t>
      </w:r>
      <w:r w:rsidR="00C67AF1">
        <w:t xml:space="preserve">to </w:t>
      </w:r>
      <w:r w:rsidR="00097162">
        <w:t>to the loan agreement. T</w:t>
      </w:r>
      <w:r w:rsidR="00333B83" w:rsidRPr="001F355F">
        <w:t>h</w:t>
      </w:r>
      <w:r w:rsidR="007A6C5D">
        <w:t>is</w:t>
      </w:r>
      <w:r w:rsidR="00333B83" w:rsidRPr="001F355F">
        <w:t xml:space="preserve"> </w:t>
      </w:r>
      <w:r w:rsidR="00333B83">
        <w:t>defence has a dilatory character.</w:t>
      </w:r>
    </w:p>
    <w:p w14:paraId="2336F3F8" w14:textId="244BA968" w:rsidR="00333B83" w:rsidRDefault="000C19AC" w:rsidP="000C19AC">
      <w:pPr>
        <w:pStyle w:val="JudgmentNumbered"/>
        <w:keepNext/>
        <w:numPr>
          <w:ilvl w:val="0"/>
          <w:numId w:val="0"/>
        </w:numPr>
        <w:ind w:left="567" w:hanging="567"/>
      </w:pPr>
      <w:r>
        <w:rPr>
          <w:iCs/>
        </w:rPr>
        <w:t>[68]</w:t>
      </w:r>
      <w:r>
        <w:rPr>
          <w:iCs/>
        </w:rPr>
        <w:tab/>
      </w:r>
      <w:r w:rsidR="00333B83">
        <w:t>To illustrate the context of clause 14.2.7.1, I quote the first part of clause 14, up to and including clause 14.7.2.2:</w:t>
      </w:r>
    </w:p>
    <w:p w14:paraId="0E3A24DF" w14:textId="77777777" w:rsidR="00333B83" w:rsidRDefault="00333B83" w:rsidP="00297A6B">
      <w:pPr>
        <w:keepNext/>
        <w:tabs>
          <w:tab w:val="left" w:pos="1985"/>
          <w:tab w:val="left" w:pos="2694"/>
        </w:tabs>
        <w:spacing w:after="0" w:line="240" w:lineRule="auto"/>
        <w:ind w:left="2694" w:right="851" w:hanging="1276"/>
        <w:rPr>
          <w:i/>
          <w:lang w:val="en-ZA"/>
        </w:rPr>
      </w:pPr>
      <w:r>
        <w:rPr>
          <w:lang w:val="en-ZA"/>
        </w:rPr>
        <w:t>“</w:t>
      </w:r>
      <w:r>
        <w:rPr>
          <w:i/>
          <w:lang w:val="en-ZA"/>
        </w:rPr>
        <w:t>14.</w:t>
      </w:r>
      <w:r>
        <w:rPr>
          <w:i/>
          <w:lang w:val="en-ZA"/>
        </w:rPr>
        <w:tab/>
      </w:r>
      <w:r>
        <w:rPr>
          <w:b/>
          <w:i/>
          <w:u w:val="single"/>
          <w:lang w:val="en-ZA"/>
        </w:rPr>
        <w:t>EVENTS OF DEFAULT</w:t>
      </w:r>
    </w:p>
    <w:p w14:paraId="67A54631" w14:textId="77777777" w:rsidR="00333B83" w:rsidRDefault="00333B83" w:rsidP="00333B83">
      <w:pPr>
        <w:tabs>
          <w:tab w:val="left" w:pos="2268"/>
        </w:tabs>
        <w:spacing w:after="0" w:line="240" w:lineRule="auto"/>
        <w:ind w:left="2268" w:right="851" w:hanging="850"/>
        <w:rPr>
          <w:i/>
          <w:lang w:val="en-ZA"/>
        </w:rPr>
      </w:pPr>
      <w:r>
        <w:rPr>
          <w:i/>
          <w:lang w:val="en-ZA"/>
        </w:rPr>
        <w:t>14.1</w:t>
      </w:r>
      <w:r>
        <w:rPr>
          <w:i/>
          <w:lang w:val="en-ZA"/>
        </w:rPr>
        <w:tab/>
        <w:t>An Event of Default shall occur if any of the following events, each of which shall be severable and distinct from the others, occurs (whether or not caused by any reason whatsoever outside the control of the Borrower or any other person).</w:t>
      </w:r>
    </w:p>
    <w:p w14:paraId="4A82B512" w14:textId="77777777" w:rsidR="00333B83" w:rsidRDefault="00333B83" w:rsidP="00333B83">
      <w:pPr>
        <w:tabs>
          <w:tab w:val="left" w:pos="2268"/>
        </w:tabs>
        <w:spacing w:after="0" w:line="240" w:lineRule="auto"/>
        <w:ind w:left="2268" w:right="851" w:hanging="850"/>
        <w:rPr>
          <w:i/>
          <w:lang w:val="en-ZA"/>
        </w:rPr>
      </w:pPr>
      <w:r>
        <w:rPr>
          <w:i/>
          <w:lang w:val="en-ZA"/>
        </w:rPr>
        <w:t>14.2</w:t>
      </w:r>
      <w:r>
        <w:rPr>
          <w:i/>
          <w:lang w:val="en-ZA"/>
        </w:rPr>
        <w:tab/>
        <w:t>The Events of Default occur if the Borrower and/or Security Providers, as the case may be:</w:t>
      </w:r>
    </w:p>
    <w:p w14:paraId="13694344" w14:textId="77777777" w:rsidR="00333B83" w:rsidRPr="005224F1" w:rsidRDefault="00333B83" w:rsidP="00333B83">
      <w:pPr>
        <w:tabs>
          <w:tab w:val="left" w:pos="3119"/>
        </w:tabs>
        <w:spacing w:after="0" w:line="240" w:lineRule="auto"/>
        <w:ind w:left="3119" w:right="851" w:hanging="851"/>
        <w:rPr>
          <w:i/>
          <w:lang w:val="en-ZA"/>
        </w:rPr>
      </w:pPr>
      <w:r>
        <w:rPr>
          <w:i/>
          <w:lang w:val="en-ZA"/>
        </w:rPr>
        <w:t>14.2.1</w:t>
      </w:r>
      <w:r>
        <w:rPr>
          <w:i/>
          <w:lang w:val="en-ZA"/>
        </w:rPr>
        <w:tab/>
        <w:t>fails, for any reason whatsoever, to draw down the Loan within 6 months of the date of the conditions as set out in the Agreement being fulfilled or waived; or</w:t>
      </w:r>
    </w:p>
    <w:p w14:paraId="4846455E" w14:textId="77777777" w:rsidR="00333B83" w:rsidRDefault="00333B83" w:rsidP="00333B83">
      <w:pPr>
        <w:tabs>
          <w:tab w:val="left" w:pos="3119"/>
        </w:tabs>
        <w:spacing w:after="0" w:line="240" w:lineRule="auto"/>
        <w:ind w:left="3119" w:right="851" w:hanging="851"/>
        <w:rPr>
          <w:i/>
          <w:lang w:val="en-ZA"/>
        </w:rPr>
      </w:pPr>
      <w:r>
        <w:rPr>
          <w:i/>
          <w:lang w:val="en-ZA"/>
        </w:rPr>
        <w:t>14.2.2</w:t>
      </w:r>
      <w:r>
        <w:rPr>
          <w:i/>
          <w:lang w:val="en-ZA"/>
        </w:rPr>
        <w:tab/>
        <w:t>fails to pay any amount due in terms of the Agreement; or</w:t>
      </w:r>
    </w:p>
    <w:p w14:paraId="4AE013CB" w14:textId="77777777" w:rsidR="00333B83" w:rsidRDefault="00333B83" w:rsidP="00333B83">
      <w:pPr>
        <w:tabs>
          <w:tab w:val="left" w:pos="3119"/>
        </w:tabs>
        <w:spacing w:after="0" w:line="240" w:lineRule="auto"/>
        <w:ind w:left="3119" w:right="851" w:hanging="851"/>
        <w:rPr>
          <w:i/>
          <w:lang w:val="en-ZA"/>
        </w:rPr>
      </w:pPr>
      <w:r>
        <w:rPr>
          <w:i/>
          <w:lang w:val="en-ZA"/>
        </w:rPr>
        <w:t>14.2.3</w:t>
      </w:r>
      <w:r>
        <w:rPr>
          <w:i/>
          <w:lang w:val="en-ZA"/>
        </w:rPr>
        <w:tab/>
        <w:t>fails to repay the VAT Loan Outstandings, within the time period as contemplated in the Agreement, if applicable; or</w:t>
      </w:r>
    </w:p>
    <w:p w14:paraId="11643B20" w14:textId="77777777" w:rsidR="00333B83" w:rsidRDefault="00333B83" w:rsidP="00333B83">
      <w:pPr>
        <w:tabs>
          <w:tab w:val="left" w:pos="3119"/>
        </w:tabs>
        <w:spacing w:after="0" w:line="240" w:lineRule="auto"/>
        <w:ind w:left="3119" w:right="851" w:hanging="851"/>
        <w:rPr>
          <w:i/>
          <w:lang w:val="en-ZA"/>
        </w:rPr>
      </w:pPr>
      <w:r>
        <w:rPr>
          <w:i/>
          <w:lang w:val="en-ZA"/>
        </w:rPr>
        <w:t>14.2.4</w:t>
      </w:r>
      <w:r>
        <w:rPr>
          <w:i/>
          <w:lang w:val="en-ZA"/>
        </w:rPr>
        <w:tab/>
        <w:t>fails to provide all information and/or documents and/or to sign all such documents as may be required by FNB for the purposes of providing additional security and/or to pay the costs of providing such security on request; or</w:t>
      </w:r>
    </w:p>
    <w:p w14:paraId="4D3CEF13" w14:textId="77777777" w:rsidR="00333B83" w:rsidRDefault="00333B83" w:rsidP="00333B83">
      <w:pPr>
        <w:tabs>
          <w:tab w:val="left" w:pos="3119"/>
        </w:tabs>
        <w:spacing w:after="0" w:line="240" w:lineRule="auto"/>
        <w:ind w:left="3119" w:right="851" w:hanging="851"/>
        <w:rPr>
          <w:i/>
          <w:lang w:val="en-ZA"/>
        </w:rPr>
      </w:pPr>
      <w:r>
        <w:rPr>
          <w:i/>
          <w:lang w:val="en-ZA"/>
        </w:rPr>
        <w:t>14.2.5</w:t>
      </w:r>
      <w:r>
        <w:rPr>
          <w:i/>
          <w:lang w:val="en-ZA"/>
        </w:rPr>
        <w:tab/>
        <w:t>fails to comply with its obligations in regards to the lease agreements concluded in respect of the Property (or any part thereof), as envisaged in the Disbursement Conditions, if applicable; or</w:t>
      </w:r>
    </w:p>
    <w:p w14:paraId="35AC8B70" w14:textId="77777777" w:rsidR="00333B83" w:rsidRDefault="00333B83" w:rsidP="00333B83">
      <w:pPr>
        <w:tabs>
          <w:tab w:val="left" w:pos="3119"/>
        </w:tabs>
        <w:spacing w:after="0" w:line="240" w:lineRule="auto"/>
        <w:ind w:left="3119" w:right="851" w:hanging="851"/>
        <w:rPr>
          <w:i/>
          <w:lang w:val="en-ZA"/>
        </w:rPr>
      </w:pPr>
      <w:r>
        <w:rPr>
          <w:i/>
          <w:lang w:val="en-ZA"/>
        </w:rPr>
        <w:lastRenderedPageBreak/>
        <w:t>14.2.6</w:t>
      </w:r>
      <w:r>
        <w:rPr>
          <w:i/>
          <w:lang w:val="en-ZA"/>
        </w:rPr>
        <w:tab/>
        <w:t>fails to pay punctually municipal service fees and consumption charges, property rates and other municipal taxes, levies and duties and interest or surcharges on these amounts in respect of the Property and not remedying such breach within 7 days of notice having been given to it to do so; or</w:t>
      </w:r>
    </w:p>
    <w:p w14:paraId="376E11DE" w14:textId="77777777" w:rsidR="00333B83" w:rsidRDefault="00333B83" w:rsidP="00333B83">
      <w:pPr>
        <w:tabs>
          <w:tab w:val="left" w:pos="3119"/>
        </w:tabs>
        <w:spacing w:after="0" w:line="240" w:lineRule="auto"/>
        <w:ind w:left="3119" w:right="851" w:hanging="851"/>
        <w:rPr>
          <w:i/>
          <w:lang w:val="en-ZA"/>
        </w:rPr>
      </w:pPr>
      <w:r>
        <w:rPr>
          <w:i/>
          <w:lang w:val="en-ZA"/>
        </w:rPr>
        <w:t>14.2.7</w:t>
      </w:r>
      <w:r>
        <w:rPr>
          <w:i/>
          <w:lang w:val="en-ZA"/>
        </w:rPr>
        <w:tab/>
      </w:r>
      <w:r w:rsidRPr="004A090F">
        <w:rPr>
          <w:i/>
          <w:u w:val="single"/>
          <w:lang w:val="en-ZA"/>
        </w:rPr>
        <w:t>fails to comply with or maintain any of the Financial Covenants contemplated in the Loan Schedule, provided that</w:t>
      </w:r>
      <w:r>
        <w:rPr>
          <w:i/>
          <w:lang w:val="en-ZA"/>
        </w:rPr>
        <w:t xml:space="preserve"> –</w:t>
      </w:r>
    </w:p>
    <w:p w14:paraId="14B044BF" w14:textId="77777777" w:rsidR="00333B83" w:rsidRDefault="00333B83" w:rsidP="00333B83">
      <w:pPr>
        <w:tabs>
          <w:tab w:val="left" w:pos="4111"/>
        </w:tabs>
        <w:spacing w:after="0" w:line="240" w:lineRule="auto"/>
        <w:ind w:left="4111" w:right="851" w:hanging="992"/>
        <w:rPr>
          <w:i/>
          <w:lang w:val="en-ZA"/>
        </w:rPr>
      </w:pPr>
      <w:r>
        <w:rPr>
          <w:i/>
          <w:lang w:val="en-ZA"/>
        </w:rPr>
        <w:t>14.2.7.1</w:t>
      </w:r>
      <w:r>
        <w:rPr>
          <w:i/>
          <w:lang w:val="en-ZA"/>
        </w:rPr>
        <w:tab/>
        <w:t xml:space="preserve">subject to clause 14.2.7.2 (Remedial Plan) below, </w:t>
      </w:r>
      <w:r w:rsidRPr="004A090F">
        <w:rPr>
          <w:i/>
          <w:u w:val="single"/>
          <w:lang w:val="en-ZA"/>
        </w:rPr>
        <w:t>the Borrower shall have 30 days from the date of any written notice given by FNB to the Borrower notifying the Borrower of such breach, to either remedy the breach in respect of that Financial Covenant or to provide FNB with a written remedial plan detailing how it will remedy the financial covenant</w:t>
      </w:r>
      <w:r>
        <w:rPr>
          <w:i/>
          <w:lang w:val="en-ZA"/>
        </w:rPr>
        <w:t xml:space="preserve"> the terms and conditions of which (including but not limited to timing) shall be to the sole satisfaction of FNB (the ‘</w:t>
      </w:r>
      <w:r>
        <w:rPr>
          <w:b/>
          <w:i/>
          <w:lang w:val="en-ZA"/>
        </w:rPr>
        <w:t>Remedial Plan</w:t>
      </w:r>
      <w:r>
        <w:rPr>
          <w:i/>
          <w:lang w:val="en-ZA"/>
        </w:rPr>
        <w:t>’) if –</w:t>
      </w:r>
    </w:p>
    <w:p w14:paraId="494A17B9" w14:textId="77777777" w:rsidR="00333B83" w:rsidRDefault="00333B83" w:rsidP="00333B83">
      <w:pPr>
        <w:tabs>
          <w:tab w:val="left" w:pos="5387"/>
        </w:tabs>
        <w:spacing w:after="0" w:line="240" w:lineRule="auto"/>
        <w:ind w:left="5387" w:right="851" w:hanging="1276"/>
        <w:rPr>
          <w:i/>
          <w:lang w:val="en-ZA"/>
        </w:rPr>
      </w:pPr>
      <w:r>
        <w:rPr>
          <w:i/>
          <w:lang w:val="en-ZA"/>
        </w:rPr>
        <w:t>14.2.7.1.1</w:t>
      </w:r>
      <w:r>
        <w:rPr>
          <w:i/>
          <w:lang w:val="en-ZA"/>
        </w:rPr>
        <w:tab/>
        <w:t>the Borrower fails to remedy the breach within the 30 day period; or</w:t>
      </w:r>
    </w:p>
    <w:p w14:paraId="3A7CE0DC" w14:textId="77777777" w:rsidR="00333B83" w:rsidRDefault="00333B83" w:rsidP="00333B83">
      <w:pPr>
        <w:tabs>
          <w:tab w:val="left" w:pos="5387"/>
        </w:tabs>
        <w:spacing w:after="0" w:line="240" w:lineRule="auto"/>
        <w:ind w:left="5387" w:right="851" w:hanging="1276"/>
        <w:rPr>
          <w:i/>
          <w:lang w:val="en-ZA"/>
        </w:rPr>
      </w:pPr>
      <w:r>
        <w:rPr>
          <w:i/>
          <w:lang w:val="en-ZA"/>
        </w:rPr>
        <w:t>14.2.7.1.2</w:t>
      </w:r>
      <w:r>
        <w:rPr>
          <w:i/>
          <w:lang w:val="en-ZA"/>
        </w:rPr>
        <w:tab/>
        <w:t>the Borrower fails to provide a Remedial Plan to the satisfaction of FNB within the 30 day period; or</w:t>
      </w:r>
    </w:p>
    <w:p w14:paraId="63CB2ACA" w14:textId="77777777" w:rsidR="00333B83" w:rsidRDefault="00333B83" w:rsidP="00333B83">
      <w:pPr>
        <w:tabs>
          <w:tab w:val="left" w:pos="5387"/>
        </w:tabs>
        <w:spacing w:after="0" w:line="240" w:lineRule="auto"/>
        <w:ind w:left="5387" w:right="851" w:hanging="1276"/>
        <w:rPr>
          <w:i/>
          <w:lang w:val="en-ZA"/>
        </w:rPr>
      </w:pPr>
      <w:r>
        <w:rPr>
          <w:i/>
          <w:lang w:val="en-ZA"/>
        </w:rPr>
        <w:t>14.2.7.1.3</w:t>
      </w:r>
      <w:r>
        <w:rPr>
          <w:i/>
          <w:lang w:val="en-ZA"/>
        </w:rPr>
        <w:tab/>
        <w:t>FNB approves the Remedial Plan but the Borrower fails to comply with any of the provisions of the approved Remedial Plan,</w:t>
      </w:r>
    </w:p>
    <w:p w14:paraId="0435838B" w14:textId="77777777" w:rsidR="00333B83" w:rsidRDefault="00333B83" w:rsidP="00333B83">
      <w:pPr>
        <w:tabs>
          <w:tab w:val="left" w:pos="4111"/>
        </w:tabs>
        <w:spacing w:after="0" w:line="240" w:lineRule="auto"/>
        <w:ind w:left="4111" w:right="851" w:hanging="992"/>
        <w:rPr>
          <w:lang w:val="en-ZA"/>
        </w:rPr>
      </w:pPr>
      <w:r>
        <w:rPr>
          <w:i/>
          <w:lang w:val="en-ZA"/>
        </w:rPr>
        <w:tab/>
        <w:t>FNB shall be entitled to exercise its remedies as contemplated in clause 14.3 (Remedies) below immediately without further notice to the Borrower;</w:t>
      </w:r>
    </w:p>
    <w:p w14:paraId="14041E27" w14:textId="77777777" w:rsidR="00333B83" w:rsidRPr="004A090F" w:rsidRDefault="00333B83" w:rsidP="00333B83">
      <w:pPr>
        <w:tabs>
          <w:tab w:val="left" w:pos="4111"/>
        </w:tabs>
        <w:spacing w:after="0" w:line="240" w:lineRule="auto"/>
        <w:ind w:left="4111" w:right="851" w:hanging="992"/>
        <w:rPr>
          <w:i/>
          <w:lang w:val="en-ZA"/>
        </w:rPr>
      </w:pPr>
      <w:r w:rsidRPr="00B44BA2">
        <w:rPr>
          <w:i/>
          <w:lang w:val="en-ZA"/>
        </w:rPr>
        <w:t>14.2.7.2</w:t>
      </w:r>
      <w:r w:rsidRPr="00B44BA2">
        <w:rPr>
          <w:i/>
          <w:lang w:val="en-ZA"/>
        </w:rPr>
        <w:tab/>
      </w:r>
      <w:r>
        <w:rPr>
          <w:i/>
          <w:lang w:val="en-ZA"/>
        </w:rPr>
        <w:t xml:space="preserve">if the Borrower breaches any Financial Covenant on more than 3 occasions during the Term, the provisions of clause 14.2.7 (Remedial Plan) above shall cease to apply and FNB shall be entitled to exercise its remedies contemplated in clause 14.3 </w:t>
      </w:r>
      <w:r>
        <w:rPr>
          <w:i/>
          <w:lang w:val="en-ZA"/>
        </w:rPr>
        <w:lastRenderedPageBreak/>
        <w:t xml:space="preserve">(Remedies) below immediately without notice to the Borrower </w:t>
      </w:r>
      <w:r>
        <w:rPr>
          <w:lang w:val="en-ZA"/>
        </w:rPr>
        <w:t>…”</w:t>
      </w:r>
    </w:p>
    <w:p w14:paraId="7D05698C" w14:textId="77777777" w:rsidR="00333B83" w:rsidRDefault="00333B83" w:rsidP="00333B83">
      <w:pPr>
        <w:pStyle w:val="JudgmentNumbered"/>
        <w:numPr>
          <w:ilvl w:val="0"/>
          <w:numId w:val="0"/>
        </w:numPr>
        <w:spacing w:after="0" w:line="240" w:lineRule="auto"/>
        <w:ind w:left="567" w:right="851" w:hanging="567"/>
        <w:jc w:val="right"/>
      </w:pPr>
      <w:r>
        <w:t>[emphasis added]</w:t>
      </w:r>
    </w:p>
    <w:p w14:paraId="53AF2694" w14:textId="77777777" w:rsidR="00333B83" w:rsidRDefault="00333B83" w:rsidP="00333B83">
      <w:pPr>
        <w:pStyle w:val="JudgmentNumbered"/>
        <w:numPr>
          <w:ilvl w:val="0"/>
          <w:numId w:val="0"/>
        </w:numPr>
        <w:spacing w:after="0" w:line="240" w:lineRule="auto"/>
        <w:ind w:left="567" w:right="851" w:hanging="567"/>
      </w:pPr>
    </w:p>
    <w:p w14:paraId="0167EC63" w14:textId="74776ADD" w:rsidR="00333B83" w:rsidRDefault="000C19AC" w:rsidP="000C19AC">
      <w:pPr>
        <w:pStyle w:val="JudgmentNumbered"/>
        <w:numPr>
          <w:ilvl w:val="0"/>
          <w:numId w:val="0"/>
        </w:numPr>
        <w:ind w:left="567" w:hanging="567"/>
      </w:pPr>
      <w:r>
        <w:rPr>
          <w:iCs/>
        </w:rPr>
        <w:t>[69]</w:t>
      </w:r>
      <w:r>
        <w:rPr>
          <w:iCs/>
        </w:rPr>
        <w:tab/>
      </w:r>
      <w:r w:rsidR="00333B83">
        <w:t xml:space="preserve">The notion </w:t>
      </w:r>
      <w:r w:rsidR="003976AB">
        <w:t xml:space="preserve">of </w:t>
      </w:r>
      <w:r w:rsidR="00333B83">
        <w:t xml:space="preserve">financial covenants, which is central to clause 14.2.7.1, is defined </w:t>
      </w:r>
      <w:r w:rsidR="002D759F">
        <w:t xml:space="preserve">in appendix 1 </w:t>
      </w:r>
      <w:r w:rsidR="00333B83">
        <w:t>as “</w:t>
      </w:r>
      <w:r w:rsidR="00333B83" w:rsidRPr="00764815">
        <w:rPr>
          <w:i/>
          <w:iCs/>
        </w:rPr>
        <w:t xml:space="preserve">the conditions envisaged in the </w:t>
      </w:r>
      <w:r w:rsidR="00333B83" w:rsidRPr="00764815">
        <w:t>Financial Covenants</w:t>
      </w:r>
      <w:r w:rsidR="00333B83" w:rsidRPr="00764815">
        <w:rPr>
          <w:i/>
          <w:iCs/>
        </w:rPr>
        <w:t xml:space="preserve"> clause of the Loan Schedule</w:t>
      </w:r>
      <w:r w:rsidR="00333B83">
        <w:t>”. Clause 10, albeit headed only “</w:t>
      </w:r>
      <w:r w:rsidR="00333B83" w:rsidRPr="00764815">
        <w:rPr>
          <w:i/>
          <w:iCs/>
        </w:rPr>
        <w:t>C</w:t>
      </w:r>
      <w:r w:rsidR="00333B83">
        <w:rPr>
          <w:i/>
          <w:iCs/>
        </w:rPr>
        <w:t>OVENANTS</w:t>
      </w:r>
      <w:r w:rsidR="00333B83">
        <w:t>”, contains five conditions that are obviously financial covenants as that term is commonly used.</w:t>
      </w:r>
    </w:p>
    <w:p w14:paraId="0AE445AB" w14:textId="1FB16B8B" w:rsidR="00333B83" w:rsidRDefault="000C19AC" w:rsidP="000C19AC">
      <w:pPr>
        <w:pStyle w:val="JudgmentNumbered"/>
        <w:keepNext/>
        <w:numPr>
          <w:ilvl w:val="0"/>
          <w:numId w:val="0"/>
        </w:numPr>
        <w:ind w:left="567" w:hanging="567"/>
      </w:pPr>
      <w:r>
        <w:rPr>
          <w:iCs/>
        </w:rPr>
        <w:t>[70]</w:t>
      </w:r>
      <w:r>
        <w:rPr>
          <w:iCs/>
        </w:rPr>
        <w:tab/>
      </w:r>
      <w:r w:rsidR="00333B83">
        <w:t>It reads:</w:t>
      </w:r>
    </w:p>
    <w:p w14:paraId="72517155" w14:textId="77777777" w:rsidR="00333B83" w:rsidRPr="000F50A4" w:rsidRDefault="00333B83" w:rsidP="00297A6B">
      <w:pPr>
        <w:keepNext/>
        <w:tabs>
          <w:tab w:val="left" w:pos="1985"/>
        </w:tabs>
        <w:spacing w:after="0" w:line="240" w:lineRule="auto"/>
        <w:ind w:left="1418" w:right="851"/>
        <w:rPr>
          <w:i/>
          <w:lang w:val="en-ZA"/>
        </w:rPr>
      </w:pPr>
      <w:r>
        <w:rPr>
          <w:lang w:val="en-ZA"/>
        </w:rPr>
        <w:t>“</w:t>
      </w:r>
      <w:r w:rsidRPr="000F50A4">
        <w:rPr>
          <w:i/>
          <w:lang w:val="en-ZA"/>
        </w:rPr>
        <w:t>10.</w:t>
      </w:r>
      <w:r>
        <w:rPr>
          <w:i/>
          <w:lang w:val="en-ZA"/>
        </w:rPr>
        <w:tab/>
      </w:r>
      <w:r w:rsidRPr="000F50A4">
        <w:rPr>
          <w:b/>
          <w:i/>
          <w:u w:val="single"/>
          <w:lang w:val="en-ZA"/>
        </w:rPr>
        <w:t>COVENANTS</w:t>
      </w:r>
    </w:p>
    <w:p w14:paraId="3975C8C5" w14:textId="77777777" w:rsidR="00333B83" w:rsidRDefault="00333B83" w:rsidP="00333B83">
      <w:pPr>
        <w:tabs>
          <w:tab w:val="left" w:pos="2694"/>
        </w:tabs>
        <w:spacing w:after="0" w:line="240" w:lineRule="auto"/>
        <w:ind w:left="2694" w:right="851" w:hanging="709"/>
        <w:rPr>
          <w:i/>
          <w:lang w:val="en-ZA"/>
        </w:rPr>
      </w:pPr>
      <w:r w:rsidRPr="000F50A4">
        <w:rPr>
          <w:i/>
          <w:lang w:val="en-ZA"/>
        </w:rPr>
        <w:t>10.1</w:t>
      </w:r>
      <w:r w:rsidRPr="000F50A4">
        <w:rPr>
          <w:i/>
          <w:lang w:val="en-ZA"/>
        </w:rPr>
        <w:tab/>
        <w:t>The Loan as a ratio to the value of the mortgaged Property may not exceed the LTV</w:t>
      </w:r>
      <w:r>
        <w:rPr>
          <w:i/>
          <w:lang w:val="en-ZA"/>
        </w:rPr>
        <w:t xml:space="preserve"> for the Term of the Loan, and FNB may reduce the Loan accordingly.</w:t>
      </w:r>
    </w:p>
    <w:p w14:paraId="76A40B99" w14:textId="77777777" w:rsidR="00333B83" w:rsidRDefault="00333B83" w:rsidP="00333B83">
      <w:pPr>
        <w:tabs>
          <w:tab w:val="left" w:pos="2694"/>
        </w:tabs>
        <w:spacing w:after="0" w:line="240" w:lineRule="auto"/>
        <w:ind w:left="2694" w:right="851" w:hanging="709"/>
        <w:rPr>
          <w:i/>
          <w:lang w:val="en-ZA"/>
        </w:rPr>
      </w:pPr>
      <w:r>
        <w:rPr>
          <w:i/>
          <w:lang w:val="en-ZA"/>
        </w:rPr>
        <w:t>10.2</w:t>
      </w:r>
      <w:r>
        <w:rPr>
          <w:i/>
          <w:lang w:val="en-ZA"/>
        </w:rPr>
        <w:tab/>
        <w:t>The mortgaged Property must at FNB’s request and at the Borrower’s cost be re-valued (1) by way of informal desktop valuation upon every anniversary of the Disbursement Date, and (2) formally by FNB’s valuations department every 3</w:t>
      </w:r>
      <w:r w:rsidRPr="000F50A4">
        <w:rPr>
          <w:i/>
          <w:vertAlign w:val="superscript"/>
          <w:lang w:val="en-ZA"/>
        </w:rPr>
        <w:t>rd</w:t>
      </w:r>
      <w:r>
        <w:rPr>
          <w:i/>
          <w:lang w:val="en-ZA"/>
        </w:rPr>
        <w:t xml:space="preserve"> year after the Disbursement Date to determine the LTV.</w:t>
      </w:r>
    </w:p>
    <w:p w14:paraId="0E5DEB37" w14:textId="77777777" w:rsidR="00333B83" w:rsidRDefault="00333B83" w:rsidP="00333B83">
      <w:pPr>
        <w:tabs>
          <w:tab w:val="left" w:pos="2694"/>
        </w:tabs>
        <w:spacing w:after="0" w:line="240" w:lineRule="auto"/>
        <w:ind w:left="2694" w:right="851" w:hanging="709"/>
        <w:rPr>
          <w:i/>
          <w:lang w:val="en-ZA"/>
        </w:rPr>
      </w:pPr>
      <w:r>
        <w:rPr>
          <w:i/>
          <w:lang w:val="en-ZA"/>
        </w:rPr>
        <w:t>10.3</w:t>
      </w:r>
      <w:r>
        <w:rPr>
          <w:i/>
          <w:lang w:val="en-ZA"/>
        </w:rPr>
        <w:tab/>
        <w:t>If the LTV is exceeded, the Borrower shall, within 20 Business Days of receipt of a notice from FNB to this effect offer additional properties to FNB as security, which properties must be acceptable to FNB.</w:t>
      </w:r>
    </w:p>
    <w:p w14:paraId="44154F8F" w14:textId="77777777" w:rsidR="00333B83" w:rsidRDefault="00333B83" w:rsidP="00333B83">
      <w:pPr>
        <w:tabs>
          <w:tab w:val="left" w:pos="2694"/>
        </w:tabs>
        <w:spacing w:after="0" w:line="240" w:lineRule="auto"/>
        <w:ind w:left="2694" w:right="851" w:hanging="709"/>
        <w:rPr>
          <w:i/>
          <w:lang w:val="en-ZA"/>
        </w:rPr>
      </w:pPr>
      <w:r>
        <w:rPr>
          <w:i/>
          <w:lang w:val="en-ZA"/>
        </w:rPr>
        <w:t>10.4</w:t>
      </w:r>
      <w:r>
        <w:rPr>
          <w:i/>
          <w:lang w:val="en-ZA"/>
        </w:rPr>
        <w:tab/>
        <w:t>Following acceptance, FNB shall immediately procure that a Bond be registered over such properties at the Borrower’s cost.</w:t>
      </w:r>
    </w:p>
    <w:p w14:paraId="0099EBBB" w14:textId="77777777" w:rsidR="00333B83" w:rsidRDefault="00333B83" w:rsidP="00333B83">
      <w:pPr>
        <w:tabs>
          <w:tab w:val="left" w:pos="2694"/>
        </w:tabs>
        <w:spacing w:after="0" w:line="240" w:lineRule="auto"/>
        <w:ind w:left="2694" w:right="851" w:hanging="709"/>
        <w:rPr>
          <w:i/>
          <w:lang w:val="en-ZA"/>
        </w:rPr>
      </w:pPr>
      <w:r>
        <w:rPr>
          <w:i/>
          <w:lang w:val="en-ZA"/>
        </w:rPr>
        <w:t>10.5</w:t>
      </w:r>
      <w:r>
        <w:rPr>
          <w:i/>
          <w:lang w:val="en-ZA"/>
        </w:rPr>
        <w:tab/>
        <w:t>Should the Borrower fail to offer additional satisfactory properties to FNB as security within the aforementioned time limit, the Borrower shall be obliged to immediately repay to FNB such amount as is necessary to reduce the ratio to LTV stipulated in the Loan Schedule.</w:t>
      </w:r>
    </w:p>
    <w:p w14:paraId="2BF5230D" w14:textId="77777777" w:rsidR="00333B83" w:rsidRDefault="00333B83" w:rsidP="00333B83">
      <w:pPr>
        <w:tabs>
          <w:tab w:val="left" w:pos="2694"/>
        </w:tabs>
        <w:spacing w:after="0" w:line="240" w:lineRule="auto"/>
        <w:ind w:left="2694" w:right="851" w:hanging="709"/>
        <w:rPr>
          <w:lang w:val="en-ZA"/>
        </w:rPr>
      </w:pPr>
      <w:r>
        <w:rPr>
          <w:i/>
          <w:lang w:val="en-ZA"/>
        </w:rPr>
        <w:t>10.6</w:t>
      </w:r>
      <w:r>
        <w:rPr>
          <w:i/>
          <w:lang w:val="en-ZA"/>
        </w:rPr>
        <w:tab/>
        <w:t>Any failure by the Borrower to comply with a demand or requirement in terms of this clause will constitute an Event of Default.</w:t>
      </w:r>
      <w:r>
        <w:rPr>
          <w:lang w:val="en-ZA"/>
        </w:rPr>
        <w:t>”</w:t>
      </w:r>
    </w:p>
    <w:p w14:paraId="764E7373" w14:textId="77777777" w:rsidR="00333B83" w:rsidRPr="00764815" w:rsidRDefault="00333B83" w:rsidP="00370CC9">
      <w:pPr>
        <w:pStyle w:val="JudgmentNumbered"/>
        <w:numPr>
          <w:ilvl w:val="0"/>
          <w:numId w:val="0"/>
        </w:numPr>
        <w:spacing w:after="0"/>
        <w:ind w:left="567"/>
        <w:rPr>
          <w:lang w:val="en-ZA"/>
        </w:rPr>
      </w:pPr>
    </w:p>
    <w:p w14:paraId="3AB0044B" w14:textId="71A69BBC" w:rsidR="00333B83" w:rsidRDefault="000C19AC" w:rsidP="000C19AC">
      <w:pPr>
        <w:pStyle w:val="JudgmentNumbered"/>
        <w:numPr>
          <w:ilvl w:val="0"/>
          <w:numId w:val="0"/>
        </w:numPr>
        <w:ind w:left="567" w:hanging="567"/>
      </w:pPr>
      <w:r>
        <w:rPr>
          <w:iCs/>
        </w:rPr>
        <w:t>[71]</w:t>
      </w:r>
      <w:r>
        <w:rPr>
          <w:iCs/>
        </w:rPr>
        <w:tab/>
      </w:r>
      <w:r w:rsidR="00333B83">
        <w:t xml:space="preserve">Accordingly, the applicant’s submission is sound, namely that the breaches of which it had complained do not fall within the purview of the financial covenants in clause 10, nor indeed are they financial covenants properly </w:t>
      </w:r>
      <w:r w:rsidR="007A6C5D">
        <w:t xml:space="preserve">or commonly </w:t>
      </w:r>
      <w:r w:rsidR="00333B83">
        <w:t xml:space="preserve">so called. If one understands what a financial covenant is, the remedy fashioned in clauses 14.2.7.1 and 14.2.7.2 </w:t>
      </w:r>
      <w:r w:rsidR="003976AB">
        <w:t xml:space="preserve">in appendix 1 </w:t>
      </w:r>
      <w:r w:rsidR="00333B83">
        <w:t>make considerable sense.</w:t>
      </w:r>
    </w:p>
    <w:p w14:paraId="0DA176B5" w14:textId="51A63E08" w:rsidR="00333B83" w:rsidRPr="001F355F" w:rsidRDefault="000C19AC" w:rsidP="000C19AC">
      <w:pPr>
        <w:pStyle w:val="JudgmentNumbered"/>
        <w:numPr>
          <w:ilvl w:val="0"/>
          <w:numId w:val="0"/>
        </w:numPr>
        <w:ind w:left="567" w:hanging="567"/>
      </w:pPr>
      <w:r w:rsidRPr="001F355F">
        <w:rPr>
          <w:iCs/>
        </w:rPr>
        <w:lastRenderedPageBreak/>
        <w:t>[72]</w:t>
      </w:r>
      <w:r w:rsidRPr="001F355F">
        <w:rPr>
          <w:iCs/>
        </w:rPr>
        <w:tab/>
      </w:r>
      <w:r w:rsidR="00333B83">
        <w:t xml:space="preserve">The respondent’s reliance on this defence is unsound. </w:t>
      </w:r>
      <w:r w:rsidR="00333B83" w:rsidRPr="001F355F">
        <w:t xml:space="preserve">Clause 14.2.7.2 </w:t>
      </w:r>
      <w:r w:rsidR="00333B83">
        <w:t>does not apply here.</w:t>
      </w:r>
    </w:p>
    <w:p w14:paraId="7E96C2F6" w14:textId="042400C5" w:rsidR="00333B83" w:rsidRPr="001F355F" w:rsidRDefault="002D759F" w:rsidP="00333B83">
      <w:pPr>
        <w:pStyle w:val="JudgmentNumbered"/>
        <w:keepNext/>
        <w:numPr>
          <w:ilvl w:val="0"/>
          <w:numId w:val="0"/>
        </w:numPr>
        <w:rPr>
          <w:b/>
          <w:bCs/>
          <w:szCs w:val="24"/>
        </w:rPr>
      </w:pPr>
      <w:r>
        <w:rPr>
          <w:b/>
          <w:bCs/>
          <w:szCs w:val="24"/>
        </w:rPr>
        <w:t xml:space="preserve">Unclean hands and the </w:t>
      </w:r>
      <w:r w:rsidR="00333B83" w:rsidRPr="001F355F">
        <w:rPr>
          <w:b/>
          <w:bCs/>
          <w:szCs w:val="24"/>
        </w:rPr>
        <w:t xml:space="preserve">TPPP </w:t>
      </w:r>
      <w:r w:rsidR="00333B83" w:rsidRPr="001F355F">
        <w:rPr>
          <w:b/>
          <w:bCs/>
          <w:lang w:eastAsia="en-GB"/>
        </w:rPr>
        <w:t>certificate</w:t>
      </w:r>
    </w:p>
    <w:p w14:paraId="78C264F1" w14:textId="6FB6C4BB" w:rsidR="00333B83" w:rsidRDefault="000C19AC" w:rsidP="000C19AC">
      <w:pPr>
        <w:pStyle w:val="JudgmentNumbered"/>
        <w:numPr>
          <w:ilvl w:val="0"/>
          <w:numId w:val="0"/>
        </w:numPr>
        <w:ind w:left="567" w:hanging="567"/>
      </w:pPr>
      <w:r>
        <w:rPr>
          <w:iCs/>
        </w:rPr>
        <w:t>[73]</w:t>
      </w:r>
      <w:r>
        <w:rPr>
          <w:iCs/>
        </w:rPr>
        <w:tab/>
      </w:r>
      <w:r w:rsidR="00333B83">
        <w:t xml:space="preserve">The </w:t>
      </w:r>
      <w:r w:rsidR="00097162">
        <w:t xml:space="preserve">last defence </w:t>
      </w:r>
      <w:r w:rsidR="00333B83">
        <w:t xml:space="preserve">is that the applicant approaches court with unclean hands. Accordingly, the respondent says, </w:t>
      </w:r>
      <w:r w:rsidR="003976AB">
        <w:t xml:space="preserve">it </w:t>
      </w:r>
      <w:r w:rsidR="00333B83">
        <w:t>cannot permissibly benefit from its own wrongdoing.</w:t>
      </w:r>
    </w:p>
    <w:p w14:paraId="63B5BC55" w14:textId="060B0476" w:rsidR="00C67AF1" w:rsidRDefault="000C19AC" w:rsidP="000C19AC">
      <w:pPr>
        <w:pStyle w:val="JudgmentNumbered"/>
        <w:numPr>
          <w:ilvl w:val="0"/>
          <w:numId w:val="0"/>
        </w:numPr>
        <w:ind w:left="567" w:hanging="567"/>
      </w:pPr>
      <w:r>
        <w:rPr>
          <w:iCs/>
        </w:rPr>
        <w:t>[74]</w:t>
      </w:r>
      <w:r>
        <w:rPr>
          <w:iCs/>
        </w:rPr>
        <w:tab/>
      </w:r>
      <w:r w:rsidR="00415051">
        <w:t xml:space="preserve">The doctrine of unclean hands, derived originally from equity, the body of law in England and Wales that arose under the Chancellor’s foot, has also been received in various pockets of our common law (which did not inherit English equity holus-bolus). In the process of domestication, it has often been prismed through Roman-Dutch ideas, like for instance the </w:t>
      </w:r>
      <w:r w:rsidR="00415051" w:rsidRPr="00415051">
        <w:rPr>
          <w:i/>
          <w:iCs/>
        </w:rPr>
        <w:t>par delictum</w:t>
      </w:r>
      <w:r w:rsidR="00415051">
        <w:t xml:space="preserve"> rule. Be that as it may and without trying to discern exactly what the contours of a defence of unclean hands is in our law, I assume for present purposes in favour of the respondent that it is applicable on facts like these. </w:t>
      </w:r>
    </w:p>
    <w:p w14:paraId="54A766AA" w14:textId="30429997" w:rsidR="00333B83" w:rsidRDefault="000C19AC" w:rsidP="000C19AC">
      <w:pPr>
        <w:pStyle w:val="JudgmentNumbered"/>
        <w:numPr>
          <w:ilvl w:val="0"/>
          <w:numId w:val="0"/>
        </w:numPr>
        <w:ind w:left="567" w:hanging="567"/>
      </w:pPr>
      <w:r>
        <w:rPr>
          <w:iCs/>
        </w:rPr>
        <w:t>[75]</w:t>
      </w:r>
      <w:r>
        <w:rPr>
          <w:iCs/>
        </w:rPr>
        <w:tab/>
      </w:r>
      <w:r w:rsidR="00333B83">
        <w:t>The basis for th</w:t>
      </w:r>
      <w:r w:rsidR="00415051">
        <w:t>e</w:t>
      </w:r>
      <w:r w:rsidR="00333B83">
        <w:t xml:space="preserve"> </w:t>
      </w:r>
      <w:r w:rsidR="00415051">
        <w:t xml:space="preserve">respondent’s </w:t>
      </w:r>
      <w:r w:rsidR="00333B83">
        <w:t xml:space="preserve">contention </w:t>
      </w:r>
      <w:r w:rsidR="00415051">
        <w:t xml:space="preserve">that the applicant’s hands are unclean </w:t>
      </w:r>
      <w:r w:rsidR="00333B83">
        <w:t xml:space="preserve">is that </w:t>
      </w:r>
      <w:r w:rsidR="00415051">
        <w:t xml:space="preserve">it </w:t>
      </w:r>
      <w:r w:rsidR="00333B83">
        <w:t xml:space="preserve">failed or refused to issue to </w:t>
      </w:r>
      <w:r w:rsidR="00297A6B">
        <w:t>the respondent</w:t>
      </w:r>
      <w:r w:rsidR="00333B83">
        <w:t xml:space="preserve"> a</w:t>
      </w:r>
      <w:r w:rsidR="00415051" w:rsidRPr="00415051">
        <w:rPr>
          <w:color w:val="1F1F1F"/>
          <w:szCs w:val="24"/>
          <w:shd w:val="clear" w:color="auto" w:fill="FFFFFF"/>
        </w:rPr>
        <w:t xml:space="preserve"> </w:t>
      </w:r>
      <w:r w:rsidR="00333B83" w:rsidRPr="00415051">
        <w:rPr>
          <w:szCs w:val="24"/>
        </w:rPr>
        <w:t xml:space="preserve">TPPP certificate for the year starting 1 </w:t>
      </w:r>
      <w:r w:rsidR="00333B83">
        <w:t xml:space="preserve">March 2022, without which </w:t>
      </w:r>
      <w:r w:rsidR="00297A6B">
        <w:t>the respondent</w:t>
      </w:r>
      <w:r w:rsidR="00333B83">
        <w:t xml:space="preserve"> cannot render any services. </w:t>
      </w:r>
      <w:r w:rsidR="00415051">
        <w:t>The respondent</w:t>
      </w:r>
      <w:r w:rsidR="00333B83">
        <w:t xml:space="preserve"> characterises this conduct on the applicant’s part as </w:t>
      </w:r>
      <w:r w:rsidR="00415051">
        <w:t xml:space="preserve">impermissible </w:t>
      </w:r>
      <w:r w:rsidR="00333B83">
        <w:t>“</w:t>
      </w:r>
      <w:r w:rsidR="00333B83" w:rsidRPr="003D2D22">
        <w:rPr>
          <w:i/>
          <w:iCs/>
        </w:rPr>
        <w:t>self-help</w:t>
      </w:r>
      <w:r w:rsidR="00333B83">
        <w:t>”.</w:t>
      </w:r>
    </w:p>
    <w:p w14:paraId="351A5E00" w14:textId="5901AC7A" w:rsidR="00333B83" w:rsidRDefault="000C19AC" w:rsidP="000C19AC">
      <w:pPr>
        <w:pStyle w:val="JudgmentNumbered"/>
        <w:keepNext/>
        <w:numPr>
          <w:ilvl w:val="0"/>
          <w:numId w:val="0"/>
        </w:numPr>
        <w:ind w:left="567" w:hanging="567"/>
      </w:pPr>
      <w:r>
        <w:rPr>
          <w:iCs/>
        </w:rPr>
        <w:t>[76]</w:t>
      </w:r>
      <w:r>
        <w:rPr>
          <w:iCs/>
        </w:rPr>
        <w:tab/>
      </w:r>
      <w:r w:rsidR="00333B83">
        <w:t>In the answering affidavit, the first respondent goes on to say this:</w:t>
      </w:r>
    </w:p>
    <w:p w14:paraId="4F950276" w14:textId="4DA5592B" w:rsidR="00333B83" w:rsidRDefault="00333B83" w:rsidP="000D6BBD">
      <w:pPr>
        <w:pStyle w:val="Normal1"/>
        <w:ind w:left="1418" w:right="851"/>
      </w:pPr>
      <w:r>
        <w:t>“</w:t>
      </w:r>
      <w:r w:rsidRPr="00237B3D">
        <w:rPr>
          <w:i/>
          <w:iCs/>
        </w:rPr>
        <w:t>The reason provided by the Applicant for its refusal or failure to issue the TPPP Certificate is that the Company has committed various Events of Default and failed to keep up with its payments. This is clearly expressed in paragraph 5 of the letter dated 19 August 2022 delivered by the Applicant’s attorneys, ENSAfrica, to the Company. It is disingenuous for the Applicant to demand payments from the Company when the former’s conduct has led to the demise of the Company’s income due to its inability to render services and derive income.</w:t>
      </w:r>
      <w:r>
        <w:t>”</w:t>
      </w:r>
    </w:p>
    <w:p w14:paraId="5B5AB271" w14:textId="77777777" w:rsidR="00297A6B" w:rsidRDefault="00297A6B" w:rsidP="00415051">
      <w:pPr>
        <w:pStyle w:val="JudgmentNumbered"/>
        <w:numPr>
          <w:ilvl w:val="0"/>
          <w:numId w:val="0"/>
        </w:numPr>
        <w:spacing w:after="0"/>
        <w:ind w:left="567" w:right="851" w:hanging="567"/>
      </w:pPr>
    </w:p>
    <w:p w14:paraId="228C4841" w14:textId="374479CE" w:rsidR="00333B83" w:rsidRDefault="000C19AC" w:rsidP="000C19AC">
      <w:pPr>
        <w:pStyle w:val="JudgmentNumbered"/>
        <w:numPr>
          <w:ilvl w:val="0"/>
          <w:numId w:val="0"/>
        </w:numPr>
        <w:ind w:left="567" w:hanging="567"/>
      </w:pPr>
      <w:r>
        <w:rPr>
          <w:iCs/>
        </w:rPr>
        <w:t>[77]</w:t>
      </w:r>
      <w:r>
        <w:rPr>
          <w:iCs/>
        </w:rPr>
        <w:tab/>
      </w:r>
      <w:r w:rsidR="00415051">
        <w:t>The respondent</w:t>
      </w:r>
      <w:r w:rsidR="00333B83">
        <w:t xml:space="preserve"> </w:t>
      </w:r>
      <w:r w:rsidR="00415051">
        <w:t xml:space="preserve">proceeds to </w:t>
      </w:r>
      <w:r w:rsidR="00333B83">
        <w:t xml:space="preserve">explain </w:t>
      </w:r>
      <w:r w:rsidR="00297A6B">
        <w:t>the respondent</w:t>
      </w:r>
      <w:r w:rsidR="00333B83">
        <w:t xml:space="preserve">’s function in the market, </w:t>
      </w:r>
      <w:r w:rsidR="00415051">
        <w:t xml:space="preserve">namely </w:t>
      </w:r>
      <w:r w:rsidR="00333B83">
        <w:t>to provide “</w:t>
      </w:r>
      <w:r w:rsidR="00333B83" w:rsidRPr="00237B3D">
        <w:rPr>
          <w:i/>
          <w:iCs/>
        </w:rPr>
        <w:t>integrated payment solutions</w:t>
      </w:r>
      <w:r w:rsidR="00333B83">
        <w:t xml:space="preserve">” to entities, including state-owned ones. Yet, </w:t>
      </w:r>
      <w:r w:rsidR="00415051">
        <w:t>it</w:t>
      </w:r>
      <w:r w:rsidR="00333B83">
        <w:t xml:space="preserve"> says, that its income “</w:t>
      </w:r>
      <w:r w:rsidR="00333B83" w:rsidRPr="00237B3D">
        <w:rPr>
          <w:i/>
          <w:iCs/>
        </w:rPr>
        <w:t>subsided</w:t>
      </w:r>
      <w:r w:rsidR="00333B83">
        <w:t>” in 2020 and 2021</w:t>
      </w:r>
      <w:r w:rsidR="00415051">
        <w:t xml:space="preserve"> due to </w:t>
      </w:r>
      <w:r w:rsidR="009E4644">
        <w:t xml:space="preserve">the </w:t>
      </w:r>
      <w:r w:rsidR="009E4644">
        <w:lastRenderedPageBreak/>
        <w:t>effects of Covid-19</w:t>
      </w:r>
      <w:r w:rsidR="00333B83">
        <w:t xml:space="preserve"> “</w:t>
      </w:r>
      <w:r w:rsidR="00333B83" w:rsidRPr="00237B3D">
        <w:rPr>
          <w:i/>
          <w:iCs/>
        </w:rPr>
        <w:t>and also due to the conduct of the Applicant in failing to issue the Company with the TPPP Certificate for the year commencing 1 March 2022</w:t>
      </w:r>
      <w:r w:rsidR="00333B83">
        <w:t xml:space="preserve">”. </w:t>
      </w:r>
      <w:r w:rsidR="009E4644">
        <w:t xml:space="preserve">The respondent </w:t>
      </w:r>
      <w:r w:rsidR="00333B83">
        <w:t>adds: “</w:t>
      </w:r>
      <w:r w:rsidR="00333B83" w:rsidRPr="00237B3D">
        <w:rPr>
          <w:i/>
          <w:iCs/>
        </w:rPr>
        <w:t>I submit that the Applicant’s unlawful conduct in refusing to issue the Certificate was the main cause of the financial difficulties suffered by the Company.</w:t>
      </w:r>
      <w:r w:rsidR="00333B83">
        <w:t>”</w:t>
      </w:r>
    </w:p>
    <w:p w14:paraId="53E9A821" w14:textId="79A7D933" w:rsidR="0093587B" w:rsidRDefault="000C19AC" w:rsidP="000C19AC">
      <w:pPr>
        <w:pStyle w:val="JudgmentNumbered"/>
        <w:numPr>
          <w:ilvl w:val="0"/>
          <w:numId w:val="0"/>
        </w:numPr>
        <w:ind w:left="567" w:hanging="567"/>
      </w:pPr>
      <w:r>
        <w:rPr>
          <w:iCs/>
        </w:rPr>
        <w:t>[78]</w:t>
      </w:r>
      <w:r>
        <w:rPr>
          <w:iCs/>
        </w:rPr>
        <w:tab/>
      </w:r>
      <w:r w:rsidR="009E4644">
        <w:t xml:space="preserve">Yet, as the applicant pointed out, if one considers the chronology of events, as narrated by the respondent, </w:t>
      </w:r>
      <w:r w:rsidR="003976AB">
        <w:t xml:space="preserve">when the </w:t>
      </w:r>
      <w:r w:rsidR="0093587B" w:rsidRPr="00FB3A30">
        <w:t xml:space="preserve">TPPP certificate </w:t>
      </w:r>
      <w:r w:rsidR="003976AB">
        <w:t xml:space="preserve">came up for renewal, on the respondent’s own version, it </w:t>
      </w:r>
      <w:r w:rsidR="0093587B" w:rsidRPr="00FB3A30">
        <w:t xml:space="preserve">was </w:t>
      </w:r>
      <w:r w:rsidR="003976AB">
        <w:t xml:space="preserve">already </w:t>
      </w:r>
      <w:r w:rsidR="0093587B" w:rsidRPr="00FB3A30">
        <w:t>in distress</w:t>
      </w:r>
      <w:r w:rsidR="003976AB">
        <w:t>.</w:t>
      </w:r>
      <w:r w:rsidR="008F13BC">
        <w:t xml:space="preserve"> </w:t>
      </w:r>
      <w:r w:rsidR="003976AB">
        <w:t xml:space="preserve">Indeed, this was so </w:t>
      </w:r>
      <w:r w:rsidR="008F13BC">
        <w:t>t</w:t>
      </w:r>
      <w:r w:rsidR="0093587B" w:rsidRPr="00FB3A30">
        <w:t xml:space="preserve">wo years </w:t>
      </w:r>
      <w:r w:rsidR="008F13BC">
        <w:t xml:space="preserve">before </w:t>
      </w:r>
      <w:r w:rsidR="009E4644">
        <w:t>March 2022</w:t>
      </w:r>
      <w:r w:rsidR="003976AB">
        <w:t xml:space="preserve"> already</w:t>
      </w:r>
      <w:r w:rsidR="0093587B" w:rsidRPr="00FB3A30">
        <w:t>.</w:t>
      </w:r>
    </w:p>
    <w:p w14:paraId="692AA382" w14:textId="0C8C33B2" w:rsidR="0093587B" w:rsidRPr="008F13BC" w:rsidRDefault="000C19AC" w:rsidP="000C19AC">
      <w:pPr>
        <w:pStyle w:val="JudgmentNumbered"/>
        <w:numPr>
          <w:ilvl w:val="0"/>
          <w:numId w:val="0"/>
        </w:numPr>
        <w:ind w:left="567" w:hanging="567"/>
      </w:pPr>
      <w:r w:rsidRPr="008F13BC">
        <w:rPr>
          <w:iCs/>
        </w:rPr>
        <w:t>[79]</w:t>
      </w:r>
      <w:r w:rsidRPr="008F13BC">
        <w:rPr>
          <w:iCs/>
        </w:rPr>
        <w:tab/>
      </w:r>
      <w:r w:rsidR="009E4644">
        <w:t>The applicant</w:t>
      </w:r>
      <w:r w:rsidR="003976AB">
        <w:t>’s position is that</w:t>
      </w:r>
      <w:r w:rsidR="009E4644">
        <w:t xml:space="preserve"> </w:t>
      </w:r>
      <w:r w:rsidR="003976AB">
        <w:t xml:space="preserve">the </w:t>
      </w:r>
      <w:r w:rsidR="0093587B" w:rsidRPr="00FB3A30">
        <w:t xml:space="preserve">renewal of </w:t>
      </w:r>
      <w:r w:rsidR="003976AB">
        <w:t>the respondent’s</w:t>
      </w:r>
      <w:r w:rsidR="0093587B" w:rsidRPr="00FB3A30">
        <w:t xml:space="preserve"> TPPP certificate </w:t>
      </w:r>
      <w:r w:rsidR="009E4644">
        <w:t xml:space="preserve">was </w:t>
      </w:r>
      <w:r w:rsidR="0093587B" w:rsidRPr="00FB3A30">
        <w:t xml:space="preserve">conditional upon </w:t>
      </w:r>
      <w:r w:rsidR="003976AB">
        <w:t xml:space="preserve">its </w:t>
      </w:r>
      <w:r w:rsidR="0093587B" w:rsidRPr="00FB3A30">
        <w:t>account being in good standing</w:t>
      </w:r>
      <w:r w:rsidR="009E4644">
        <w:t>. By the time</w:t>
      </w:r>
      <w:r w:rsidR="0093587B" w:rsidRPr="00FB3A30">
        <w:t xml:space="preserve"> of </w:t>
      </w:r>
      <w:r w:rsidR="009E4644">
        <w:t xml:space="preserve">the </w:t>
      </w:r>
      <w:r w:rsidR="0093587B" w:rsidRPr="00FB3A30">
        <w:t>contemplated reissue</w:t>
      </w:r>
      <w:r w:rsidR="009E4644">
        <w:t>,</w:t>
      </w:r>
      <w:r w:rsidR="0093587B" w:rsidRPr="00FB3A30">
        <w:t xml:space="preserve"> the respondent was already in financial distress.</w:t>
      </w:r>
    </w:p>
    <w:p w14:paraId="7147DFC7" w14:textId="7F44C6D1" w:rsidR="0093587B" w:rsidRDefault="000C19AC" w:rsidP="000C19AC">
      <w:pPr>
        <w:pStyle w:val="JudgmentNumbered"/>
        <w:numPr>
          <w:ilvl w:val="0"/>
          <w:numId w:val="0"/>
        </w:numPr>
        <w:ind w:left="567" w:hanging="567"/>
      </w:pPr>
      <w:r>
        <w:rPr>
          <w:iCs/>
        </w:rPr>
        <w:t>[80]</w:t>
      </w:r>
      <w:r>
        <w:rPr>
          <w:iCs/>
        </w:rPr>
        <w:tab/>
      </w:r>
      <w:r w:rsidR="008F13BC">
        <w:t xml:space="preserve">Accordingly, </w:t>
      </w:r>
      <w:r w:rsidR="009E4644">
        <w:t xml:space="preserve">the applicant is correct in maintaining that </w:t>
      </w:r>
      <w:r w:rsidR="008F13BC">
        <w:t xml:space="preserve">it cannot fairly be said that the </w:t>
      </w:r>
      <w:r w:rsidR="0093587B" w:rsidRPr="00FB3A30">
        <w:t xml:space="preserve">applicant </w:t>
      </w:r>
      <w:r w:rsidR="008F13BC">
        <w:t xml:space="preserve">was </w:t>
      </w:r>
      <w:r w:rsidR="0093587B" w:rsidRPr="00FB3A30">
        <w:t xml:space="preserve">responsible for the </w:t>
      </w:r>
      <w:r w:rsidR="0093587B">
        <w:t>respondent</w:t>
      </w:r>
      <w:r w:rsidR="008F13BC">
        <w:t>’</w:t>
      </w:r>
      <w:r w:rsidR="0093587B">
        <w:t>s financial distress.</w:t>
      </w:r>
    </w:p>
    <w:p w14:paraId="13080232" w14:textId="74C9DD89" w:rsidR="002D759F" w:rsidRDefault="000C19AC" w:rsidP="000C19AC">
      <w:pPr>
        <w:pStyle w:val="JudgmentNumbered"/>
        <w:numPr>
          <w:ilvl w:val="0"/>
          <w:numId w:val="0"/>
        </w:numPr>
        <w:ind w:left="567" w:hanging="567"/>
      </w:pPr>
      <w:r>
        <w:rPr>
          <w:iCs/>
        </w:rPr>
        <w:t>[81]</w:t>
      </w:r>
      <w:r>
        <w:rPr>
          <w:iCs/>
        </w:rPr>
        <w:tab/>
      </w:r>
      <w:r w:rsidR="002D759F">
        <w:t>Whatever the precise nature of the defence of unclean hands, there is no factual basis here for its applciaiton.</w:t>
      </w:r>
    </w:p>
    <w:p w14:paraId="2A99CBF6" w14:textId="54906E84" w:rsidR="008E6460" w:rsidRPr="008E6460" w:rsidRDefault="008E6460" w:rsidP="008E6460">
      <w:pPr>
        <w:pStyle w:val="JudgmentNumbered"/>
        <w:numPr>
          <w:ilvl w:val="0"/>
          <w:numId w:val="0"/>
        </w:numPr>
        <w:rPr>
          <w:b/>
          <w:bCs/>
        </w:rPr>
      </w:pPr>
      <w:r w:rsidRPr="008E6460">
        <w:rPr>
          <w:b/>
          <w:bCs/>
        </w:rPr>
        <w:t>ANALYSIS</w:t>
      </w:r>
    </w:p>
    <w:p w14:paraId="35DC4C02" w14:textId="3391A092" w:rsidR="009E4644" w:rsidRDefault="000C19AC" w:rsidP="000C19AC">
      <w:pPr>
        <w:pStyle w:val="JudgmentNumbered"/>
        <w:numPr>
          <w:ilvl w:val="0"/>
          <w:numId w:val="0"/>
        </w:numPr>
        <w:ind w:left="567" w:hanging="567"/>
      </w:pPr>
      <w:r>
        <w:rPr>
          <w:iCs/>
        </w:rPr>
        <w:t>[82]</w:t>
      </w:r>
      <w:r>
        <w:rPr>
          <w:iCs/>
        </w:rPr>
        <w:tab/>
      </w:r>
      <w:r w:rsidR="009E4644">
        <w:t xml:space="preserve">Carefully considered, each of the respondent’s four </w:t>
      </w:r>
      <w:r w:rsidR="0093587B" w:rsidRPr="00FB3A30">
        <w:t xml:space="preserve">defences </w:t>
      </w:r>
      <w:r w:rsidR="008F13BC">
        <w:t>lack</w:t>
      </w:r>
      <w:r w:rsidR="009E4644">
        <w:t>s</w:t>
      </w:r>
      <w:r w:rsidR="008F13BC">
        <w:t xml:space="preserve"> substance</w:t>
      </w:r>
      <w:r w:rsidR="0093587B" w:rsidRPr="00FB3A30">
        <w:t>.</w:t>
      </w:r>
      <w:r w:rsidR="009E4644">
        <w:t xml:space="preserve"> None is borne out by the facts or the law upon which the respondent s</w:t>
      </w:r>
      <w:r w:rsidR="008E6460">
        <w:t>eeks</w:t>
      </w:r>
      <w:r w:rsidR="009E4644">
        <w:t xml:space="preserve"> to rely. None discloses a defence to the </w:t>
      </w:r>
      <w:r w:rsidR="008E6460">
        <w:t>relief that the applicant seeks.</w:t>
      </w:r>
    </w:p>
    <w:p w14:paraId="120EFBE4" w14:textId="25832791" w:rsidR="008E6460" w:rsidRDefault="000C19AC" w:rsidP="000C19AC">
      <w:pPr>
        <w:pStyle w:val="JudgmentNumbered"/>
        <w:numPr>
          <w:ilvl w:val="0"/>
          <w:numId w:val="0"/>
        </w:numPr>
        <w:ind w:left="567" w:hanging="567"/>
      </w:pPr>
      <w:r>
        <w:rPr>
          <w:iCs/>
        </w:rPr>
        <w:t>[83]</w:t>
      </w:r>
      <w:r>
        <w:rPr>
          <w:iCs/>
        </w:rPr>
        <w:tab/>
      </w:r>
      <w:r w:rsidR="008E6460">
        <w:t>It is clear that there has been compliance with both sections 345(1)(a)(i) and (c).</w:t>
      </w:r>
    </w:p>
    <w:p w14:paraId="71637519" w14:textId="00FDD93A" w:rsidR="008E6460" w:rsidRDefault="000C19AC" w:rsidP="000C19AC">
      <w:pPr>
        <w:pStyle w:val="JudgmentNumbered"/>
        <w:numPr>
          <w:ilvl w:val="0"/>
          <w:numId w:val="0"/>
        </w:numPr>
        <w:ind w:left="567" w:hanging="567"/>
      </w:pPr>
      <w:r>
        <w:rPr>
          <w:iCs/>
        </w:rPr>
        <w:t>[84]</w:t>
      </w:r>
      <w:r>
        <w:rPr>
          <w:iCs/>
        </w:rPr>
        <w:tab/>
      </w:r>
      <w:r w:rsidR="008E6460">
        <w:t>As far as its inability to pay goes, over and above the four baseless defences, it is common cause that the respondent is indeed unable to pay what it owes the applicant, as and when those liabilities fall due.</w:t>
      </w:r>
    </w:p>
    <w:p w14:paraId="1BFEB288" w14:textId="58C7B880" w:rsidR="008E6460" w:rsidRDefault="000C19AC" w:rsidP="000C19AC">
      <w:pPr>
        <w:pStyle w:val="JudgmentNumbered"/>
        <w:numPr>
          <w:ilvl w:val="0"/>
          <w:numId w:val="0"/>
        </w:numPr>
        <w:ind w:left="567" w:hanging="567"/>
      </w:pPr>
      <w:r>
        <w:rPr>
          <w:iCs/>
        </w:rPr>
        <w:t>[85]</w:t>
      </w:r>
      <w:r>
        <w:rPr>
          <w:iCs/>
        </w:rPr>
        <w:tab/>
      </w:r>
      <w:r w:rsidR="008E6460">
        <w:t xml:space="preserve">Upon an application of the test in </w:t>
      </w:r>
      <w:r w:rsidR="008E6460" w:rsidRPr="008E6460">
        <w:rPr>
          <w:i/>
          <w:iCs/>
        </w:rPr>
        <w:t>Plascon-Evans</w:t>
      </w:r>
      <w:r w:rsidR="008E6460">
        <w:t>, the facts put up in the decidedly thin answering affidavit either bear out the version of the applicant or seek to advance unsustainable defences, which I must reject.</w:t>
      </w:r>
    </w:p>
    <w:p w14:paraId="6A96D4DD" w14:textId="4FE329CF" w:rsidR="008E6460" w:rsidRDefault="000C19AC" w:rsidP="000C19AC">
      <w:pPr>
        <w:pStyle w:val="JudgmentNumbered"/>
        <w:numPr>
          <w:ilvl w:val="0"/>
          <w:numId w:val="0"/>
        </w:numPr>
        <w:spacing w:after="0"/>
        <w:ind w:left="567" w:hanging="567"/>
        <w:rPr>
          <w:iCs/>
        </w:rPr>
      </w:pPr>
      <w:r>
        <w:rPr>
          <w:iCs/>
        </w:rPr>
        <w:lastRenderedPageBreak/>
        <w:t>[86]</w:t>
      </w:r>
      <w:r>
        <w:rPr>
          <w:iCs/>
        </w:rPr>
        <w:tab/>
      </w:r>
      <w:r w:rsidR="008E6460" w:rsidRPr="008E6460">
        <w:rPr>
          <w:iCs/>
        </w:rPr>
        <w:t xml:space="preserve">The applicant has established </w:t>
      </w:r>
      <w:r w:rsidR="008E6460">
        <w:rPr>
          <w:iCs/>
        </w:rPr>
        <w:t>the</w:t>
      </w:r>
      <w:r w:rsidR="008E6460" w:rsidRPr="008E6460">
        <w:rPr>
          <w:iCs/>
        </w:rPr>
        <w:t xml:space="preserve"> case for the relief it seeks on a balance of probabilities.</w:t>
      </w:r>
    </w:p>
    <w:p w14:paraId="5CEC86C0" w14:textId="77777777" w:rsidR="008E6460" w:rsidRDefault="008E6460" w:rsidP="008E6460">
      <w:pPr>
        <w:pStyle w:val="JudgmentNumbered"/>
        <w:numPr>
          <w:ilvl w:val="0"/>
          <w:numId w:val="0"/>
        </w:numPr>
        <w:spacing w:after="0"/>
        <w:rPr>
          <w:iCs/>
        </w:rPr>
      </w:pPr>
    </w:p>
    <w:p w14:paraId="10D6AC0B" w14:textId="73925566" w:rsidR="008E6460" w:rsidRPr="008E6460" w:rsidRDefault="000C19AC" w:rsidP="000C19AC">
      <w:pPr>
        <w:pStyle w:val="JudgmentNumbered"/>
        <w:numPr>
          <w:ilvl w:val="0"/>
          <w:numId w:val="0"/>
        </w:numPr>
        <w:spacing w:after="0"/>
        <w:ind w:left="567" w:hanging="567"/>
        <w:rPr>
          <w:iCs/>
        </w:rPr>
      </w:pPr>
      <w:r w:rsidRPr="008E6460">
        <w:rPr>
          <w:iCs/>
        </w:rPr>
        <w:t>[87]</w:t>
      </w:r>
      <w:r w:rsidRPr="008E6460">
        <w:rPr>
          <w:iCs/>
        </w:rPr>
        <w:tab/>
      </w:r>
      <w:r w:rsidR="008E6460">
        <w:rPr>
          <w:iCs/>
        </w:rPr>
        <w:t>I might add that there had been compliance with the other statutory requirements.</w:t>
      </w:r>
    </w:p>
    <w:p w14:paraId="52E5B7A8" w14:textId="77777777" w:rsidR="008E6460" w:rsidRDefault="008E6460" w:rsidP="008E6460">
      <w:pPr>
        <w:pStyle w:val="JudgmentNumbered"/>
        <w:keepNext/>
        <w:numPr>
          <w:ilvl w:val="0"/>
          <w:numId w:val="0"/>
        </w:numPr>
        <w:spacing w:after="0"/>
        <w:rPr>
          <w:b/>
          <w:bCs/>
          <w:lang w:eastAsia="en-GB"/>
        </w:rPr>
      </w:pPr>
    </w:p>
    <w:p w14:paraId="49897692" w14:textId="43CE0D6C" w:rsidR="008F13BC" w:rsidRPr="008F13BC" w:rsidRDefault="008F13BC" w:rsidP="00844E60">
      <w:pPr>
        <w:pStyle w:val="JudgmentNumbered"/>
        <w:keepNext/>
        <w:numPr>
          <w:ilvl w:val="0"/>
          <w:numId w:val="0"/>
        </w:numPr>
        <w:rPr>
          <w:b/>
          <w:bCs/>
        </w:rPr>
      </w:pPr>
      <w:r w:rsidRPr="008F13BC">
        <w:rPr>
          <w:b/>
          <w:bCs/>
          <w:lang w:eastAsia="en-GB"/>
        </w:rPr>
        <w:t>CO</w:t>
      </w:r>
      <w:r w:rsidR="00C705AE">
        <w:rPr>
          <w:b/>
          <w:bCs/>
          <w:lang w:eastAsia="en-GB"/>
        </w:rPr>
        <w:t>STS</w:t>
      </w:r>
    </w:p>
    <w:p w14:paraId="7EED9230" w14:textId="62DA80F6" w:rsidR="00333B83" w:rsidRDefault="000C19AC" w:rsidP="000C19AC">
      <w:pPr>
        <w:pStyle w:val="JudgmentNumbered"/>
        <w:numPr>
          <w:ilvl w:val="0"/>
          <w:numId w:val="0"/>
        </w:numPr>
        <w:ind w:left="567" w:hanging="567"/>
      </w:pPr>
      <w:r>
        <w:rPr>
          <w:iCs/>
        </w:rPr>
        <w:t>[88]</w:t>
      </w:r>
      <w:r>
        <w:rPr>
          <w:iCs/>
        </w:rPr>
        <w:tab/>
      </w:r>
      <w:r w:rsidR="008E6460">
        <w:t xml:space="preserve">Naturally, the </w:t>
      </w:r>
      <w:r w:rsidR="00100361">
        <w:t>costs</w:t>
      </w:r>
      <w:r w:rsidR="008E6460">
        <w:t xml:space="preserve"> will be costs in the winding up.</w:t>
      </w:r>
      <w:r w:rsidR="00100361">
        <w:t xml:space="preserve"> </w:t>
      </w:r>
    </w:p>
    <w:p w14:paraId="21E077BF" w14:textId="5415B65D" w:rsidR="00C705AE" w:rsidRPr="00C705AE" w:rsidRDefault="00C705AE" w:rsidP="00C705AE">
      <w:pPr>
        <w:pStyle w:val="JudgmentNumbered"/>
        <w:numPr>
          <w:ilvl w:val="0"/>
          <w:numId w:val="0"/>
        </w:numPr>
        <w:rPr>
          <w:b/>
          <w:bCs/>
        </w:rPr>
      </w:pPr>
      <w:r w:rsidRPr="00C705AE">
        <w:rPr>
          <w:b/>
          <w:bCs/>
        </w:rPr>
        <w:t>ORDER</w:t>
      </w:r>
    </w:p>
    <w:p w14:paraId="258618CC" w14:textId="028AA131" w:rsidR="008F13BC" w:rsidRDefault="008D5428" w:rsidP="008D5428">
      <w:pPr>
        <w:pStyle w:val="JudgmentNumbered"/>
        <w:numPr>
          <w:ilvl w:val="0"/>
          <w:numId w:val="0"/>
        </w:numPr>
        <w:ind w:left="567"/>
      </w:pPr>
      <w:r>
        <w:t>1.</w:t>
      </w:r>
      <w:r>
        <w:tab/>
      </w:r>
      <w:r w:rsidR="008E6460">
        <w:t>The respondent is</w:t>
      </w:r>
      <w:r w:rsidR="00BF552D">
        <w:t xml:space="preserve"> placed under final winding-up</w:t>
      </w:r>
      <w:r w:rsidR="008E6460">
        <w:t>.</w:t>
      </w:r>
    </w:p>
    <w:p w14:paraId="3E4974B0" w14:textId="24B01FDA" w:rsidR="008E6460" w:rsidRPr="00FB3A30" w:rsidRDefault="008D5428" w:rsidP="008D5428">
      <w:pPr>
        <w:pStyle w:val="JudgmentNumbered"/>
        <w:numPr>
          <w:ilvl w:val="0"/>
          <w:numId w:val="0"/>
        </w:numPr>
        <w:ind w:left="1440" w:hanging="873"/>
      </w:pPr>
      <w:r>
        <w:t>2.</w:t>
      </w:r>
      <w:r>
        <w:tab/>
      </w:r>
      <w:r w:rsidR="008E6460">
        <w:t>The costs of this application are costs in the</w:t>
      </w:r>
      <w:r w:rsidR="00BF552D">
        <w:t xml:space="preserve"> winding-up of the respondent</w:t>
      </w:r>
      <w:r w:rsidR="008E6460">
        <w:t>.</w:t>
      </w:r>
    </w:p>
    <w:p w14:paraId="3583EB20" w14:textId="77777777" w:rsidR="0093587B" w:rsidRPr="00FB3A30" w:rsidRDefault="0093587B" w:rsidP="00844E60">
      <w:pPr>
        <w:pStyle w:val="BodyText"/>
        <w:widowControl/>
        <w:spacing w:line="480" w:lineRule="auto"/>
        <w:rPr>
          <w:sz w:val="24"/>
          <w:szCs w:val="24"/>
          <w:lang w:val="en-GB"/>
        </w:rPr>
      </w:pPr>
    </w:p>
    <w:p w14:paraId="51BAB2A5" w14:textId="08B2C59C" w:rsidR="0021125E" w:rsidRPr="00B9700C" w:rsidRDefault="0021125E" w:rsidP="00844E60">
      <w:pPr>
        <w:pStyle w:val="JudgmentNumbered"/>
        <w:numPr>
          <w:ilvl w:val="0"/>
          <w:numId w:val="0"/>
        </w:numPr>
        <w:rPr>
          <w:color w:val="1F1F1F"/>
          <w:szCs w:val="24"/>
        </w:rPr>
      </w:pPr>
    </w:p>
    <w:p w14:paraId="6979ABF9" w14:textId="77777777" w:rsidR="0032728F" w:rsidRDefault="0032728F" w:rsidP="00844E60">
      <w:pPr>
        <w:pStyle w:val="JudgmentNumbered"/>
        <w:keepNext/>
        <w:numPr>
          <w:ilvl w:val="0"/>
          <w:numId w:val="0"/>
        </w:numPr>
        <w:spacing w:after="0"/>
        <w:ind w:left="567" w:hanging="567"/>
        <w:jc w:val="right"/>
      </w:pPr>
      <w:r>
        <w:t>___________________________</w:t>
      </w:r>
    </w:p>
    <w:p w14:paraId="7BC76371" w14:textId="51E77EA5" w:rsidR="0032728F" w:rsidRDefault="0032728F" w:rsidP="00844E60">
      <w:pPr>
        <w:pStyle w:val="JudgmentNumbered"/>
        <w:keepNext/>
        <w:numPr>
          <w:ilvl w:val="0"/>
          <w:numId w:val="0"/>
        </w:numPr>
        <w:spacing w:after="0"/>
        <w:ind w:left="567" w:hanging="567"/>
        <w:jc w:val="right"/>
        <w:rPr>
          <w:b/>
        </w:rPr>
      </w:pPr>
      <w:r>
        <w:rPr>
          <w:b/>
        </w:rPr>
        <w:t>J</w:t>
      </w:r>
      <w:r w:rsidR="00823CE3">
        <w:rPr>
          <w:b/>
        </w:rPr>
        <w:t xml:space="preserve"> J</w:t>
      </w:r>
      <w:r>
        <w:rPr>
          <w:b/>
        </w:rPr>
        <w:t xml:space="preserve"> MEIRING</w:t>
      </w:r>
    </w:p>
    <w:p w14:paraId="2B3EED26" w14:textId="77777777" w:rsidR="0032728F" w:rsidRDefault="0032728F" w:rsidP="00844E60">
      <w:pPr>
        <w:pStyle w:val="JudgmentNumbered"/>
        <w:keepNext/>
        <w:numPr>
          <w:ilvl w:val="0"/>
          <w:numId w:val="0"/>
        </w:numPr>
        <w:spacing w:after="0"/>
        <w:ind w:left="567" w:hanging="567"/>
        <w:jc w:val="right"/>
        <w:rPr>
          <w:b/>
        </w:rPr>
      </w:pPr>
      <w:r>
        <w:rPr>
          <w:b/>
        </w:rPr>
        <w:t>ACTING JUDGE OF THE HIGH COURT</w:t>
      </w:r>
    </w:p>
    <w:p w14:paraId="281C9177" w14:textId="77777777" w:rsidR="0032728F" w:rsidRDefault="0032728F" w:rsidP="00844E60">
      <w:pPr>
        <w:pStyle w:val="JudgmentNumbered"/>
        <w:numPr>
          <w:ilvl w:val="0"/>
          <w:numId w:val="0"/>
        </w:numPr>
        <w:spacing w:after="0"/>
        <w:ind w:left="567" w:hanging="567"/>
        <w:jc w:val="right"/>
        <w:rPr>
          <w:b/>
        </w:rPr>
      </w:pPr>
      <w:r>
        <w:rPr>
          <w:b/>
        </w:rPr>
        <w:t>JOHANNESBURG</w:t>
      </w:r>
    </w:p>
    <w:p w14:paraId="5DF30F99" w14:textId="6F806CBB" w:rsidR="0032728F" w:rsidRDefault="0032728F" w:rsidP="00844E60">
      <w:pPr>
        <w:spacing w:after="160" w:line="259" w:lineRule="auto"/>
        <w:ind w:left="0"/>
        <w:jc w:val="left"/>
        <w:rPr>
          <w:rFonts w:eastAsia="Times New Roman" w:cs="Arial"/>
          <w:szCs w:val="24"/>
          <w:lang w:eastAsia="en-GB"/>
        </w:rPr>
      </w:pPr>
      <w:r>
        <w:rPr>
          <w:rFonts w:eastAsia="Times New Roman" w:cs="Arial"/>
          <w:szCs w:val="24"/>
          <w:lang w:eastAsia="en-GB"/>
        </w:rPr>
        <w:br w:type="page"/>
      </w:r>
    </w:p>
    <w:p w14:paraId="2CD83EB1" w14:textId="77777777" w:rsidR="0032728F" w:rsidRDefault="0032728F" w:rsidP="00844E60">
      <w:pPr>
        <w:spacing w:after="0" w:line="240" w:lineRule="auto"/>
        <w:ind w:left="0"/>
        <w:rPr>
          <w:rFonts w:eastAsia="Times New Roman" w:cs="Arial"/>
          <w:szCs w:val="24"/>
          <w:lang w:eastAsia="en-GB"/>
        </w:rPr>
      </w:pPr>
    </w:p>
    <w:p w14:paraId="50AA5505" w14:textId="77777777" w:rsidR="0032728F" w:rsidRDefault="0032728F" w:rsidP="00844E60">
      <w:pPr>
        <w:spacing w:after="0" w:line="240" w:lineRule="auto"/>
        <w:ind w:left="0"/>
        <w:rPr>
          <w:rFonts w:eastAsia="Times New Roman" w:cs="Arial"/>
          <w:szCs w:val="24"/>
          <w:lang w:eastAsia="en-GB"/>
        </w:rPr>
      </w:pPr>
    </w:p>
    <w:p w14:paraId="318C84FF" w14:textId="0E44520D" w:rsidR="0032728F" w:rsidRPr="001947E9" w:rsidRDefault="0032728F" w:rsidP="00844E60">
      <w:pPr>
        <w:tabs>
          <w:tab w:val="left" w:pos="3544"/>
        </w:tabs>
        <w:spacing w:after="0" w:line="240" w:lineRule="auto"/>
        <w:ind w:left="0"/>
        <w:rPr>
          <w:rFonts w:eastAsia="Times New Roman" w:cs="Arial"/>
          <w:szCs w:val="24"/>
          <w:lang w:eastAsia="en-GB"/>
        </w:rPr>
      </w:pPr>
      <w:r w:rsidRPr="001947E9">
        <w:rPr>
          <w:rFonts w:eastAsia="Times New Roman" w:cs="Arial"/>
          <w:szCs w:val="24"/>
          <w:lang w:eastAsia="en-GB"/>
        </w:rPr>
        <w:t xml:space="preserve">Date of </w:t>
      </w:r>
      <w:r w:rsidR="00737613" w:rsidRPr="001947E9">
        <w:rPr>
          <w:rFonts w:eastAsia="Times New Roman" w:cs="Arial"/>
          <w:szCs w:val="24"/>
          <w:lang w:eastAsia="en-GB"/>
        </w:rPr>
        <w:t>hearing</w:t>
      </w:r>
      <w:r w:rsidRPr="001947E9">
        <w:rPr>
          <w:rFonts w:eastAsia="Times New Roman" w:cs="Arial"/>
          <w:szCs w:val="24"/>
          <w:lang w:eastAsia="en-GB"/>
        </w:rPr>
        <w:t xml:space="preserve">: </w:t>
      </w:r>
      <w:r w:rsidRPr="001947E9">
        <w:rPr>
          <w:rFonts w:eastAsia="Times New Roman" w:cs="Arial"/>
          <w:szCs w:val="24"/>
          <w:lang w:eastAsia="en-GB"/>
        </w:rPr>
        <w:tab/>
      </w:r>
      <w:r w:rsidR="00B41DF7">
        <w:rPr>
          <w:rFonts w:eastAsia="Times New Roman" w:cs="Arial"/>
          <w:szCs w:val="24"/>
          <w:lang w:eastAsia="en-GB"/>
        </w:rPr>
        <w:t>14</w:t>
      </w:r>
      <w:r w:rsidR="009D4739">
        <w:rPr>
          <w:rFonts w:eastAsia="Times New Roman" w:cs="Arial"/>
          <w:szCs w:val="24"/>
          <w:lang w:eastAsia="en-GB"/>
        </w:rPr>
        <w:t xml:space="preserve"> November </w:t>
      </w:r>
      <w:r w:rsidRPr="001947E9">
        <w:rPr>
          <w:rFonts w:eastAsia="Times New Roman" w:cs="Arial"/>
          <w:szCs w:val="24"/>
          <w:lang w:eastAsia="en-GB"/>
        </w:rPr>
        <w:t>2023</w:t>
      </w:r>
    </w:p>
    <w:p w14:paraId="76D6FEDA" w14:textId="77777777" w:rsidR="0032728F" w:rsidRPr="001947E9" w:rsidRDefault="0032728F" w:rsidP="00844E60">
      <w:pPr>
        <w:tabs>
          <w:tab w:val="left" w:pos="3544"/>
        </w:tabs>
        <w:spacing w:after="0" w:line="240" w:lineRule="auto"/>
        <w:ind w:left="0"/>
        <w:rPr>
          <w:rFonts w:eastAsia="Times New Roman" w:cs="Arial"/>
          <w:szCs w:val="24"/>
          <w:lang w:eastAsia="en-GB"/>
        </w:rPr>
      </w:pPr>
    </w:p>
    <w:p w14:paraId="30FBF7B1" w14:textId="4C39F711" w:rsidR="0032728F" w:rsidRPr="001947E9" w:rsidRDefault="0032728F" w:rsidP="00844E60">
      <w:pPr>
        <w:tabs>
          <w:tab w:val="left" w:pos="3544"/>
        </w:tabs>
        <w:spacing w:after="0" w:line="240" w:lineRule="auto"/>
        <w:ind w:left="0"/>
        <w:rPr>
          <w:rFonts w:eastAsia="Times New Roman" w:cs="Arial"/>
          <w:szCs w:val="24"/>
          <w:lang w:eastAsia="en-GB"/>
        </w:rPr>
      </w:pPr>
      <w:r w:rsidRPr="001947E9">
        <w:rPr>
          <w:rFonts w:eastAsia="Times New Roman" w:cs="Arial"/>
          <w:szCs w:val="24"/>
          <w:lang w:eastAsia="en-GB"/>
        </w:rPr>
        <w:t xml:space="preserve">Date of </w:t>
      </w:r>
      <w:r w:rsidR="00737613" w:rsidRPr="001947E9">
        <w:rPr>
          <w:rFonts w:eastAsia="Times New Roman" w:cs="Arial"/>
          <w:szCs w:val="24"/>
          <w:lang w:eastAsia="en-GB"/>
        </w:rPr>
        <w:t>judgment</w:t>
      </w:r>
      <w:r w:rsidRPr="001947E9">
        <w:rPr>
          <w:rFonts w:eastAsia="Times New Roman" w:cs="Arial"/>
          <w:szCs w:val="24"/>
          <w:lang w:eastAsia="en-GB"/>
        </w:rPr>
        <w:t>:</w:t>
      </w:r>
      <w:r w:rsidRPr="001947E9">
        <w:rPr>
          <w:rFonts w:eastAsia="Times New Roman" w:cs="Arial"/>
          <w:szCs w:val="24"/>
          <w:lang w:eastAsia="en-GB"/>
        </w:rPr>
        <w:tab/>
      </w:r>
      <w:r w:rsidR="00106044">
        <w:rPr>
          <w:rFonts w:eastAsia="Times New Roman" w:cs="Arial"/>
          <w:szCs w:val="24"/>
          <w:lang w:eastAsia="en-GB"/>
        </w:rPr>
        <w:t>26 April 2024</w:t>
      </w:r>
    </w:p>
    <w:p w14:paraId="4D5A1CF0" w14:textId="77777777" w:rsidR="0032728F" w:rsidRPr="001947E9" w:rsidRDefault="0032728F" w:rsidP="00844E60">
      <w:pPr>
        <w:tabs>
          <w:tab w:val="left" w:pos="3544"/>
        </w:tabs>
        <w:spacing w:after="0" w:line="240" w:lineRule="auto"/>
        <w:ind w:left="0"/>
        <w:rPr>
          <w:rFonts w:eastAsia="Times New Roman" w:cs="Arial"/>
          <w:szCs w:val="24"/>
          <w:lang w:eastAsia="en-GB"/>
        </w:rPr>
      </w:pPr>
    </w:p>
    <w:p w14:paraId="151502A6" w14:textId="77777777" w:rsidR="0032728F" w:rsidRPr="005A2A57" w:rsidRDefault="0032728F" w:rsidP="00844E60">
      <w:pPr>
        <w:tabs>
          <w:tab w:val="left" w:pos="3544"/>
        </w:tabs>
        <w:spacing w:after="0" w:line="240" w:lineRule="auto"/>
        <w:ind w:left="0"/>
        <w:rPr>
          <w:rFonts w:eastAsia="Times New Roman" w:cs="Arial"/>
          <w:b/>
          <w:bCs/>
          <w:szCs w:val="24"/>
          <w:lang w:eastAsia="en-GB"/>
        </w:rPr>
      </w:pPr>
      <w:r w:rsidRPr="005A2A57">
        <w:rPr>
          <w:rFonts w:eastAsia="Times New Roman" w:cs="Arial"/>
          <w:b/>
          <w:bCs/>
          <w:szCs w:val="24"/>
          <w:lang w:eastAsia="en-GB"/>
        </w:rPr>
        <w:t>APPEARANCES</w:t>
      </w:r>
    </w:p>
    <w:p w14:paraId="62135D83" w14:textId="77777777" w:rsidR="0032728F" w:rsidRPr="001947E9" w:rsidRDefault="0032728F" w:rsidP="00844E60">
      <w:pPr>
        <w:tabs>
          <w:tab w:val="left" w:pos="3544"/>
        </w:tabs>
        <w:spacing w:after="0" w:line="240" w:lineRule="auto"/>
        <w:ind w:left="0"/>
        <w:rPr>
          <w:rFonts w:eastAsia="Times New Roman" w:cs="Arial"/>
          <w:szCs w:val="24"/>
          <w:lang w:eastAsia="en-GB"/>
        </w:rPr>
      </w:pPr>
    </w:p>
    <w:p w14:paraId="1BF7682C" w14:textId="62D41925" w:rsidR="0032728F" w:rsidRPr="001947E9" w:rsidRDefault="0032728F" w:rsidP="00844E60">
      <w:pPr>
        <w:tabs>
          <w:tab w:val="left" w:pos="3544"/>
        </w:tabs>
        <w:spacing w:after="0"/>
        <w:ind w:left="0"/>
        <w:rPr>
          <w:rFonts w:eastAsia="Times New Roman" w:cs="Arial"/>
          <w:szCs w:val="24"/>
          <w:lang w:eastAsia="en-GB"/>
        </w:rPr>
      </w:pPr>
      <w:r w:rsidRPr="001947E9">
        <w:rPr>
          <w:rFonts w:eastAsia="Times New Roman" w:cs="Arial"/>
          <w:szCs w:val="24"/>
          <w:lang w:eastAsia="en-GB"/>
        </w:rPr>
        <w:t xml:space="preserve">For the </w:t>
      </w:r>
      <w:r w:rsidR="00B519E7">
        <w:rPr>
          <w:rFonts w:eastAsia="Times New Roman" w:cs="Arial"/>
          <w:szCs w:val="24"/>
          <w:lang w:eastAsia="en-GB"/>
        </w:rPr>
        <w:t>applicant</w:t>
      </w:r>
      <w:r w:rsidRPr="001947E9">
        <w:rPr>
          <w:rFonts w:eastAsia="Times New Roman" w:cs="Arial"/>
          <w:szCs w:val="24"/>
          <w:lang w:eastAsia="en-GB"/>
        </w:rPr>
        <w:t>:</w:t>
      </w:r>
      <w:r w:rsidRPr="001947E9">
        <w:rPr>
          <w:rFonts w:eastAsia="Times New Roman" w:cs="Arial"/>
          <w:szCs w:val="24"/>
          <w:lang w:eastAsia="en-GB"/>
        </w:rPr>
        <w:tab/>
      </w:r>
      <w:r>
        <w:t>Adv</w:t>
      </w:r>
      <w:r w:rsidR="00B519E7">
        <w:t>ocate</w:t>
      </w:r>
      <w:r>
        <w:t xml:space="preserve"> </w:t>
      </w:r>
      <w:r w:rsidR="00114873">
        <w:t>K Mashishi</w:t>
      </w:r>
    </w:p>
    <w:p w14:paraId="6AED2A41" w14:textId="14FA3680" w:rsidR="0032728F" w:rsidRDefault="0032728F" w:rsidP="00844E60">
      <w:pPr>
        <w:tabs>
          <w:tab w:val="left" w:pos="3544"/>
        </w:tabs>
        <w:spacing w:after="0"/>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00114873">
        <w:rPr>
          <w:rFonts w:eastAsia="Times New Roman" w:cs="Arial"/>
          <w:szCs w:val="24"/>
          <w:lang w:eastAsia="en-GB"/>
        </w:rPr>
        <w:t>Edward Nathan Sonnenberg</w:t>
      </w:r>
      <w:r w:rsidR="00563493">
        <w:rPr>
          <w:rFonts w:eastAsia="Times New Roman" w:cs="Arial"/>
          <w:szCs w:val="24"/>
          <w:lang w:eastAsia="en-GB"/>
        </w:rPr>
        <w:t xml:space="preserve"> Inc</w:t>
      </w:r>
      <w:r w:rsidR="002A3C86">
        <w:rPr>
          <w:rFonts w:eastAsia="Times New Roman" w:cs="Arial"/>
          <w:szCs w:val="24"/>
          <w:lang w:eastAsia="en-GB"/>
        </w:rPr>
        <w:t>.</w:t>
      </w:r>
    </w:p>
    <w:p w14:paraId="7D6423F1" w14:textId="4BD545F3" w:rsidR="0032728F" w:rsidRPr="001947E9" w:rsidRDefault="0032728F" w:rsidP="00844E60">
      <w:pPr>
        <w:tabs>
          <w:tab w:val="left" w:pos="3544"/>
        </w:tabs>
        <w:spacing w:after="0"/>
        <w:ind w:left="0"/>
        <w:rPr>
          <w:rFonts w:eastAsia="Times New Roman" w:cs="Arial"/>
          <w:szCs w:val="24"/>
          <w:lang w:eastAsia="en-GB"/>
        </w:rPr>
      </w:pPr>
      <w:r w:rsidRPr="001947E9">
        <w:rPr>
          <w:rFonts w:eastAsia="Times New Roman" w:cs="Arial"/>
          <w:szCs w:val="24"/>
          <w:lang w:eastAsia="en-GB"/>
        </w:rPr>
        <w:tab/>
      </w:r>
    </w:p>
    <w:p w14:paraId="2FC3FF94" w14:textId="109090BC" w:rsidR="0032728F" w:rsidRPr="0032728F" w:rsidRDefault="0032728F" w:rsidP="00844E60">
      <w:pPr>
        <w:tabs>
          <w:tab w:val="left" w:pos="3544"/>
        </w:tabs>
        <w:spacing w:after="0"/>
        <w:ind w:left="0"/>
        <w:rPr>
          <w:rFonts w:eastAsia="Times New Roman" w:cs="Arial"/>
          <w:szCs w:val="24"/>
          <w:lang w:eastAsia="en-GB"/>
        </w:rPr>
      </w:pPr>
      <w:r w:rsidRPr="001947E9">
        <w:rPr>
          <w:rFonts w:eastAsia="Times New Roman" w:cs="Arial"/>
          <w:szCs w:val="24"/>
          <w:lang w:eastAsia="en-GB"/>
        </w:rPr>
        <w:t xml:space="preserve">For the </w:t>
      </w:r>
      <w:r w:rsidR="00B519E7">
        <w:rPr>
          <w:rFonts w:eastAsia="Times New Roman" w:cs="Arial"/>
          <w:szCs w:val="24"/>
          <w:lang w:eastAsia="en-GB"/>
        </w:rPr>
        <w:t>respondent</w:t>
      </w:r>
      <w:r w:rsidRPr="001947E9">
        <w:rPr>
          <w:rFonts w:eastAsia="Times New Roman" w:cs="Arial"/>
          <w:szCs w:val="24"/>
          <w:lang w:eastAsia="en-GB"/>
        </w:rPr>
        <w:t>:</w:t>
      </w:r>
      <w:r w:rsidRPr="001947E9">
        <w:rPr>
          <w:rFonts w:eastAsia="Times New Roman" w:cs="Arial"/>
          <w:szCs w:val="24"/>
          <w:lang w:eastAsia="en-GB"/>
        </w:rPr>
        <w:tab/>
      </w:r>
      <w:r w:rsidR="002A3C86">
        <w:rPr>
          <w:rFonts w:eastAsia="Times New Roman" w:cs="Arial"/>
          <w:szCs w:val="24"/>
          <w:lang w:eastAsia="en-GB"/>
        </w:rPr>
        <w:t xml:space="preserve">Mr </w:t>
      </w:r>
      <w:r w:rsidR="002A3C86" w:rsidRPr="002F318B">
        <w:t>SM</w:t>
      </w:r>
      <w:r w:rsidR="002A3C86">
        <w:rPr>
          <w:rFonts w:eastAsia="Times New Roman" w:cs="Arial"/>
          <w:szCs w:val="24"/>
          <w:lang w:eastAsia="en-GB"/>
        </w:rPr>
        <w:t xml:space="preserve"> Ndobe</w:t>
      </w:r>
    </w:p>
    <w:p w14:paraId="4352F29E" w14:textId="3A449BBA" w:rsidR="0032728F" w:rsidRDefault="0032728F" w:rsidP="00844E60">
      <w:pPr>
        <w:tabs>
          <w:tab w:val="left" w:pos="3544"/>
        </w:tabs>
        <w:spacing w:after="0"/>
        <w:ind w:left="0"/>
        <w:rPr>
          <w:lang w:eastAsia="en-GB"/>
        </w:rPr>
      </w:pPr>
      <w:r>
        <w:rPr>
          <w:lang w:eastAsia="en-GB"/>
        </w:rPr>
        <w:t xml:space="preserve">Instructed by:             </w:t>
      </w:r>
      <w:r w:rsidR="00737613">
        <w:rPr>
          <w:lang w:eastAsia="en-GB"/>
        </w:rPr>
        <w:tab/>
      </w:r>
      <w:r w:rsidR="002A3C86" w:rsidRPr="002F318B">
        <w:rPr>
          <w:rFonts w:eastAsia="Times New Roman" w:cs="Arial"/>
          <w:szCs w:val="24"/>
          <w:lang w:eastAsia="en-GB"/>
        </w:rPr>
        <w:t>Ndobe</w:t>
      </w:r>
      <w:r w:rsidR="002A3C86">
        <w:rPr>
          <w:lang w:eastAsia="en-GB"/>
        </w:rPr>
        <w:t xml:space="preserve"> Inc.</w:t>
      </w:r>
    </w:p>
    <w:p w14:paraId="75170F4D" w14:textId="77777777" w:rsidR="00677A8F" w:rsidRPr="00677A8F" w:rsidRDefault="00677A8F" w:rsidP="00677A8F">
      <w:pPr>
        <w:pStyle w:val="JudgmentNumbered"/>
        <w:numPr>
          <w:ilvl w:val="0"/>
          <w:numId w:val="0"/>
        </w:numPr>
        <w:ind w:left="567" w:hanging="567"/>
        <w:rPr>
          <w:lang w:eastAsia="en-GB"/>
        </w:rPr>
      </w:pPr>
    </w:p>
    <w:sectPr w:rsidR="00677A8F" w:rsidRPr="00677A8F" w:rsidSect="00273206">
      <w:headerReference w:type="default" r:id="rId14"/>
      <w:endnotePr>
        <w:numFmt w:val="decimal"/>
      </w:endnotePr>
      <w:type w:val="continuous"/>
      <w:pgSz w:w="11907" w:h="16839"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0D4A8" w14:textId="77777777" w:rsidR="00273206" w:rsidRDefault="00273206" w:rsidP="00A54F0F">
      <w:pPr>
        <w:spacing w:after="0" w:line="240" w:lineRule="auto"/>
        <w:ind w:left="0"/>
      </w:pPr>
      <w:r>
        <w:separator/>
      </w:r>
    </w:p>
  </w:endnote>
  <w:endnote w:type="continuationSeparator" w:id="0">
    <w:p w14:paraId="199CF37E" w14:textId="77777777" w:rsidR="00273206" w:rsidRDefault="00273206" w:rsidP="00E469E1">
      <w:pPr>
        <w:spacing w:after="0" w:line="240" w:lineRule="auto"/>
      </w:pPr>
      <w:r>
        <w:continuationSeparator/>
      </w:r>
    </w:p>
  </w:endnote>
  <w:endnote w:id="1">
    <w:p w14:paraId="432A0B53" w14:textId="3CC56A01" w:rsidR="00A54F0F" w:rsidRPr="00B84883" w:rsidRDefault="00A54F0F" w:rsidP="00370CC9">
      <w:pPr>
        <w:pStyle w:val="EndnoteText"/>
        <w:tabs>
          <w:tab w:val="left" w:pos="426"/>
        </w:tabs>
        <w:ind w:left="426" w:hanging="426"/>
        <w:rPr>
          <w:rFonts w:cs="Arial"/>
          <w:lang w:val="en-US"/>
        </w:rPr>
      </w:pPr>
      <w:r w:rsidRPr="00A54F0F">
        <w:rPr>
          <w:rStyle w:val="EndnoteReference"/>
          <w:rFonts w:cs="Arial"/>
          <w:sz w:val="20"/>
        </w:rPr>
        <w:endnoteRef/>
      </w:r>
      <w:r w:rsidRPr="00B413E3">
        <w:rPr>
          <w:rFonts w:cs="Arial"/>
        </w:rPr>
        <w:t xml:space="preserve"> </w:t>
      </w:r>
      <w:r w:rsidRPr="00370CC9">
        <w:rPr>
          <w:rFonts w:cs="Arial"/>
          <w:color w:val="000000"/>
          <w:shd w:val="clear" w:color="auto" w:fill="FFFFFF"/>
        </w:rPr>
        <w:t> </w:t>
      </w:r>
      <w:r>
        <w:rPr>
          <w:rFonts w:cs="Arial"/>
          <w:color w:val="000000"/>
          <w:shd w:val="clear" w:color="auto" w:fill="FFFFFF"/>
        </w:rPr>
        <w:tab/>
      </w:r>
      <w:r w:rsidRPr="00A54F0F">
        <w:rPr>
          <w:rFonts w:cs="Arial"/>
          <w:i/>
          <w:iCs/>
          <w:color w:val="000000"/>
          <w:shd w:val="clear" w:color="auto" w:fill="FFFFFF"/>
        </w:rPr>
        <w:t xml:space="preserve">Ferris v FirstRand Bank Ltd </w:t>
      </w:r>
      <w:r w:rsidRPr="00A54F0F">
        <w:rPr>
          <w:rFonts w:cs="Arial"/>
          <w:color w:val="000000"/>
          <w:shd w:val="clear" w:color="auto" w:fill="FFFFFF"/>
        </w:rPr>
        <w:t>2014 (3) SA 39 (CC), at 43G–44A</w:t>
      </w:r>
      <w:r w:rsidRPr="00B84883">
        <w:rPr>
          <w:rFonts w:cs="Arial"/>
          <w:color w:val="000000"/>
          <w:shd w:val="clear" w:color="auto" w:fill="FFFFFF"/>
        </w:rPr>
        <w:t>.</w:t>
      </w:r>
    </w:p>
  </w:endnote>
  <w:endnote w:id="2">
    <w:p w14:paraId="67875655" w14:textId="1DE6FB68" w:rsidR="00A54F0F" w:rsidRPr="00B84883" w:rsidRDefault="00A54F0F" w:rsidP="00370CC9">
      <w:pPr>
        <w:pStyle w:val="Heading2"/>
        <w:tabs>
          <w:tab w:val="left" w:pos="426"/>
        </w:tabs>
        <w:spacing w:before="0" w:beforeAutospacing="0" w:after="0" w:afterAutospacing="0"/>
        <w:ind w:left="426" w:hanging="426"/>
        <w:jc w:val="both"/>
        <w:rPr>
          <w:rFonts w:cs="Arial"/>
          <w:sz w:val="20"/>
          <w:szCs w:val="20"/>
          <w:lang w:val="en-US"/>
        </w:rPr>
      </w:pPr>
      <w:r w:rsidRPr="00B84883">
        <w:rPr>
          <w:rStyle w:val="EndnoteReference"/>
          <w:rFonts w:cs="Arial"/>
          <w:b w:val="0"/>
          <w:bCs w:val="0"/>
          <w:sz w:val="20"/>
          <w:szCs w:val="20"/>
        </w:rPr>
        <w:endnoteRef/>
      </w:r>
      <w:r w:rsidRPr="00B84883">
        <w:rPr>
          <w:rFonts w:ascii="Arial" w:hAnsi="Arial" w:cs="Arial"/>
          <w:b w:val="0"/>
          <w:bCs w:val="0"/>
          <w:sz w:val="20"/>
          <w:szCs w:val="20"/>
        </w:rPr>
        <w:t xml:space="preserve"> </w:t>
      </w:r>
      <w:r w:rsidRPr="00B84883">
        <w:rPr>
          <w:rFonts w:ascii="Arial" w:hAnsi="Arial" w:cs="Arial"/>
          <w:b w:val="0"/>
          <w:sz w:val="20"/>
          <w:szCs w:val="20"/>
        </w:rPr>
        <w:tab/>
      </w:r>
      <w:r w:rsidRPr="00B84883">
        <w:rPr>
          <w:rFonts w:ascii="Arial" w:hAnsi="Arial" w:cs="Arial"/>
          <w:b w:val="0"/>
          <w:bCs w:val="0"/>
          <w:i/>
          <w:iCs/>
          <w:sz w:val="20"/>
          <w:szCs w:val="20"/>
          <w:lang w:val="en-US"/>
        </w:rPr>
        <w:t>S v Rosenthal</w:t>
      </w:r>
      <w:r w:rsidRPr="00B84883">
        <w:rPr>
          <w:rFonts w:ascii="Arial" w:hAnsi="Arial" w:cs="Arial"/>
          <w:b w:val="0"/>
          <w:bCs w:val="0"/>
          <w:sz w:val="20"/>
          <w:szCs w:val="20"/>
          <w:lang w:val="en-US"/>
        </w:rPr>
        <w:t xml:space="preserve"> 1980 (1) SA 65 (AD), see 75G–81A; </w:t>
      </w:r>
      <w:r w:rsidRPr="00B84883">
        <w:rPr>
          <w:rFonts w:ascii="Arial" w:hAnsi="Arial" w:cs="Arial"/>
          <w:b w:val="0"/>
          <w:bCs w:val="0"/>
          <w:i/>
          <w:iCs/>
          <w:color w:val="000000" w:themeColor="text1"/>
          <w:sz w:val="20"/>
          <w:szCs w:val="20"/>
          <w:lang w:eastAsia="en-GB"/>
        </w:rPr>
        <w:t>Eastern Cape Parks and Tourism Agency v Medbury (Pty) Ltd t/a Crown River Safari</w:t>
      </w:r>
      <w:r w:rsidRPr="00B84883">
        <w:rPr>
          <w:rFonts w:ascii="Arial" w:hAnsi="Arial" w:cs="Arial"/>
          <w:b w:val="0"/>
          <w:bCs w:val="0"/>
          <w:color w:val="000000" w:themeColor="text1"/>
          <w:sz w:val="20"/>
          <w:szCs w:val="20"/>
          <w:lang w:eastAsia="en-GB"/>
        </w:rPr>
        <w:t xml:space="preserve"> 2018 (4) SA 206 (SCA).</w:t>
      </w:r>
      <w:r w:rsidRPr="00B84883">
        <w:rPr>
          <w:rFonts w:ascii="Arial" w:hAnsi="Arial" w:cs="Arial"/>
          <w:color w:val="64473A"/>
          <w:sz w:val="20"/>
          <w:szCs w:val="20"/>
          <w:lang w:eastAsia="en-GB"/>
        </w:rPr>
        <w:t> </w:t>
      </w:r>
    </w:p>
  </w:endnote>
  <w:endnote w:id="3">
    <w:p w14:paraId="3722FD12" w14:textId="11AAF341" w:rsidR="000D6BBD" w:rsidRPr="00B84883" w:rsidRDefault="000D6BBD" w:rsidP="000D6BBD">
      <w:pPr>
        <w:pStyle w:val="Heading2"/>
        <w:tabs>
          <w:tab w:val="left" w:pos="426"/>
        </w:tabs>
        <w:spacing w:before="0" w:beforeAutospacing="0" w:after="0" w:afterAutospacing="0"/>
        <w:ind w:left="426" w:hanging="426"/>
        <w:jc w:val="both"/>
        <w:rPr>
          <w:rFonts w:ascii="Arial" w:hAnsi="Arial" w:cs="Arial"/>
          <w:b w:val="0"/>
          <w:sz w:val="20"/>
          <w:szCs w:val="20"/>
          <w:lang w:val="en-US"/>
        </w:rPr>
      </w:pPr>
      <w:r w:rsidRPr="00B84883">
        <w:rPr>
          <w:rStyle w:val="EndnoteReference"/>
          <w:rFonts w:cs="Arial"/>
          <w:b w:val="0"/>
          <w:sz w:val="20"/>
          <w:szCs w:val="20"/>
        </w:rPr>
        <w:endnoteRef/>
      </w:r>
      <w:r w:rsidRPr="00B84883">
        <w:rPr>
          <w:rFonts w:ascii="Arial" w:hAnsi="Arial" w:cs="Arial"/>
          <w:b w:val="0"/>
          <w:sz w:val="20"/>
          <w:szCs w:val="20"/>
        </w:rPr>
        <w:t xml:space="preserve"> </w:t>
      </w:r>
      <w:r w:rsidRPr="00B84883">
        <w:rPr>
          <w:rFonts w:ascii="Arial" w:hAnsi="Arial" w:cs="Arial"/>
          <w:b w:val="0"/>
          <w:sz w:val="20"/>
          <w:szCs w:val="20"/>
        </w:rPr>
        <w:tab/>
      </w:r>
      <w:r w:rsidRPr="00B84883">
        <w:rPr>
          <w:rFonts w:ascii="Arial" w:hAnsi="Arial" w:cs="Arial"/>
          <w:b w:val="0"/>
          <w:sz w:val="20"/>
          <w:szCs w:val="20"/>
          <w:lang w:val="en-US"/>
        </w:rPr>
        <w:t>1978 (1) SA 70 (D), at 71.</w:t>
      </w:r>
    </w:p>
  </w:endnote>
  <w:endnote w:id="4">
    <w:p w14:paraId="2AE00B2B" w14:textId="6FF2C406" w:rsidR="000D6BBD" w:rsidRPr="00B84883" w:rsidRDefault="000D6BBD" w:rsidP="000D6BBD">
      <w:pPr>
        <w:pStyle w:val="Heading2"/>
        <w:tabs>
          <w:tab w:val="left" w:pos="426"/>
        </w:tabs>
        <w:spacing w:before="0" w:beforeAutospacing="0" w:after="0" w:afterAutospacing="0"/>
        <w:ind w:left="426" w:hanging="426"/>
        <w:jc w:val="both"/>
        <w:rPr>
          <w:rFonts w:ascii="Arial" w:hAnsi="Arial" w:cs="Arial"/>
          <w:sz w:val="20"/>
          <w:szCs w:val="20"/>
          <w:lang w:val="en-US"/>
        </w:rPr>
      </w:pPr>
      <w:r w:rsidRPr="00B84883">
        <w:rPr>
          <w:rStyle w:val="EndnoteReference"/>
          <w:rFonts w:cs="Arial"/>
          <w:b w:val="0"/>
          <w:sz w:val="20"/>
          <w:szCs w:val="20"/>
        </w:rPr>
        <w:endnoteRef/>
      </w:r>
      <w:r w:rsidRPr="00B84883">
        <w:rPr>
          <w:rFonts w:ascii="Arial" w:hAnsi="Arial" w:cs="Arial"/>
          <w:b w:val="0"/>
          <w:sz w:val="20"/>
          <w:szCs w:val="20"/>
        </w:rPr>
        <w:t xml:space="preserve"> </w:t>
      </w:r>
      <w:r w:rsidRPr="00B84883">
        <w:rPr>
          <w:rFonts w:ascii="Arial" w:hAnsi="Arial" w:cs="Arial"/>
          <w:b w:val="0"/>
          <w:sz w:val="20"/>
          <w:szCs w:val="20"/>
        </w:rPr>
        <w:tab/>
      </w:r>
      <w:r w:rsidRPr="00B84883">
        <w:rPr>
          <w:rFonts w:ascii="Arial" w:hAnsi="Arial" w:cs="Arial"/>
          <w:b w:val="0"/>
          <w:i/>
          <w:iCs/>
          <w:sz w:val="20"/>
          <w:szCs w:val="20"/>
          <w:lang w:val="en-US"/>
        </w:rPr>
        <w:t>Phase Electric Co (Pty) Ltd v Ziman’s Electrical Sales (Pty) Ltd</w:t>
      </w:r>
      <w:r w:rsidRPr="00B84883">
        <w:rPr>
          <w:rFonts w:ascii="Arial" w:hAnsi="Arial" w:cs="Arial"/>
          <w:b w:val="0"/>
          <w:sz w:val="20"/>
          <w:szCs w:val="20"/>
          <w:lang w:val="en-US"/>
        </w:rPr>
        <w:t xml:space="preserve"> 1973 (3) SA 914 (W), at 917.</w:t>
      </w:r>
    </w:p>
  </w:endnote>
  <w:endnote w:id="5">
    <w:p w14:paraId="67BD786D" w14:textId="2F60DBA8" w:rsidR="00BF552D" w:rsidRPr="00C9470D" w:rsidRDefault="00BF552D" w:rsidP="00BF552D">
      <w:pPr>
        <w:pStyle w:val="EndnoteText"/>
        <w:ind w:left="426" w:hanging="426"/>
        <w:rPr>
          <w:lang w:val="en-US"/>
        </w:rPr>
      </w:pPr>
      <w:r>
        <w:rPr>
          <w:rStyle w:val="EndnoteReference"/>
        </w:rPr>
        <w:endnoteRef/>
      </w:r>
      <w:r>
        <w:t xml:space="preserve"> </w:t>
      </w:r>
      <w:r>
        <w:tab/>
      </w:r>
      <w:r>
        <w:rPr>
          <w:lang w:val="en-US"/>
        </w:rPr>
        <w:t>1962 (4) SA 593 (D).</w:t>
      </w:r>
    </w:p>
  </w:endnote>
  <w:endnote w:id="6">
    <w:p w14:paraId="6721C36C" w14:textId="29F4F8D0" w:rsidR="00F72950" w:rsidRPr="002E55F5" w:rsidRDefault="00F72950" w:rsidP="00F72950">
      <w:pPr>
        <w:pStyle w:val="EndnoteText"/>
        <w:ind w:left="426" w:hanging="426"/>
        <w:rPr>
          <w:lang w:val="en-US"/>
        </w:rPr>
      </w:pPr>
      <w:r>
        <w:rPr>
          <w:rStyle w:val="EndnoteReference"/>
        </w:rPr>
        <w:endnoteRef/>
      </w:r>
      <w:r>
        <w:t xml:space="preserve"> </w:t>
      </w:r>
      <w:r>
        <w:tab/>
      </w:r>
      <w:r>
        <w:rPr>
          <w:lang w:val="en-US"/>
        </w:rPr>
        <w:t>At p 597.</w:t>
      </w:r>
    </w:p>
  </w:endnote>
  <w:endnote w:id="7">
    <w:p w14:paraId="045CF6A3" w14:textId="77777777" w:rsidR="00046EE1" w:rsidRPr="00B84883" w:rsidRDefault="00046EE1" w:rsidP="00046EE1">
      <w:pPr>
        <w:pStyle w:val="EndnoteText"/>
        <w:tabs>
          <w:tab w:val="left" w:pos="426"/>
        </w:tabs>
        <w:ind w:left="426" w:hanging="426"/>
        <w:rPr>
          <w:lang w:val="en-US"/>
        </w:rPr>
      </w:pPr>
      <w:r w:rsidRPr="00B84883">
        <w:rPr>
          <w:rStyle w:val="EndnoteReference"/>
          <w:sz w:val="20"/>
        </w:rPr>
        <w:endnoteRef/>
      </w:r>
      <w:r w:rsidRPr="00B84883">
        <w:rPr>
          <w:rFonts w:cs="Arial"/>
        </w:rPr>
        <w:t xml:space="preserve"> </w:t>
      </w:r>
      <w:r w:rsidRPr="00B84883">
        <w:rPr>
          <w:rFonts w:cs="Arial"/>
        </w:rPr>
        <w:tab/>
      </w:r>
      <w:r w:rsidRPr="00B84883">
        <w:rPr>
          <w:rFonts w:cs="Arial"/>
          <w:i/>
          <w:iCs/>
          <w:lang w:val="en-ZA"/>
        </w:rPr>
        <w:t xml:space="preserve">Western Assurance Co </w:t>
      </w:r>
      <w:r w:rsidRPr="00B84883">
        <w:rPr>
          <w:rFonts w:cs="Arial"/>
          <w:lang w:val="en-ZA"/>
        </w:rPr>
        <w:t xml:space="preserve">v </w:t>
      </w:r>
      <w:r w:rsidRPr="00B84883">
        <w:rPr>
          <w:rFonts w:cs="Arial"/>
          <w:i/>
          <w:iCs/>
          <w:lang w:val="en-ZA"/>
        </w:rPr>
        <w:t xml:space="preserve">Caldwell's Trustee </w:t>
      </w:r>
      <w:r w:rsidRPr="00B84883">
        <w:rPr>
          <w:rFonts w:cs="Arial"/>
          <w:lang w:val="en-ZA"/>
        </w:rPr>
        <w:t>1918 AD 262, at 271.</w:t>
      </w:r>
    </w:p>
  </w:endnote>
  <w:endnote w:id="8">
    <w:p w14:paraId="20697D5B" w14:textId="77777777" w:rsidR="00033F8E" w:rsidRPr="00B84883" w:rsidRDefault="00033F8E" w:rsidP="00033F8E">
      <w:pPr>
        <w:pStyle w:val="EndnoteText"/>
        <w:tabs>
          <w:tab w:val="left" w:pos="426"/>
        </w:tabs>
        <w:ind w:left="426" w:hanging="426"/>
        <w:rPr>
          <w:rFonts w:cs="Arial"/>
          <w:lang w:val="en-ZA"/>
        </w:rPr>
      </w:pPr>
      <w:r w:rsidRPr="00B84883">
        <w:rPr>
          <w:rStyle w:val="EndnoteReference"/>
          <w:rFonts w:cs="Arial"/>
          <w:sz w:val="20"/>
        </w:rPr>
        <w:endnoteRef/>
      </w:r>
      <w:r w:rsidRPr="00B84883">
        <w:rPr>
          <w:rFonts w:cs="Arial"/>
        </w:rPr>
        <w:t xml:space="preserve"> </w:t>
      </w:r>
      <w:r w:rsidRPr="00B84883">
        <w:rPr>
          <w:rFonts w:cs="Arial"/>
        </w:rPr>
        <w:tab/>
        <w:t>1926 AD 312.</w:t>
      </w:r>
    </w:p>
  </w:endnote>
  <w:endnote w:id="9">
    <w:p w14:paraId="09FADF28" w14:textId="47C8263F" w:rsidR="00033F8E" w:rsidRPr="00370CC9" w:rsidRDefault="00033F8E" w:rsidP="00033F8E">
      <w:pPr>
        <w:pStyle w:val="EndnoteText"/>
        <w:ind w:left="426" w:hanging="426"/>
        <w:rPr>
          <w:lang w:val="en-US"/>
        </w:rPr>
      </w:pPr>
      <w:r>
        <w:rPr>
          <w:rStyle w:val="EndnoteReference"/>
        </w:rPr>
        <w:endnoteRef/>
      </w:r>
      <w:r>
        <w:t xml:space="preserve"> </w:t>
      </w:r>
      <w:r>
        <w:tab/>
      </w:r>
      <w:r>
        <w:rPr>
          <w:lang w:val="en-US"/>
        </w:rPr>
        <w:t>At p 319.</w:t>
      </w:r>
    </w:p>
  </w:endnote>
  <w:endnote w:id="10">
    <w:p w14:paraId="2CF1C7D8" w14:textId="77777777" w:rsidR="00C67AF1" w:rsidRPr="00C705AE" w:rsidRDefault="00C67AF1" w:rsidP="00C67AF1">
      <w:pPr>
        <w:pStyle w:val="EndnoteText"/>
        <w:tabs>
          <w:tab w:val="left" w:pos="426"/>
        </w:tabs>
        <w:ind w:left="426" w:hanging="426"/>
        <w:rPr>
          <w:rFonts w:cs="Arial"/>
          <w:lang w:val="en-ZA"/>
        </w:rPr>
      </w:pPr>
      <w:r w:rsidRPr="00370CC9">
        <w:rPr>
          <w:rStyle w:val="EndnoteReference"/>
          <w:rFonts w:cs="Arial"/>
          <w:sz w:val="20"/>
        </w:rPr>
        <w:endnoteRef/>
      </w:r>
      <w:r w:rsidRPr="00B413E3">
        <w:rPr>
          <w:rFonts w:cs="Arial"/>
        </w:rPr>
        <w:t xml:space="preserve"> </w:t>
      </w:r>
      <w:r w:rsidRPr="00B413E3">
        <w:rPr>
          <w:rFonts w:cs="Arial"/>
        </w:rPr>
        <w:tab/>
        <w:t>2023 (2) SA 68 (CC), para 68.</w:t>
      </w:r>
    </w:p>
  </w:endnote>
  <w:endnote w:id="11">
    <w:p w14:paraId="39ED2567" w14:textId="5A0C9656" w:rsidR="00DD7F16" w:rsidRPr="00C67AF1" w:rsidRDefault="00DD7F16" w:rsidP="00DD7F16">
      <w:pPr>
        <w:pStyle w:val="EndnoteText"/>
        <w:ind w:left="426" w:hanging="426"/>
        <w:rPr>
          <w:lang w:val="en-US"/>
        </w:rPr>
      </w:pPr>
      <w:r>
        <w:rPr>
          <w:rStyle w:val="EndnoteReference"/>
        </w:rPr>
        <w:endnoteRef/>
      </w:r>
      <w:r>
        <w:t xml:space="preserve"> </w:t>
      </w:r>
      <w:r>
        <w:tab/>
      </w:r>
      <w:r>
        <w:rPr>
          <w:lang w:val="en-US"/>
        </w:rPr>
        <w:t>At para 68.</w:t>
      </w:r>
    </w:p>
  </w:endnote>
  <w:endnote w:id="12">
    <w:p w14:paraId="286DCACD" w14:textId="78370C5E" w:rsidR="00A54F0F" w:rsidRPr="00A54F0F" w:rsidRDefault="00A54F0F" w:rsidP="00A54F0F">
      <w:pPr>
        <w:pStyle w:val="EndnoteText"/>
        <w:tabs>
          <w:tab w:val="left" w:pos="426"/>
        </w:tabs>
        <w:ind w:left="426" w:hanging="426"/>
        <w:rPr>
          <w:lang w:val="en-US"/>
        </w:rPr>
      </w:pPr>
      <w:r w:rsidRPr="00A54F0F">
        <w:rPr>
          <w:rStyle w:val="EndnoteReference"/>
          <w:sz w:val="20"/>
        </w:rPr>
        <w:endnoteRef/>
      </w:r>
      <w:r w:rsidRPr="00A54F0F">
        <w:rPr>
          <w:rFonts w:cs="Arial"/>
          <w:lang w:val="en-ZA"/>
        </w:rPr>
        <w:t xml:space="preserve"> </w:t>
      </w:r>
      <w:r>
        <w:rPr>
          <w:rFonts w:cs="Arial"/>
          <w:lang w:val="en-ZA"/>
        </w:rPr>
        <w:tab/>
      </w:r>
      <w:r w:rsidRPr="00A54F0F">
        <w:rPr>
          <w:rFonts w:cs="Arial"/>
          <w:lang w:val="en-ZA"/>
        </w:rPr>
        <w:t>2015 (4) SA 449 (WCC).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E05B2" w14:textId="77777777" w:rsidR="00273206" w:rsidRDefault="00273206" w:rsidP="00A54F0F">
      <w:pPr>
        <w:spacing w:after="0" w:line="240" w:lineRule="auto"/>
        <w:ind w:left="0"/>
      </w:pPr>
      <w:r>
        <w:separator/>
      </w:r>
    </w:p>
  </w:footnote>
  <w:footnote w:type="continuationSeparator" w:id="0">
    <w:p w14:paraId="10638462" w14:textId="77777777" w:rsidR="00273206" w:rsidRDefault="00273206" w:rsidP="00E46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rPr>
      <w:id w:val="-636884290"/>
      <w:docPartObj>
        <w:docPartGallery w:val="Page Numbers (Top of Page)"/>
        <w:docPartUnique/>
      </w:docPartObj>
    </w:sdtPr>
    <w:sdtEndPr>
      <w:rPr>
        <w:noProof/>
      </w:rPr>
    </w:sdtEndPr>
    <w:sdtContent>
      <w:p w14:paraId="318EDFD0" w14:textId="54879262" w:rsidR="00A54F0F" w:rsidRPr="00A54F0F" w:rsidRDefault="00A54F0F">
        <w:pPr>
          <w:pStyle w:val="Header"/>
          <w:jc w:val="right"/>
          <w:rPr>
            <w:noProof/>
            <w:sz w:val="22"/>
          </w:rPr>
        </w:pPr>
        <w:r w:rsidRPr="00A54F0F">
          <w:rPr>
            <w:sz w:val="22"/>
          </w:rPr>
          <w:fldChar w:fldCharType="begin"/>
        </w:r>
        <w:r w:rsidRPr="00A54F0F">
          <w:rPr>
            <w:sz w:val="22"/>
          </w:rPr>
          <w:instrText xml:space="preserve"> PAGE   \* MERGEFORMAT </w:instrText>
        </w:r>
        <w:r w:rsidRPr="00A54F0F">
          <w:rPr>
            <w:sz w:val="22"/>
          </w:rPr>
          <w:fldChar w:fldCharType="separate"/>
        </w:r>
        <w:r w:rsidR="00E9421E">
          <w:rPr>
            <w:noProof/>
            <w:sz w:val="22"/>
          </w:rPr>
          <w:t>23</w:t>
        </w:r>
        <w:r w:rsidRPr="00A54F0F">
          <w:rPr>
            <w:noProof/>
            <w:sz w:val="22"/>
          </w:rPr>
          <w:fldChar w:fldCharType="end"/>
        </w:r>
      </w:p>
      <w:p w14:paraId="7139057D" w14:textId="77777777" w:rsidR="00A54F0F" w:rsidRPr="00A54F0F" w:rsidRDefault="00A54F0F">
        <w:pPr>
          <w:pStyle w:val="Header"/>
          <w:jc w:val="right"/>
          <w:rPr>
            <w:noProof/>
            <w:sz w:val="22"/>
          </w:rPr>
        </w:pPr>
      </w:p>
      <w:p w14:paraId="402D77A9" w14:textId="3E738819" w:rsidR="00A54F0F" w:rsidRPr="00A54F0F" w:rsidRDefault="00000000">
        <w:pPr>
          <w:pStyle w:val="Header"/>
          <w:jc w:val="right"/>
          <w:rPr>
            <w:sz w:val="22"/>
          </w:rPr>
        </w:pPr>
      </w:p>
    </w:sdtContent>
  </w:sdt>
  <w:p w14:paraId="0938396A" w14:textId="77777777" w:rsidR="00A54F0F" w:rsidRPr="00A54F0F" w:rsidRDefault="00A54F0F">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A7EA35A"/>
    <w:name w:val="AutoList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F45473B"/>
    <w:multiLevelType w:val="multilevel"/>
    <w:tmpl w:val="A41A07B8"/>
    <w:lvl w:ilvl="0">
      <w:start w:val="1"/>
      <w:numFmt w:val="decimal"/>
      <w:pStyle w:val="JudgmentNumbered"/>
      <w:lvlText w:val="[%1]"/>
      <w:lvlJc w:val="left"/>
      <w:pPr>
        <w:ind w:left="567" w:hanging="567"/>
      </w:pPr>
      <w:rPr>
        <w:rFonts w:hint="default"/>
        <w:i w:val="0"/>
        <w:iCs/>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20F2162C"/>
    <w:multiLevelType w:val="hybridMultilevel"/>
    <w:tmpl w:val="784693A4"/>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num w:numId="1" w16cid:durableId="2021351659">
    <w:abstractNumId w:val="2"/>
  </w:num>
  <w:num w:numId="2" w16cid:durableId="1956057505">
    <w:abstractNumId w:val="1"/>
  </w:num>
  <w:num w:numId="3" w16cid:durableId="1031759047">
    <w:abstractNumId w:val="2"/>
  </w:num>
  <w:num w:numId="4" w16cid:durableId="203568764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zsDQwNzMzMbYwMjVS0lEKTi0uzszPAykwrAUAEJhJZywAAAA="/>
  </w:docVars>
  <w:rsids>
    <w:rsidRoot w:val="00A671BB"/>
    <w:rsid w:val="00000A69"/>
    <w:rsid w:val="00000B6A"/>
    <w:rsid w:val="000013D0"/>
    <w:rsid w:val="000014C7"/>
    <w:rsid w:val="00001984"/>
    <w:rsid w:val="00003539"/>
    <w:rsid w:val="00005FB1"/>
    <w:rsid w:val="0000703B"/>
    <w:rsid w:val="0000712C"/>
    <w:rsid w:val="0001002E"/>
    <w:rsid w:val="00010381"/>
    <w:rsid w:val="00010FA4"/>
    <w:rsid w:val="000119FD"/>
    <w:rsid w:val="00011BB0"/>
    <w:rsid w:val="00014466"/>
    <w:rsid w:val="000145DF"/>
    <w:rsid w:val="00014920"/>
    <w:rsid w:val="0001616D"/>
    <w:rsid w:val="000170D0"/>
    <w:rsid w:val="000174B2"/>
    <w:rsid w:val="00021CA6"/>
    <w:rsid w:val="00022F64"/>
    <w:rsid w:val="00023ABE"/>
    <w:rsid w:val="00023B94"/>
    <w:rsid w:val="00024802"/>
    <w:rsid w:val="00025337"/>
    <w:rsid w:val="000263EB"/>
    <w:rsid w:val="0002650C"/>
    <w:rsid w:val="00027370"/>
    <w:rsid w:val="00030122"/>
    <w:rsid w:val="0003082A"/>
    <w:rsid w:val="00031AE7"/>
    <w:rsid w:val="00031D50"/>
    <w:rsid w:val="00032271"/>
    <w:rsid w:val="00032888"/>
    <w:rsid w:val="00032F92"/>
    <w:rsid w:val="00033C9C"/>
    <w:rsid w:val="00033F8E"/>
    <w:rsid w:val="00037519"/>
    <w:rsid w:val="0004013B"/>
    <w:rsid w:val="00040D10"/>
    <w:rsid w:val="00041062"/>
    <w:rsid w:val="0004147C"/>
    <w:rsid w:val="000419E9"/>
    <w:rsid w:val="00041CAC"/>
    <w:rsid w:val="00041E9D"/>
    <w:rsid w:val="00041FC7"/>
    <w:rsid w:val="00042584"/>
    <w:rsid w:val="000436B7"/>
    <w:rsid w:val="00043CD0"/>
    <w:rsid w:val="00044122"/>
    <w:rsid w:val="00045102"/>
    <w:rsid w:val="00046021"/>
    <w:rsid w:val="000468D8"/>
    <w:rsid w:val="00046EE1"/>
    <w:rsid w:val="00050B0F"/>
    <w:rsid w:val="00053EC4"/>
    <w:rsid w:val="0005455D"/>
    <w:rsid w:val="000551EA"/>
    <w:rsid w:val="000558D3"/>
    <w:rsid w:val="00056789"/>
    <w:rsid w:val="00056C1E"/>
    <w:rsid w:val="00057659"/>
    <w:rsid w:val="00057CCA"/>
    <w:rsid w:val="00060DE0"/>
    <w:rsid w:val="00061B2A"/>
    <w:rsid w:val="00061DFF"/>
    <w:rsid w:val="00062482"/>
    <w:rsid w:val="00062ABB"/>
    <w:rsid w:val="00062EC4"/>
    <w:rsid w:val="00063233"/>
    <w:rsid w:val="000649DF"/>
    <w:rsid w:val="00066348"/>
    <w:rsid w:val="00070D08"/>
    <w:rsid w:val="000724B6"/>
    <w:rsid w:val="00072A53"/>
    <w:rsid w:val="00073B2B"/>
    <w:rsid w:val="00073D81"/>
    <w:rsid w:val="0007543A"/>
    <w:rsid w:val="00076208"/>
    <w:rsid w:val="000762FC"/>
    <w:rsid w:val="00077EC4"/>
    <w:rsid w:val="00080783"/>
    <w:rsid w:val="00080B4F"/>
    <w:rsid w:val="000812A5"/>
    <w:rsid w:val="000824EE"/>
    <w:rsid w:val="00082C80"/>
    <w:rsid w:val="00084000"/>
    <w:rsid w:val="00085EF4"/>
    <w:rsid w:val="00085FFD"/>
    <w:rsid w:val="000877CC"/>
    <w:rsid w:val="000879CF"/>
    <w:rsid w:val="000903C9"/>
    <w:rsid w:val="00090B8C"/>
    <w:rsid w:val="00092271"/>
    <w:rsid w:val="00093331"/>
    <w:rsid w:val="00095057"/>
    <w:rsid w:val="000962DF"/>
    <w:rsid w:val="00096FD9"/>
    <w:rsid w:val="00097162"/>
    <w:rsid w:val="000A0DD8"/>
    <w:rsid w:val="000A1489"/>
    <w:rsid w:val="000A37A3"/>
    <w:rsid w:val="000A3E76"/>
    <w:rsid w:val="000A3F25"/>
    <w:rsid w:val="000A4EBA"/>
    <w:rsid w:val="000A7C5D"/>
    <w:rsid w:val="000B08C4"/>
    <w:rsid w:val="000B12C1"/>
    <w:rsid w:val="000B1394"/>
    <w:rsid w:val="000B140F"/>
    <w:rsid w:val="000B3169"/>
    <w:rsid w:val="000B37B8"/>
    <w:rsid w:val="000B4A7D"/>
    <w:rsid w:val="000B53C4"/>
    <w:rsid w:val="000B585F"/>
    <w:rsid w:val="000B5ADD"/>
    <w:rsid w:val="000B5B51"/>
    <w:rsid w:val="000B6413"/>
    <w:rsid w:val="000B75F9"/>
    <w:rsid w:val="000C0CCB"/>
    <w:rsid w:val="000C19AC"/>
    <w:rsid w:val="000C5F3E"/>
    <w:rsid w:val="000C6EAA"/>
    <w:rsid w:val="000C70D8"/>
    <w:rsid w:val="000D043C"/>
    <w:rsid w:val="000D0AD1"/>
    <w:rsid w:val="000D1928"/>
    <w:rsid w:val="000D2489"/>
    <w:rsid w:val="000D3B9B"/>
    <w:rsid w:val="000D4524"/>
    <w:rsid w:val="000D49C4"/>
    <w:rsid w:val="000D4BB8"/>
    <w:rsid w:val="000D4C3B"/>
    <w:rsid w:val="000D5B56"/>
    <w:rsid w:val="000D5B61"/>
    <w:rsid w:val="000D6BBD"/>
    <w:rsid w:val="000D6E5E"/>
    <w:rsid w:val="000D6FF7"/>
    <w:rsid w:val="000D75DF"/>
    <w:rsid w:val="000D7901"/>
    <w:rsid w:val="000E14BB"/>
    <w:rsid w:val="000E28CD"/>
    <w:rsid w:val="000E31E2"/>
    <w:rsid w:val="000E3A53"/>
    <w:rsid w:val="000E3D96"/>
    <w:rsid w:val="000E4E29"/>
    <w:rsid w:val="000E561E"/>
    <w:rsid w:val="000E5A5D"/>
    <w:rsid w:val="000E6167"/>
    <w:rsid w:val="000E6321"/>
    <w:rsid w:val="000E6ED6"/>
    <w:rsid w:val="000F1420"/>
    <w:rsid w:val="000F2A38"/>
    <w:rsid w:val="000F546E"/>
    <w:rsid w:val="000F56D1"/>
    <w:rsid w:val="000F7631"/>
    <w:rsid w:val="0010016D"/>
    <w:rsid w:val="00100361"/>
    <w:rsid w:val="001013DF"/>
    <w:rsid w:val="001018C5"/>
    <w:rsid w:val="00102509"/>
    <w:rsid w:val="00102A7B"/>
    <w:rsid w:val="00103361"/>
    <w:rsid w:val="001039F2"/>
    <w:rsid w:val="001044E2"/>
    <w:rsid w:val="00106044"/>
    <w:rsid w:val="001107DE"/>
    <w:rsid w:val="00111181"/>
    <w:rsid w:val="00111C63"/>
    <w:rsid w:val="00111E93"/>
    <w:rsid w:val="00111FD8"/>
    <w:rsid w:val="00112972"/>
    <w:rsid w:val="00112C9C"/>
    <w:rsid w:val="0011398A"/>
    <w:rsid w:val="00113CF9"/>
    <w:rsid w:val="00114873"/>
    <w:rsid w:val="00114C98"/>
    <w:rsid w:val="00115502"/>
    <w:rsid w:val="00121BC9"/>
    <w:rsid w:val="00122E44"/>
    <w:rsid w:val="0012592E"/>
    <w:rsid w:val="00125DEE"/>
    <w:rsid w:val="0012628F"/>
    <w:rsid w:val="001265FA"/>
    <w:rsid w:val="00127E2B"/>
    <w:rsid w:val="00127E87"/>
    <w:rsid w:val="001302B6"/>
    <w:rsid w:val="00130DC9"/>
    <w:rsid w:val="001312F2"/>
    <w:rsid w:val="001319A7"/>
    <w:rsid w:val="00131AD3"/>
    <w:rsid w:val="0013203A"/>
    <w:rsid w:val="00132BDF"/>
    <w:rsid w:val="0013335F"/>
    <w:rsid w:val="00134324"/>
    <w:rsid w:val="00134D05"/>
    <w:rsid w:val="0013552C"/>
    <w:rsid w:val="0013554F"/>
    <w:rsid w:val="00140843"/>
    <w:rsid w:val="00140AB0"/>
    <w:rsid w:val="00141E64"/>
    <w:rsid w:val="00142114"/>
    <w:rsid w:val="00142559"/>
    <w:rsid w:val="00142573"/>
    <w:rsid w:val="00142B14"/>
    <w:rsid w:val="001438B7"/>
    <w:rsid w:val="001438BA"/>
    <w:rsid w:val="00143C66"/>
    <w:rsid w:val="00144095"/>
    <w:rsid w:val="00144AA0"/>
    <w:rsid w:val="001451A8"/>
    <w:rsid w:val="001467BE"/>
    <w:rsid w:val="00146CA3"/>
    <w:rsid w:val="00150593"/>
    <w:rsid w:val="001527A9"/>
    <w:rsid w:val="001529D3"/>
    <w:rsid w:val="00152A6E"/>
    <w:rsid w:val="00152DA9"/>
    <w:rsid w:val="001539CC"/>
    <w:rsid w:val="001550E7"/>
    <w:rsid w:val="001552ED"/>
    <w:rsid w:val="001557F0"/>
    <w:rsid w:val="00156814"/>
    <w:rsid w:val="00160CAB"/>
    <w:rsid w:val="001623F8"/>
    <w:rsid w:val="00162E3D"/>
    <w:rsid w:val="00163FF6"/>
    <w:rsid w:val="001642F5"/>
    <w:rsid w:val="00164325"/>
    <w:rsid w:val="00164E02"/>
    <w:rsid w:val="00164F6F"/>
    <w:rsid w:val="00165AF6"/>
    <w:rsid w:val="001661D2"/>
    <w:rsid w:val="0016682C"/>
    <w:rsid w:val="001672C2"/>
    <w:rsid w:val="00170324"/>
    <w:rsid w:val="001706F7"/>
    <w:rsid w:val="00171322"/>
    <w:rsid w:val="00171FD2"/>
    <w:rsid w:val="0017294C"/>
    <w:rsid w:val="001732F3"/>
    <w:rsid w:val="00173A17"/>
    <w:rsid w:val="0017525B"/>
    <w:rsid w:val="00175C38"/>
    <w:rsid w:val="001762AF"/>
    <w:rsid w:val="00176E81"/>
    <w:rsid w:val="001777CF"/>
    <w:rsid w:val="00181267"/>
    <w:rsid w:val="0018183E"/>
    <w:rsid w:val="0018324B"/>
    <w:rsid w:val="001833F0"/>
    <w:rsid w:val="00183FEB"/>
    <w:rsid w:val="00184F7A"/>
    <w:rsid w:val="001861CA"/>
    <w:rsid w:val="00186FB4"/>
    <w:rsid w:val="001879FC"/>
    <w:rsid w:val="001915FB"/>
    <w:rsid w:val="00191B3E"/>
    <w:rsid w:val="00192D65"/>
    <w:rsid w:val="0019333F"/>
    <w:rsid w:val="00193EBB"/>
    <w:rsid w:val="00194173"/>
    <w:rsid w:val="001947E9"/>
    <w:rsid w:val="00195DC0"/>
    <w:rsid w:val="001968B7"/>
    <w:rsid w:val="001972F3"/>
    <w:rsid w:val="001A08DE"/>
    <w:rsid w:val="001A0A45"/>
    <w:rsid w:val="001A0BE6"/>
    <w:rsid w:val="001A361E"/>
    <w:rsid w:val="001A37DD"/>
    <w:rsid w:val="001A4629"/>
    <w:rsid w:val="001A4A7D"/>
    <w:rsid w:val="001A4F3D"/>
    <w:rsid w:val="001A5497"/>
    <w:rsid w:val="001A56D1"/>
    <w:rsid w:val="001A5D55"/>
    <w:rsid w:val="001A7841"/>
    <w:rsid w:val="001B05CF"/>
    <w:rsid w:val="001B2358"/>
    <w:rsid w:val="001B2515"/>
    <w:rsid w:val="001B3E9C"/>
    <w:rsid w:val="001B4809"/>
    <w:rsid w:val="001B4891"/>
    <w:rsid w:val="001B51D4"/>
    <w:rsid w:val="001B5D30"/>
    <w:rsid w:val="001B78CF"/>
    <w:rsid w:val="001C0616"/>
    <w:rsid w:val="001C3576"/>
    <w:rsid w:val="001C3BDD"/>
    <w:rsid w:val="001C5042"/>
    <w:rsid w:val="001C54DD"/>
    <w:rsid w:val="001C681A"/>
    <w:rsid w:val="001C6D55"/>
    <w:rsid w:val="001C7BCD"/>
    <w:rsid w:val="001C7C68"/>
    <w:rsid w:val="001D03CA"/>
    <w:rsid w:val="001D12EF"/>
    <w:rsid w:val="001D14E9"/>
    <w:rsid w:val="001D1AC5"/>
    <w:rsid w:val="001D1CAB"/>
    <w:rsid w:val="001D1CC3"/>
    <w:rsid w:val="001D1CFD"/>
    <w:rsid w:val="001D2DF3"/>
    <w:rsid w:val="001D3257"/>
    <w:rsid w:val="001D415E"/>
    <w:rsid w:val="001D44E4"/>
    <w:rsid w:val="001D4965"/>
    <w:rsid w:val="001D609B"/>
    <w:rsid w:val="001D63C3"/>
    <w:rsid w:val="001D664C"/>
    <w:rsid w:val="001D780C"/>
    <w:rsid w:val="001E0B50"/>
    <w:rsid w:val="001E0F5B"/>
    <w:rsid w:val="001E4D97"/>
    <w:rsid w:val="001E5E63"/>
    <w:rsid w:val="001E6128"/>
    <w:rsid w:val="001E6321"/>
    <w:rsid w:val="001E6F64"/>
    <w:rsid w:val="001F1E42"/>
    <w:rsid w:val="001F27D5"/>
    <w:rsid w:val="001F485A"/>
    <w:rsid w:val="001F561A"/>
    <w:rsid w:val="001F6FE0"/>
    <w:rsid w:val="001F78EB"/>
    <w:rsid w:val="0020166F"/>
    <w:rsid w:val="00203181"/>
    <w:rsid w:val="00203202"/>
    <w:rsid w:val="00204244"/>
    <w:rsid w:val="002046AE"/>
    <w:rsid w:val="002048D3"/>
    <w:rsid w:val="00206790"/>
    <w:rsid w:val="00206A04"/>
    <w:rsid w:val="0020746C"/>
    <w:rsid w:val="00207632"/>
    <w:rsid w:val="00207AF9"/>
    <w:rsid w:val="002106FB"/>
    <w:rsid w:val="0021125E"/>
    <w:rsid w:val="0021172E"/>
    <w:rsid w:val="00211C28"/>
    <w:rsid w:val="002139FF"/>
    <w:rsid w:val="00214055"/>
    <w:rsid w:val="002149C5"/>
    <w:rsid w:val="0021593A"/>
    <w:rsid w:val="00215B0C"/>
    <w:rsid w:val="00215D72"/>
    <w:rsid w:val="00216260"/>
    <w:rsid w:val="002165F6"/>
    <w:rsid w:val="00217923"/>
    <w:rsid w:val="00217A4D"/>
    <w:rsid w:val="00220394"/>
    <w:rsid w:val="00221695"/>
    <w:rsid w:val="002222E9"/>
    <w:rsid w:val="002230AA"/>
    <w:rsid w:val="00223885"/>
    <w:rsid w:val="00225993"/>
    <w:rsid w:val="00227A05"/>
    <w:rsid w:val="00227C96"/>
    <w:rsid w:val="00230974"/>
    <w:rsid w:val="00230BD7"/>
    <w:rsid w:val="002318B6"/>
    <w:rsid w:val="00231DCE"/>
    <w:rsid w:val="0023295C"/>
    <w:rsid w:val="0023589D"/>
    <w:rsid w:val="00235F5F"/>
    <w:rsid w:val="002372CB"/>
    <w:rsid w:val="00240AA0"/>
    <w:rsid w:val="00242363"/>
    <w:rsid w:val="00243D40"/>
    <w:rsid w:val="00243F0C"/>
    <w:rsid w:val="00244246"/>
    <w:rsid w:val="0024601F"/>
    <w:rsid w:val="0024615E"/>
    <w:rsid w:val="002464B3"/>
    <w:rsid w:val="00247599"/>
    <w:rsid w:val="00247A37"/>
    <w:rsid w:val="00247D67"/>
    <w:rsid w:val="00250101"/>
    <w:rsid w:val="00250410"/>
    <w:rsid w:val="002504F2"/>
    <w:rsid w:val="00250D83"/>
    <w:rsid w:val="00251249"/>
    <w:rsid w:val="002534D0"/>
    <w:rsid w:val="002539B7"/>
    <w:rsid w:val="0025586B"/>
    <w:rsid w:val="002602DD"/>
    <w:rsid w:val="00261F9A"/>
    <w:rsid w:val="002625BF"/>
    <w:rsid w:val="00263A7D"/>
    <w:rsid w:val="0026415A"/>
    <w:rsid w:val="002654CC"/>
    <w:rsid w:val="002677DC"/>
    <w:rsid w:val="00270117"/>
    <w:rsid w:val="002703CE"/>
    <w:rsid w:val="00271752"/>
    <w:rsid w:val="00273206"/>
    <w:rsid w:val="00273716"/>
    <w:rsid w:val="00273BAD"/>
    <w:rsid w:val="00273D5A"/>
    <w:rsid w:val="00273F3E"/>
    <w:rsid w:val="00275B72"/>
    <w:rsid w:val="00275C91"/>
    <w:rsid w:val="0027625A"/>
    <w:rsid w:val="0027659D"/>
    <w:rsid w:val="00276765"/>
    <w:rsid w:val="00276848"/>
    <w:rsid w:val="0027692B"/>
    <w:rsid w:val="00280214"/>
    <w:rsid w:val="0028042D"/>
    <w:rsid w:val="00280E50"/>
    <w:rsid w:val="00280EF0"/>
    <w:rsid w:val="00281103"/>
    <w:rsid w:val="00281A30"/>
    <w:rsid w:val="00281C6C"/>
    <w:rsid w:val="002824F5"/>
    <w:rsid w:val="002833C6"/>
    <w:rsid w:val="00283DDB"/>
    <w:rsid w:val="00283F39"/>
    <w:rsid w:val="00284D00"/>
    <w:rsid w:val="0028568F"/>
    <w:rsid w:val="0028622F"/>
    <w:rsid w:val="0028725B"/>
    <w:rsid w:val="002873D3"/>
    <w:rsid w:val="002876C7"/>
    <w:rsid w:val="0028793B"/>
    <w:rsid w:val="00287A0B"/>
    <w:rsid w:val="00287DF5"/>
    <w:rsid w:val="002903B8"/>
    <w:rsid w:val="00291484"/>
    <w:rsid w:val="00291558"/>
    <w:rsid w:val="002927D3"/>
    <w:rsid w:val="00293B38"/>
    <w:rsid w:val="00295690"/>
    <w:rsid w:val="00295B87"/>
    <w:rsid w:val="00296C20"/>
    <w:rsid w:val="00296F81"/>
    <w:rsid w:val="00297A6B"/>
    <w:rsid w:val="002A0BB1"/>
    <w:rsid w:val="002A1BFD"/>
    <w:rsid w:val="002A1FCC"/>
    <w:rsid w:val="002A276A"/>
    <w:rsid w:val="002A3A5F"/>
    <w:rsid w:val="002A3C86"/>
    <w:rsid w:val="002A6DFD"/>
    <w:rsid w:val="002A7203"/>
    <w:rsid w:val="002A7204"/>
    <w:rsid w:val="002B0F14"/>
    <w:rsid w:val="002B17F6"/>
    <w:rsid w:val="002B2A9F"/>
    <w:rsid w:val="002B2B7E"/>
    <w:rsid w:val="002B34F6"/>
    <w:rsid w:val="002B3C46"/>
    <w:rsid w:val="002B41C4"/>
    <w:rsid w:val="002B448C"/>
    <w:rsid w:val="002B4EF2"/>
    <w:rsid w:val="002B5183"/>
    <w:rsid w:val="002B5F5C"/>
    <w:rsid w:val="002B6029"/>
    <w:rsid w:val="002B6CD7"/>
    <w:rsid w:val="002B7302"/>
    <w:rsid w:val="002C0ABC"/>
    <w:rsid w:val="002C0B89"/>
    <w:rsid w:val="002C2644"/>
    <w:rsid w:val="002C27C2"/>
    <w:rsid w:val="002C34C4"/>
    <w:rsid w:val="002C4551"/>
    <w:rsid w:val="002C4FA8"/>
    <w:rsid w:val="002C6038"/>
    <w:rsid w:val="002C642F"/>
    <w:rsid w:val="002D0ACB"/>
    <w:rsid w:val="002D1765"/>
    <w:rsid w:val="002D1ACF"/>
    <w:rsid w:val="002D1BC8"/>
    <w:rsid w:val="002D20C2"/>
    <w:rsid w:val="002D2B76"/>
    <w:rsid w:val="002D3B86"/>
    <w:rsid w:val="002D4191"/>
    <w:rsid w:val="002D5857"/>
    <w:rsid w:val="002D5B39"/>
    <w:rsid w:val="002D617F"/>
    <w:rsid w:val="002D7429"/>
    <w:rsid w:val="002D759F"/>
    <w:rsid w:val="002D798E"/>
    <w:rsid w:val="002D7CE8"/>
    <w:rsid w:val="002E11E7"/>
    <w:rsid w:val="002E1204"/>
    <w:rsid w:val="002E463C"/>
    <w:rsid w:val="002E5240"/>
    <w:rsid w:val="002E55F5"/>
    <w:rsid w:val="002E58E2"/>
    <w:rsid w:val="002E5EDB"/>
    <w:rsid w:val="002E7BBB"/>
    <w:rsid w:val="002F0159"/>
    <w:rsid w:val="002F0583"/>
    <w:rsid w:val="002F10BE"/>
    <w:rsid w:val="002F1DAD"/>
    <w:rsid w:val="002F257E"/>
    <w:rsid w:val="002F296F"/>
    <w:rsid w:val="002F318B"/>
    <w:rsid w:val="002F37F7"/>
    <w:rsid w:val="002F4746"/>
    <w:rsid w:val="002F4813"/>
    <w:rsid w:val="002F4935"/>
    <w:rsid w:val="002F5C7B"/>
    <w:rsid w:val="002F68F7"/>
    <w:rsid w:val="002F741E"/>
    <w:rsid w:val="003001A2"/>
    <w:rsid w:val="00300AC6"/>
    <w:rsid w:val="00303EF1"/>
    <w:rsid w:val="003041AC"/>
    <w:rsid w:val="003043D1"/>
    <w:rsid w:val="00304C8E"/>
    <w:rsid w:val="0030581B"/>
    <w:rsid w:val="00305904"/>
    <w:rsid w:val="003063A0"/>
    <w:rsid w:val="0031153E"/>
    <w:rsid w:val="00311A1D"/>
    <w:rsid w:val="00312079"/>
    <w:rsid w:val="0031253B"/>
    <w:rsid w:val="00312ED9"/>
    <w:rsid w:val="00313CE9"/>
    <w:rsid w:val="003144FC"/>
    <w:rsid w:val="00314C15"/>
    <w:rsid w:val="00317D1C"/>
    <w:rsid w:val="00320030"/>
    <w:rsid w:val="003201B7"/>
    <w:rsid w:val="00320F12"/>
    <w:rsid w:val="003224A3"/>
    <w:rsid w:val="0032368A"/>
    <w:rsid w:val="00323A5B"/>
    <w:rsid w:val="00323DAA"/>
    <w:rsid w:val="0032473E"/>
    <w:rsid w:val="003264FA"/>
    <w:rsid w:val="00326FD8"/>
    <w:rsid w:val="0032728F"/>
    <w:rsid w:val="00330856"/>
    <w:rsid w:val="003309B5"/>
    <w:rsid w:val="00330CC1"/>
    <w:rsid w:val="00331755"/>
    <w:rsid w:val="00332349"/>
    <w:rsid w:val="00333B83"/>
    <w:rsid w:val="00333D89"/>
    <w:rsid w:val="00334062"/>
    <w:rsid w:val="003364F3"/>
    <w:rsid w:val="00336F4F"/>
    <w:rsid w:val="00337365"/>
    <w:rsid w:val="003374AE"/>
    <w:rsid w:val="003379C4"/>
    <w:rsid w:val="00341117"/>
    <w:rsid w:val="0034193C"/>
    <w:rsid w:val="00342379"/>
    <w:rsid w:val="00342B11"/>
    <w:rsid w:val="00342E4E"/>
    <w:rsid w:val="0034305E"/>
    <w:rsid w:val="003437AF"/>
    <w:rsid w:val="00344625"/>
    <w:rsid w:val="00344F3B"/>
    <w:rsid w:val="0034585F"/>
    <w:rsid w:val="003463F0"/>
    <w:rsid w:val="00353AF7"/>
    <w:rsid w:val="003552C8"/>
    <w:rsid w:val="00355E18"/>
    <w:rsid w:val="00357B7C"/>
    <w:rsid w:val="003601F6"/>
    <w:rsid w:val="00361A68"/>
    <w:rsid w:val="00362845"/>
    <w:rsid w:val="00362911"/>
    <w:rsid w:val="0036307D"/>
    <w:rsid w:val="00363295"/>
    <w:rsid w:val="003634FF"/>
    <w:rsid w:val="00364294"/>
    <w:rsid w:val="003642F9"/>
    <w:rsid w:val="00364F92"/>
    <w:rsid w:val="0036535F"/>
    <w:rsid w:val="00365643"/>
    <w:rsid w:val="003660B3"/>
    <w:rsid w:val="003665CF"/>
    <w:rsid w:val="003673B7"/>
    <w:rsid w:val="00367BE2"/>
    <w:rsid w:val="00367DCB"/>
    <w:rsid w:val="00370805"/>
    <w:rsid w:val="00370B9F"/>
    <w:rsid w:val="00370CC9"/>
    <w:rsid w:val="00371FE0"/>
    <w:rsid w:val="003725FF"/>
    <w:rsid w:val="00373F04"/>
    <w:rsid w:val="0037509D"/>
    <w:rsid w:val="00375663"/>
    <w:rsid w:val="0037675A"/>
    <w:rsid w:val="0037702E"/>
    <w:rsid w:val="003807B7"/>
    <w:rsid w:val="0038279E"/>
    <w:rsid w:val="00382FE6"/>
    <w:rsid w:val="003843DF"/>
    <w:rsid w:val="003845BA"/>
    <w:rsid w:val="0038487F"/>
    <w:rsid w:val="0038586F"/>
    <w:rsid w:val="003907E6"/>
    <w:rsid w:val="0039494A"/>
    <w:rsid w:val="00395555"/>
    <w:rsid w:val="00397487"/>
    <w:rsid w:val="003976AB"/>
    <w:rsid w:val="00397ED4"/>
    <w:rsid w:val="003A0975"/>
    <w:rsid w:val="003A1490"/>
    <w:rsid w:val="003A1A3A"/>
    <w:rsid w:val="003A20AC"/>
    <w:rsid w:val="003A3754"/>
    <w:rsid w:val="003A37BF"/>
    <w:rsid w:val="003A4E49"/>
    <w:rsid w:val="003A4EA7"/>
    <w:rsid w:val="003A6A62"/>
    <w:rsid w:val="003A6ABD"/>
    <w:rsid w:val="003A6CE1"/>
    <w:rsid w:val="003A6F56"/>
    <w:rsid w:val="003A7706"/>
    <w:rsid w:val="003B0BEA"/>
    <w:rsid w:val="003B2B78"/>
    <w:rsid w:val="003B32E7"/>
    <w:rsid w:val="003B44A4"/>
    <w:rsid w:val="003B5071"/>
    <w:rsid w:val="003B58C8"/>
    <w:rsid w:val="003B6D91"/>
    <w:rsid w:val="003B71B4"/>
    <w:rsid w:val="003B71CE"/>
    <w:rsid w:val="003B76C4"/>
    <w:rsid w:val="003B7A0C"/>
    <w:rsid w:val="003B7CA3"/>
    <w:rsid w:val="003B7FAA"/>
    <w:rsid w:val="003C0380"/>
    <w:rsid w:val="003C0490"/>
    <w:rsid w:val="003C0D91"/>
    <w:rsid w:val="003C0F87"/>
    <w:rsid w:val="003C2FC7"/>
    <w:rsid w:val="003C31F0"/>
    <w:rsid w:val="003C365B"/>
    <w:rsid w:val="003C3821"/>
    <w:rsid w:val="003C38BD"/>
    <w:rsid w:val="003C3A33"/>
    <w:rsid w:val="003C3C9A"/>
    <w:rsid w:val="003C41F4"/>
    <w:rsid w:val="003C564C"/>
    <w:rsid w:val="003C628C"/>
    <w:rsid w:val="003D0322"/>
    <w:rsid w:val="003D0688"/>
    <w:rsid w:val="003D09C0"/>
    <w:rsid w:val="003D0B9D"/>
    <w:rsid w:val="003D19D8"/>
    <w:rsid w:val="003D2334"/>
    <w:rsid w:val="003D3A7F"/>
    <w:rsid w:val="003D47E2"/>
    <w:rsid w:val="003D5D1F"/>
    <w:rsid w:val="003D5E74"/>
    <w:rsid w:val="003D7F93"/>
    <w:rsid w:val="003E03AF"/>
    <w:rsid w:val="003E0A7B"/>
    <w:rsid w:val="003E0FBC"/>
    <w:rsid w:val="003E17CE"/>
    <w:rsid w:val="003E18C5"/>
    <w:rsid w:val="003E1EE2"/>
    <w:rsid w:val="003E2257"/>
    <w:rsid w:val="003E248C"/>
    <w:rsid w:val="003E3053"/>
    <w:rsid w:val="003E367B"/>
    <w:rsid w:val="003E393B"/>
    <w:rsid w:val="003E3DD9"/>
    <w:rsid w:val="003E3DF4"/>
    <w:rsid w:val="003E3F70"/>
    <w:rsid w:val="003E43B5"/>
    <w:rsid w:val="003E46BF"/>
    <w:rsid w:val="003E571F"/>
    <w:rsid w:val="003E74AB"/>
    <w:rsid w:val="003F11DE"/>
    <w:rsid w:val="003F1AFF"/>
    <w:rsid w:val="003F24F9"/>
    <w:rsid w:val="003F41A9"/>
    <w:rsid w:val="003F5100"/>
    <w:rsid w:val="003F6289"/>
    <w:rsid w:val="003F66CD"/>
    <w:rsid w:val="003F7DE4"/>
    <w:rsid w:val="00401549"/>
    <w:rsid w:val="004015E3"/>
    <w:rsid w:val="00401858"/>
    <w:rsid w:val="004020AC"/>
    <w:rsid w:val="00403701"/>
    <w:rsid w:val="0040407B"/>
    <w:rsid w:val="004042E5"/>
    <w:rsid w:val="00405230"/>
    <w:rsid w:val="00405436"/>
    <w:rsid w:val="004058C6"/>
    <w:rsid w:val="00405FA3"/>
    <w:rsid w:val="0040666E"/>
    <w:rsid w:val="00407C11"/>
    <w:rsid w:val="0041184C"/>
    <w:rsid w:val="00413EBA"/>
    <w:rsid w:val="0041483D"/>
    <w:rsid w:val="00415051"/>
    <w:rsid w:val="004154E3"/>
    <w:rsid w:val="0041556E"/>
    <w:rsid w:val="00417AC5"/>
    <w:rsid w:val="00420A45"/>
    <w:rsid w:val="00422DC0"/>
    <w:rsid w:val="00422DCC"/>
    <w:rsid w:val="00423925"/>
    <w:rsid w:val="00424803"/>
    <w:rsid w:val="00424991"/>
    <w:rsid w:val="00424BC5"/>
    <w:rsid w:val="0042667D"/>
    <w:rsid w:val="0042735D"/>
    <w:rsid w:val="00430570"/>
    <w:rsid w:val="00431325"/>
    <w:rsid w:val="004339D5"/>
    <w:rsid w:val="00434A79"/>
    <w:rsid w:val="0043554D"/>
    <w:rsid w:val="0043570B"/>
    <w:rsid w:val="00435DBB"/>
    <w:rsid w:val="0043661F"/>
    <w:rsid w:val="00436B72"/>
    <w:rsid w:val="00436D84"/>
    <w:rsid w:val="004400E1"/>
    <w:rsid w:val="00440445"/>
    <w:rsid w:val="004404FF"/>
    <w:rsid w:val="00442CCC"/>
    <w:rsid w:val="00442E72"/>
    <w:rsid w:val="00442ECA"/>
    <w:rsid w:val="0044427C"/>
    <w:rsid w:val="00444F17"/>
    <w:rsid w:val="004456A2"/>
    <w:rsid w:val="004460AC"/>
    <w:rsid w:val="0044692D"/>
    <w:rsid w:val="00450AB9"/>
    <w:rsid w:val="00450F27"/>
    <w:rsid w:val="0045119F"/>
    <w:rsid w:val="00452109"/>
    <w:rsid w:val="00452C12"/>
    <w:rsid w:val="0045378E"/>
    <w:rsid w:val="00455426"/>
    <w:rsid w:val="00455E18"/>
    <w:rsid w:val="00456167"/>
    <w:rsid w:val="0045647A"/>
    <w:rsid w:val="00456956"/>
    <w:rsid w:val="00456F2B"/>
    <w:rsid w:val="00460022"/>
    <w:rsid w:val="00461171"/>
    <w:rsid w:val="0046398D"/>
    <w:rsid w:val="00464057"/>
    <w:rsid w:val="004640D4"/>
    <w:rsid w:val="0046421F"/>
    <w:rsid w:val="00465363"/>
    <w:rsid w:val="004657C0"/>
    <w:rsid w:val="00467EDF"/>
    <w:rsid w:val="004719CA"/>
    <w:rsid w:val="00472726"/>
    <w:rsid w:val="004731CB"/>
    <w:rsid w:val="00474706"/>
    <w:rsid w:val="004749B0"/>
    <w:rsid w:val="00474A02"/>
    <w:rsid w:val="00474CFE"/>
    <w:rsid w:val="004750E4"/>
    <w:rsid w:val="00475524"/>
    <w:rsid w:val="00475F22"/>
    <w:rsid w:val="004764A6"/>
    <w:rsid w:val="0047655D"/>
    <w:rsid w:val="004767AA"/>
    <w:rsid w:val="004769EE"/>
    <w:rsid w:val="00476C98"/>
    <w:rsid w:val="004778FF"/>
    <w:rsid w:val="00477928"/>
    <w:rsid w:val="004805AF"/>
    <w:rsid w:val="004809BE"/>
    <w:rsid w:val="00480A59"/>
    <w:rsid w:val="00481A51"/>
    <w:rsid w:val="00482CE1"/>
    <w:rsid w:val="00483810"/>
    <w:rsid w:val="00484A03"/>
    <w:rsid w:val="00486A73"/>
    <w:rsid w:val="0048739E"/>
    <w:rsid w:val="00490984"/>
    <w:rsid w:val="00490DC7"/>
    <w:rsid w:val="00491FC9"/>
    <w:rsid w:val="004930B4"/>
    <w:rsid w:val="00494F77"/>
    <w:rsid w:val="004951D1"/>
    <w:rsid w:val="004961F7"/>
    <w:rsid w:val="00497377"/>
    <w:rsid w:val="00497C54"/>
    <w:rsid w:val="004A0170"/>
    <w:rsid w:val="004A1258"/>
    <w:rsid w:val="004A2AE4"/>
    <w:rsid w:val="004A312A"/>
    <w:rsid w:val="004A33F2"/>
    <w:rsid w:val="004A3B46"/>
    <w:rsid w:val="004A5EED"/>
    <w:rsid w:val="004A60D1"/>
    <w:rsid w:val="004A6EDC"/>
    <w:rsid w:val="004A6FF5"/>
    <w:rsid w:val="004B230C"/>
    <w:rsid w:val="004B3907"/>
    <w:rsid w:val="004B3CCD"/>
    <w:rsid w:val="004B427D"/>
    <w:rsid w:val="004B467F"/>
    <w:rsid w:val="004B7A4C"/>
    <w:rsid w:val="004B7F36"/>
    <w:rsid w:val="004C0074"/>
    <w:rsid w:val="004C03C6"/>
    <w:rsid w:val="004C171A"/>
    <w:rsid w:val="004C3457"/>
    <w:rsid w:val="004C34BF"/>
    <w:rsid w:val="004C3A69"/>
    <w:rsid w:val="004C50C0"/>
    <w:rsid w:val="004C5344"/>
    <w:rsid w:val="004C5BA0"/>
    <w:rsid w:val="004C6094"/>
    <w:rsid w:val="004C61EC"/>
    <w:rsid w:val="004C6350"/>
    <w:rsid w:val="004C673C"/>
    <w:rsid w:val="004D11A3"/>
    <w:rsid w:val="004D1239"/>
    <w:rsid w:val="004D126B"/>
    <w:rsid w:val="004D190B"/>
    <w:rsid w:val="004D2D56"/>
    <w:rsid w:val="004D2EFE"/>
    <w:rsid w:val="004D374C"/>
    <w:rsid w:val="004D406A"/>
    <w:rsid w:val="004D4157"/>
    <w:rsid w:val="004D493B"/>
    <w:rsid w:val="004D52C7"/>
    <w:rsid w:val="004D5B70"/>
    <w:rsid w:val="004E06FE"/>
    <w:rsid w:val="004E0EBE"/>
    <w:rsid w:val="004E11B0"/>
    <w:rsid w:val="004E2031"/>
    <w:rsid w:val="004E211E"/>
    <w:rsid w:val="004E5C52"/>
    <w:rsid w:val="004E5E24"/>
    <w:rsid w:val="004E6C9A"/>
    <w:rsid w:val="004E7E75"/>
    <w:rsid w:val="004F01E4"/>
    <w:rsid w:val="004F03BB"/>
    <w:rsid w:val="004F136B"/>
    <w:rsid w:val="004F378D"/>
    <w:rsid w:val="004F4C71"/>
    <w:rsid w:val="00500164"/>
    <w:rsid w:val="00500D27"/>
    <w:rsid w:val="005024D8"/>
    <w:rsid w:val="005039A2"/>
    <w:rsid w:val="0050409B"/>
    <w:rsid w:val="00505340"/>
    <w:rsid w:val="00505AFB"/>
    <w:rsid w:val="00506C8E"/>
    <w:rsid w:val="00506ECD"/>
    <w:rsid w:val="00507572"/>
    <w:rsid w:val="00510490"/>
    <w:rsid w:val="0051138E"/>
    <w:rsid w:val="00512360"/>
    <w:rsid w:val="005125C0"/>
    <w:rsid w:val="00512CDC"/>
    <w:rsid w:val="005130C0"/>
    <w:rsid w:val="005131E4"/>
    <w:rsid w:val="0051381B"/>
    <w:rsid w:val="005150B2"/>
    <w:rsid w:val="005154A3"/>
    <w:rsid w:val="00515A91"/>
    <w:rsid w:val="0051635A"/>
    <w:rsid w:val="005167EE"/>
    <w:rsid w:val="00522918"/>
    <w:rsid w:val="00522FAE"/>
    <w:rsid w:val="005230F8"/>
    <w:rsid w:val="00523403"/>
    <w:rsid w:val="00523FFC"/>
    <w:rsid w:val="00524B8C"/>
    <w:rsid w:val="00524BCB"/>
    <w:rsid w:val="005259AF"/>
    <w:rsid w:val="00525A95"/>
    <w:rsid w:val="00526097"/>
    <w:rsid w:val="005262E3"/>
    <w:rsid w:val="0052649F"/>
    <w:rsid w:val="005264EC"/>
    <w:rsid w:val="005265F5"/>
    <w:rsid w:val="00527215"/>
    <w:rsid w:val="0053048F"/>
    <w:rsid w:val="005306D2"/>
    <w:rsid w:val="00531138"/>
    <w:rsid w:val="00531ADB"/>
    <w:rsid w:val="00533088"/>
    <w:rsid w:val="00533D5A"/>
    <w:rsid w:val="00533FA8"/>
    <w:rsid w:val="00533FC2"/>
    <w:rsid w:val="00534B71"/>
    <w:rsid w:val="005357A7"/>
    <w:rsid w:val="00537AD3"/>
    <w:rsid w:val="0054052D"/>
    <w:rsid w:val="0054125D"/>
    <w:rsid w:val="00542C33"/>
    <w:rsid w:val="0054427C"/>
    <w:rsid w:val="005449F7"/>
    <w:rsid w:val="00544B5A"/>
    <w:rsid w:val="00545572"/>
    <w:rsid w:val="005456DD"/>
    <w:rsid w:val="0054729B"/>
    <w:rsid w:val="005503B7"/>
    <w:rsid w:val="00550FD7"/>
    <w:rsid w:val="005514BC"/>
    <w:rsid w:val="005517D2"/>
    <w:rsid w:val="00551938"/>
    <w:rsid w:val="005527DE"/>
    <w:rsid w:val="005547E0"/>
    <w:rsid w:val="00554A56"/>
    <w:rsid w:val="005558FE"/>
    <w:rsid w:val="00557735"/>
    <w:rsid w:val="00560FD8"/>
    <w:rsid w:val="0056167A"/>
    <w:rsid w:val="00563493"/>
    <w:rsid w:val="00563C07"/>
    <w:rsid w:val="0056620B"/>
    <w:rsid w:val="005667EF"/>
    <w:rsid w:val="00567120"/>
    <w:rsid w:val="005677E3"/>
    <w:rsid w:val="00570F7E"/>
    <w:rsid w:val="00572933"/>
    <w:rsid w:val="00572FC1"/>
    <w:rsid w:val="00574316"/>
    <w:rsid w:val="00575B93"/>
    <w:rsid w:val="00577B47"/>
    <w:rsid w:val="0058166E"/>
    <w:rsid w:val="00582901"/>
    <w:rsid w:val="00583BB6"/>
    <w:rsid w:val="00585694"/>
    <w:rsid w:val="0058634D"/>
    <w:rsid w:val="00586861"/>
    <w:rsid w:val="00586BE6"/>
    <w:rsid w:val="00587308"/>
    <w:rsid w:val="00587342"/>
    <w:rsid w:val="00587B4E"/>
    <w:rsid w:val="00587F8C"/>
    <w:rsid w:val="005903AC"/>
    <w:rsid w:val="00590AEB"/>
    <w:rsid w:val="00590B61"/>
    <w:rsid w:val="005926CD"/>
    <w:rsid w:val="00592839"/>
    <w:rsid w:val="00592ED5"/>
    <w:rsid w:val="005933D5"/>
    <w:rsid w:val="005959FC"/>
    <w:rsid w:val="005963DE"/>
    <w:rsid w:val="00596BC8"/>
    <w:rsid w:val="00597996"/>
    <w:rsid w:val="005A15F7"/>
    <w:rsid w:val="005A1E47"/>
    <w:rsid w:val="005A22D7"/>
    <w:rsid w:val="005A2A57"/>
    <w:rsid w:val="005A2AEC"/>
    <w:rsid w:val="005A2CC6"/>
    <w:rsid w:val="005A3483"/>
    <w:rsid w:val="005A3A2C"/>
    <w:rsid w:val="005A419A"/>
    <w:rsid w:val="005A46D6"/>
    <w:rsid w:val="005A4B96"/>
    <w:rsid w:val="005A6DFD"/>
    <w:rsid w:val="005A740B"/>
    <w:rsid w:val="005A78F6"/>
    <w:rsid w:val="005A7DE3"/>
    <w:rsid w:val="005B0DE6"/>
    <w:rsid w:val="005B11D1"/>
    <w:rsid w:val="005B1760"/>
    <w:rsid w:val="005B27D5"/>
    <w:rsid w:val="005B298E"/>
    <w:rsid w:val="005B30A9"/>
    <w:rsid w:val="005B457E"/>
    <w:rsid w:val="005B52CB"/>
    <w:rsid w:val="005B7566"/>
    <w:rsid w:val="005B79B1"/>
    <w:rsid w:val="005B7AD2"/>
    <w:rsid w:val="005C1503"/>
    <w:rsid w:val="005C2026"/>
    <w:rsid w:val="005C434D"/>
    <w:rsid w:val="005C451C"/>
    <w:rsid w:val="005C520B"/>
    <w:rsid w:val="005C5FBA"/>
    <w:rsid w:val="005C6209"/>
    <w:rsid w:val="005C764B"/>
    <w:rsid w:val="005C791C"/>
    <w:rsid w:val="005C7EFD"/>
    <w:rsid w:val="005D019B"/>
    <w:rsid w:val="005D1EDA"/>
    <w:rsid w:val="005D3ED8"/>
    <w:rsid w:val="005D486D"/>
    <w:rsid w:val="005D4ADA"/>
    <w:rsid w:val="005D5250"/>
    <w:rsid w:val="005D5B59"/>
    <w:rsid w:val="005D6A26"/>
    <w:rsid w:val="005D6BEE"/>
    <w:rsid w:val="005D7FD3"/>
    <w:rsid w:val="005E0F3F"/>
    <w:rsid w:val="005E106C"/>
    <w:rsid w:val="005E12A7"/>
    <w:rsid w:val="005E1D8B"/>
    <w:rsid w:val="005E224C"/>
    <w:rsid w:val="005E31BC"/>
    <w:rsid w:val="005E3406"/>
    <w:rsid w:val="005E370B"/>
    <w:rsid w:val="005E3FC0"/>
    <w:rsid w:val="005E495D"/>
    <w:rsid w:val="005E583C"/>
    <w:rsid w:val="005E60A6"/>
    <w:rsid w:val="005F0916"/>
    <w:rsid w:val="005F1B23"/>
    <w:rsid w:val="005F2A9B"/>
    <w:rsid w:val="005F2B52"/>
    <w:rsid w:val="005F2C77"/>
    <w:rsid w:val="005F3A1A"/>
    <w:rsid w:val="005F3C55"/>
    <w:rsid w:val="005F547D"/>
    <w:rsid w:val="005F55BB"/>
    <w:rsid w:val="005F6B9D"/>
    <w:rsid w:val="0060381C"/>
    <w:rsid w:val="0060438D"/>
    <w:rsid w:val="00604B7D"/>
    <w:rsid w:val="0060527C"/>
    <w:rsid w:val="0060771F"/>
    <w:rsid w:val="00610C3A"/>
    <w:rsid w:val="006125AC"/>
    <w:rsid w:val="00613A50"/>
    <w:rsid w:val="0061449E"/>
    <w:rsid w:val="00615C19"/>
    <w:rsid w:val="00620177"/>
    <w:rsid w:val="0062162D"/>
    <w:rsid w:val="006226F2"/>
    <w:rsid w:val="00622FAE"/>
    <w:rsid w:val="0062317D"/>
    <w:rsid w:val="00623BB8"/>
    <w:rsid w:val="00624D47"/>
    <w:rsid w:val="0062545F"/>
    <w:rsid w:val="00625D20"/>
    <w:rsid w:val="00627D91"/>
    <w:rsid w:val="00627F62"/>
    <w:rsid w:val="00630BF7"/>
    <w:rsid w:val="00631D86"/>
    <w:rsid w:val="00632CE2"/>
    <w:rsid w:val="006332D4"/>
    <w:rsid w:val="0063392A"/>
    <w:rsid w:val="00633F77"/>
    <w:rsid w:val="00637E25"/>
    <w:rsid w:val="00640E82"/>
    <w:rsid w:val="0064241C"/>
    <w:rsid w:val="0064256E"/>
    <w:rsid w:val="00642E81"/>
    <w:rsid w:val="006431D6"/>
    <w:rsid w:val="00643C51"/>
    <w:rsid w:val="00644613"/>
    <w:rsid w:val="00645117"/>
    <w:rsid w:val="00645597"/>
    <w:rsid w:val="00645B6E"/>
    <w:rsid w:val="00646DC1"/>
    <w:rsid w:val="006470BF"/>
    <w:rsid w:val="00647B1D"/>
    <w:rsid w:val="00650B4E"/>
    <w:rsid w:val="0065184D"/>
    <w:rsid w:val="0065186D"/>
    <w:rsid w:val="0065264B"/>
    <w:rsid w:val="00655261"/>
    <w:rsid w:val="006558E0"/>
    <w:rsid w:val="00655B25"/>
    <w:rsid w:val="006565E1"/>
    <w:rsid w:val="006570C0"/>
    <w:rsid w:val="00657FCD"/>
    <w:rsid w:val="00662397"/>
    <w:rsid w:val="00663021"/>
    <w:rsid w:val="006642BA"/>
    <w:rsid w:val="006642F0"/>
    <w:rsid w:val="006667DA"/>
    <w:rsid w:val="00666AA5"/>
    <w:rsid w:val="00666BA6"/>
    <w:rsid w:val="006704B5"/>
    <w:rsid w:val="00671FAD"/>
    <w:rsid w:val="00672696"/>
    <w:rsid w:val="00673757"/>
    <w:rsid w:val="0067398D"/>
    <w:rsid w:val="00674620"/>
    <w:rsid w:val="006749AC"/>
    <w:rsid w:val="006767F1"/>
    <w:rsid w:val="00676850"/>
    <w:rsid w:val="0067706D"/>
    <w:rsid w:val="0067713A"/>
    <w:rsid w:val="00677A8F"/>
    <w:rsid w:val="00682D3B"/>
    <w:rsid w:val="006830AF"/>
    <w:rsid w:val="006838D6"/>
    <w:rsid w:val="00683DF1"/>
    <w:rsid w:val="006841F0"/>
    <w:rsid w:val="00684708"/>
    <w:rsid w:val="00684F8E"/>
    <w:rsid w:val="006860EB"/>
    <w:rsid w:val="00690330"/>
    <w:rsid w:val="006907B0"/>
    <w:rsid w:val="00690CA6"/>
    <w:rsid w:val="00690FE2"/>
    <w:rsid w:val="00693D07"/>
    <w:rsid w:val="00693D97"/>
    <w:rsid w:val="006940D3"/>
    <w:rsid w:val="00694A7A"/>
    <w:rsid w:val="00694C98"/>
    <w:rsid w:val="00696BA9"/>
    <w:rsid w:val="00696D2A"/>
    <w:rsid w:val="00696E7E"/>
    <w:rsid w:val="006A03BA"/>
    <w:rsid w:val="006A16E9"/>
    <w:rsid w:val="006A219D"/>
    <w:rsid w:val="006A23FD"/>
    <w:rsid w:val="006A24C8"/>
    <w:rsid w:val="006A2FBB"/>
    <w:rsid w:val="006A360F"/>
    <w:rsid w:val="006A3C45"/>
    <w:rsid w:val="006A405A"/>
    <w:rsid w:val="006A7B63"/>
    <w:rsid w:val="006A7D0D"/>
    <w:rsid w:val="006B0D2E"/>
    <w:rsid w:val="006B49D0"/>
    <w:rsid w:val="006B5706"/>
    <w:rsid w:val="006C1435"/>
    <w:rsid w:val="006C178F"/>
    <w:rsid w:val="006C1A34"/>
    <w:rsid w:val="006C1B69"/>
    <w:rsid w:val="006C33E5"/>
    <w:rsid w:val="006C49EB"/>
    <w:rsid w:val="006C4A5F"/>
    <w:rsid w:val="006C5A6F"/>
    <w:rsid w:val="006C5B30"/>
    <w:rsid w:val="006C6503"/>
    <w:rsid w:val="006D0993"/>
    <w:rsid w:val="006D1ACF"/>
    <w:rsid w:val="006D253B"/>
    <w:rsid w:val="006D3F59"/>
    <w:rsid w:val="006D473C"/>
    <w:rsid w:val="006D55BA"/>
    <w:rsid w:val="006D566E"/>
    <w:rsid w:val="006D6B28"/>
    <w:rsid w:val="006D7410"/>
    <w:rsid w:val="006D7464"/>
    <w:rsid w:val="006D75AD"/>
    <w:rsid w:val="006E00FE"/>
    <w:rsid w:val="006E10F9"/>
    <w:rsid w:val="006E11C3"/>
    <w:rsid w:val="006E12BE"/>
    <w:rsid w:val="006E1B08"/>
    <w:rsid w:val="006E1C68"/>
    <w:rsid w:val="006E2013"/>
    <w:rsid w:val="006E2716"/>
    <w:rsid w:val="006E3BE1"/>
    <w:rsid w:val="006E67BD"/>
    <w:rsid w:val="006E7C08"/>
    <w:rsid w:val="006E7C11"/>
    <w:rsid w:val="006F1696"/>
    <w:rsid w:val="006F1B65"/>
    <w:rsid w:val="006F2A33"/>
    <w:rsid w:val="006F2C77"/>
    <w:rsid w:val="006F2CA1"/>
    <w:rsid w:val="006F63BB"/>
    <w:rsid w:val="006F77E9"/>
    <w:rsid w:val="006F7D55"/>
    <w:rsid w:val="00700D42"/>
    <w:rsid w:val="00701894"/>
    <w:rsid w:val="007029A5"/>
    <w:rsid w:val="007032DC"/>
    <w:rsid w:val="00703FAD"/>
    <w:rsid w:val="00705397"/>
    <w:rsid w:val="00705ABA"/>
    <w:rsid w:val="007061C7"/>
    <w:rsid w:val="00706544"/>
    <w:rsid w:val="007079F1"/>
    <w:rsid w:val="00710EFE"/>
    <w:rsid w:val="00711A18"/>
    <w:rsid w:val="00713978"/>
    <w:rsid w:val="00713B65"/>
    <w:rsid w:val="00714499"/>
    <w:rsid w:val="00714B71"/>
    <w:rsid w:val="0071615A"/>
    <w:rsid w:val="00716671"/>
    <w:rsid w:val="00716B0F"/>
    <w:rsid w:val="00716C6A"/>
    <w:rsid w:val="00720B6E"/>
    <w:rsid w:val="0072165F"/>
    <w:rsid w:val="0072296A"/>
    <w:rsid w:val="00723333"/>
    <w:rsid w:val="00723F13"/>
    <w:rsid w:val="00724418"/>
    <w:rsid w:val="0072589E"/>
    <w:rsid w:val="00726485"/>
    <w:rsid w:val="007267E2"/>
    <w:rsid w:val="007268DC"/>
    <w:rsid w:val="00727D48"/>
    <w:rsid w:val="00730606"/>
    <w:rsid w:val="00731086"/>
    <w:rsid w:val="00731E92"/>
    <w:rsid w:val="00732DCF"/>
    <w:rsid w:val="00733D2B"/>
    <w:rsid w:val="00733FCC"/>
    <w:rsid w:val="00734152"/>
    <w:rsid w:val="007341F1"/>
    <w:rsid w:val="00734455"/>
    <w:rsid w:val="00735377"/>
    <w:rsid w:val="007355F6"/>
    <w:rsid w:val="00735931"/>
    <w:rsid w:val="00736744"/>
    <w:rsid w:val="00737052"/>
    <w:rsid w:val="00737613"/>
    <w:rsid w:val="007406B9"/>
    <w:rsid w:val="00741411"/>
    <w:rsid w:val="007414E1"/>
    <w:rsid w:val="0074219B"/>
    <w:rsid w:val="00743445"/>
    <w:rsid w:val="00743DEB"/>
    <w:rsid w:val="00743F5F"/>
    <w:rsid w:val="00745DBD"/>
    <w:rsid w:val="00745E47"/>
    <w:rsid w:val="00746F96"/>
    <w:rsid w:val="00747FDF"/>
    <w:rsid w:val="007503B9"/>
    <w:rsid w:val="00750590"/>
    <w:rsid w:val="007510C8"/>
    <w:rsid w:val="007517A4"/>
    <w:rsid w:val="00751A29"/>
    <w:rsid w:val="00752E71"/>
    <w:rsid w:val="00753EDB"/>
    <w:rsid w:val="007542AF"/>
    <w:rsid w:val="00754693"/>
    <w:rsid w:val="007546C7"/>
    <w:rsid w:val="00754D63"/>
    <w:rsid w:val="007550E4"/>
    <w:rsid w:val="00755605"/>
    <w:rsid w:val="0075591D"/>
    <w:rsid w:val="007565D4"/>
    <w:rsid w:val="007577D0"/>
    <w:rsid w:val="00757CF5"/>
    <w:rsid w:val="00760C54"/>
    <w:rsid w:val="00762B89"/>
    <w:rsid w:val="007646FB"/>
    <w:rsid w:val="00764983"/>
    <w:rsid w:val="00764D52"/>
    <w:rsid w:val="0076537B"/>
    <w:rsid w:val="00765A4C"/>
    <w:rsid w:val="007705D8"/>
    <w:rsid w:val="00770E0B"/>
    <w:rsid w:val="00772538"/>
    <w:rsid w:val="0077473B"/>
    <w:rsid w:val="0077768A"/>
    <w:rsid w:val="00780384"/>
    <w:rsid w:val="00780D8D"/>
    <w:rsid w:val="00783D72"/>
    <w:rsid w:val="00787711"/>
    <w:rsid w:val="00790D50"/>
    <w:rsid w:val="007911A1"/>
    <w:rsid w:val="0079294D"/>
    <w:rsid w:val="00792952"/>
    <w:rsid w:val="007931F9"/>
    <w:rsid w:val="00793E9F"/>
    <w:rsid w:val="00794A62"/>
    <w:rsid w:val="00794DCB"/>
    <w:rsid w:val="00796972"/>
    <w:rsid w:val="007969FF"/>
    <w:rsid w:val="007A0C9D"/>
    <w:rsid w:val="007A5BB5"/>
    <w:rsid w:val="007A6355"/>
    <w:rsid w:val="007A681C"/>
    <w:rsid w:val="007A6C5D"/>
    <w:rsid w:val="007A7D4C"/>
    <w:rsid w:val="007A7D7A"/>
    <w:rsid w:val="007B04D3"/>
    <w:rsid w:val="007B090A"/>
    <w:rsid w:val="007B0940"/>
    <w:rsid w:val="007B17BB"/>
    <w:rsid w:val="007B1906"/>
    <w:rsid w:val="007B1BB2"/>
    <w:rsid w:val="007B1F1D"/>
    <w:rsid w:val="007B220D"/>
    <w:rsid w:val="007B2611"/>
    <w:rsid w:val="007B2D41"/>
    <w:rsid w:val="007B4C24"/>
    <w:rsid w:val="007B4D55"/>
    <w:rsid w:val="007B5175"/>
    <w:rsid w:val="007B5E16"/>
    <w:rsid w:val="007B6BEB"/>
    <w:rsid w:val="007B7F59"/>
    <w:rsid w:val="007C1AB7"/>
    <w:rsid w:val="007C2C91"/>
    <w:rsid w:val="007C34DA"/>
    <w:rsid w:val="007C3EAD"/>
    <w:rsid w:val="007C4156"/>
    <w:rsid w:val="007C48F6"/>
    <w:rsid w:val="007C5161"/>
    <w:rsid w:val="007C61C0"/>
    <w:rsid w:val="007C7C01"/>
    <w:rsid w:val="007C7EC0"/>
    <w:rsid w:val="007D0068"/>
    <w:rsid w:val="007D06FF"/>
    <w:rsid w:val="007D14BE"/>
    <w:rsid w:val="007D194B"/>
    <w:rsid w:val="007D2067"/>
    <w:rsid w:val="007D232C"/>
    <w:rsid w:val="007D2C6D"/>
    <w:rsid w:val="007D2E79"/>
    <w:rsid w:val="007D36EF"/>
    <w:rsid w:val="007D3F30"/>
    <w:rsid w:val="007D451D"/>
    <w:rsid w:val="007D4701"/>
    <w:rsid w:val="007D4F7F"/>
    <w:rsid w:val="007D512D"/>
    <w:rsid w:val="007D5AD3"/>
    <w:rsid w:val="007D647B"/>
    <w:rsid w:val="007D6679"/>
    <w:rsid w:val="007D743F"/>
    <w:rsid w:val="007E0CC4"/>
    <w:rsid w:val="007E0E75"/>
    <w:rsid w:val="007E13BF"/>
    <w:rsid w:val="007E3224"/>
    <w:rsid w:val="007E3E92"/>
    <w:rsid w:val="007E4063"/>
    <w:rsid w:val="007E49D1"/>
    <w:rsid w:val="007E4CD9"/>
    <w:rsid w:val="007E5CFB"/>
    <w:rsid w:val="007E7349"/>
    <w:rsid w:val="007E75EC"/>
    <w:rsid w:val="007E7BE5"/>
    <w:rsid w:val="007F0E83"/>
    <w:rsid w:val="007F14D6"/>
    <w:rsid w:val="007F24AB"/>
    <w:rsid w:val="007F25C2"/>
    <w:rsid w:val="007F4C2A"/>
    <w:rsid w:val="007F5FC0"/>
    <w:rsid w:val="007F78C9"/>
    <w:rsid w:val="007F7BA1"/>
    <w:rsid w:val="00800523"/>
    <w:rsid w:val="00801F15"/>
    <w:rsid w:val="00802BDD"/>
    <w:rsid w:val="0080346C"/>
    <w:rsid w:val="00803612"/>
    <w:rsid w:val="0080573A"/>
    <w:rsid w:val="00805BDC"/>
    <w:rsid w:val="0080608A"/>
    <w:rsid w:val="00806314"/>
    <w:rsid w:val="00806751"/>
    <w:rsid w:val="008101EE"/>
    <w:rsid w:val="00810910"/>
    <w:rsid w:val="0081374B"/>
    <w:rsid w:val="008145FD"/>
    <w:rsid w:val="008168A2"/>
    <w:rsid w:val="00816AB3"/>
    <w:rsid w:val="008176B3"/>
    <w:rsid w:val="00817EA4"/>
    <w:rsid w:val="00820393"/>
    <w:rsid w:val="0082289B"/>
    <w:rsid w:val="00823CE3"/>
    <w:rsid w:val="00824C2F"/>
    <w:rsid w:val="008250DD"/>
    <w:rsid w:val="008257D9"/>
    <w:rsid w:val="00825B41"/>
    <w:rsid w:val="00826573"/>
    <w:rsid w:val="00830714"/>
    <w:rsid w:val="00831D82"/>
    <w:rsid w:val="00833E5D"/>
    <w:rsid w:val="00835BF8"/>
    <w:rsid w:val="00837581"/>
    <w:rsid w:val="00840749"/>
    <w:rsid w:val="00840AD7"/>
    <w:rsid w:val="00841007"/>
    <w:rsid w:val="00841BA2"/>
    <w:rsid w:val="00842121"/>
    <w:rsid w:val="008431E2"/>
    <w:rsid w:val="00843BA0"/>
    <w:rsid w:val="00844674"/>
    <w:rsid w:val="00844727"/>
    <w:rsid w:val="00844E60"/>
    <w:rsid w:val="00847F32"/>
    <w:rsid w:val="00851AFA"/>
    <w:rsid w:val="00852A0C"/>
    <w:rsid w:val="00852B49"/>
    <w:rsid w:val="0085316D"/>
    <w:rsid w:val="00853334"/>
    <w:rsid w:val="00853666"/>
    <w:rsid w:val="00853C53"/>
    <w:rsid w:val="00855584"/>
    <w:rsid w:val="008575AD"/>
    <w:rsid w:val="00857739"/>
    <w:rsid w:val="0086036F"/>
    <w:rsid w:val="008630E9"/>
    <w:rsid w:val="00863540"/>
    <w:rsid w:val="00864A00"/>
    <w:rsid w:val="00864A58"/>
    <w:rsid w:val="00864A90"/>
    <w:rsid w:val="008660A4"/>
    <w:rsid w:val="008713E9"/>
    <w:rsid w:val="008720E1"/>
    <w:rsid w:val="00872861"/>
    <w:rsid w:val="00872956"/>
    <w:rsid w:val="00872C38"/>
    <w:rsid w:val="00872DE1"/>
    <w:rsid w:val="00873002"/>
    <w:rsid w:val="008735BD"/>
    <w:rsid w:val="0087383B"/>
    <w:rsid w:val="0087403A"/>
    <w:rsid w:val="0087403B"/>
    <w:rsid w:val="008746BF"/>
    <w:rsid w:val="00875ADD"/>
    <w:rsid w:val="00876C6F"/>
    <w:rsid w:val="008807A0"/>
    <w:rsid w:val="0088142D"/>
    <w:rsid w:val="00881448"/>
    <w:rsid w:val="0088184F"/>
    <w:rsid w:val="00881EAB"/>
    <w:rsid w:val="0088205E"/>
    <w:rsid w:val="00883078"/>
    <w:rsid w:val="00883486"/>
    <w:rsid w:val="00883C99"/>
    <w:rsid w:val="00884088"/>
    <w:rsid w:val="00884717"/>
    <w:rsid w:val="00885303"/>
    <w:rsid w:val="0088531B"/>
    <w:rsid w:val="00886039"/>
    <w:rsid w:val="008868AB"/>
    <w:rsid w:val="00887C8F"/>
    <w:rsid w:val="00890136"/>
    <w:rsid w:val="00890F3D"/>
    <w:rsid w:val="008917CB"/>
    <w:rsid w:val="0089302E"/>
    <w:rsid w:val="008930D1"/>
    <w:rsid w:val="008973B9"/>
    <w:rsid w:val="00897797"/>
    <w:rsid w:val="008A15CD"/>
    <w:rsid w:val="008A1C23"/>
    <w:rsid w:val="008A28FA"/>
    <w:rsid w:val="008A2B13"/>
    <w:rsid w:val="008A2F29"/>
    <w:rsid w:val="008A3EA2"/>
    <w:rsid w:val="008A504A"/>
    <w:rsid w:val="008A52C5"/>
    <w:rsid w:val="008A5956"/>
    <w:rsid w:val="008A5C44"/>
    <w:rsid w:val="008A629F"/>
    <w:rsid w:val="008A727B"/>
    <w:rsid w:val="008A7FD6"/>
    <w:rsid w:val="008B2F95"/>
    <w:rsid w:val="008B3FC5"/>
    <w:rsid w:val="008B4B83"/>
    <w:rsid w:val="008B590F"/>
    <w:rsid w:val="008B6A51"/>
    <w:rsid w:val="008B747F"/>
    <w:rsid w:val="008C06C2"/>
    <w:rsid w:val="008C2B02"/>
    <w:rsid w:val="008C2B4C"/>
    <w:rsid w:val="008C2C18"/>
    <w:rsid w:val="008C7DB7"/>
    <w:rsid w:val="008D14B6"/>
    <w:rsid w:val="008D1DFB"/>
    <w:rsid w:val="008D20F2"/>
    <w:rsid w:val="008D25AD"/>
    <w:rsid w:val="008D2AB8"/>
    <w:rsid w:val="008D326D"/>
    <w:rsid w:val="008D339C"/>
    <w:rsid w:val="008D4DF8"/>
    <w:rsid w:val="008D541C"/>
    <w:rsid w:val="008D5428"/>
    <w:rsid w:val="008D6006"/>
    <w:rsid w:val="008D72A7"/>
    <w:rsid w:val="008E1526"/>
    <w:rsid w:val="008E16E0"/>
    <w:rsid w:val="008E260E"/>
    <w:rsid w:val="008E385C"/>
    <w:rsid w:val="008E3E3E"/>
    <w:rsid w:val="008E3EBC"/>
    <w:rsid w:val="008E4214"/>
    <w:rsid w:val="008E43E2"/>
    <w:rsid w:val="008E4B4E"/>
    <w:rsid w:val="008E4F2B"/>
    <w:rsid w:val="008E5C17"/>
    <w:rsid w:val="008E5FB2"/>
    <w:rsid w:val="008E6460"/>
    <w:rsid w:val="008E6535"/>
    <w:rsid w:val="008E6F71"/>
    <w:rsid w:val="008E7246"/>
    <w:rsid w:val="008F0AFE"/>
    <w:rsid w:val="008F13BC"/>
    <w:rsid w:val="008F22A4"/>
    <w:rsid w:val="008F3075"/>
    <w:rsid w:val="008F3EC0"/>
    <w:rsid w:val="008F4805"/>
    <w:rsid w:val="008F5C28"/>
    <w:rsid w:val="008F63CE"/>
    <w:rsid w:val="008F6D33"/>
    <w:rsid w:val="008F7422"/>
    <w:rsid w:val="008F79D1"/>
    <w:rsid w:val="00900F6A"/>
    <w:rsid w:val="009019E0"/>
    <w:rsid w:val="00901D4F"/>
    <w:rsid w:val="00903316"/>
    <w:rsid w:val="00903742"/>
    <w:rsid w:val="0090442F"/>
    <w:rsid w:val="00905876"/>
    <w:rsid w:val="00905F74"/>
    <w:rsid w:val="00906197"/>
    <w:rsid w:val="00906254"/>
    <w:rsid w:val="00906B67"/>
    <w:rsid w:val="00907298"/>
    <w:rsid w:val="00907F48"/>
    <w:rsid w:val="00910689"/>
    <w:rsid w:val="009111D7"/>
    <w:rsid w:val="0091178F"/>
    <w:rsid w:val="00911B0B"/>
    <w:rsid w:val="00912BE8"/>
    <w:rsid w:val="00912D11"/>
    <w:rsid w:val="00912ECF"/>
    <w:rsid w:val="00913B58"/>
    <w:rsid w:val="0091412E"/>
    <w:rsid w:val="00914E34"/>
    <w:rsid w:val="009157D2"/>
    <w:rsid w:val="00915903"/>
    <w:rsid w:val="0091625A"/>
    <w:rsid w:val="00916D3F"/>
    <w:rsid w:val="00922991"/>
    <w:rsid w:val="00923B50"/>
    <w:rsid w:val="00923E03"/>
    <w:rsid w:val="00925303"/>
    <w:rsid w:val="0092576B"/>
    <w:rsid w:val="00926312"/>
    <w:rsid w:val="009263FA"/>
    <w:rsid w:val="0092648D"/>
    <w:rsid w:val="0093015E"/>
    <w:rsid w:val="009301CA"/>
    <w:rsid w:val="0093150F"/>
    <w:rsid w:val="00931984"/>
    <w:rsid w:val="00932567"/>
    <w:rsid w:val="00933312"/>
    <w:rsid w:val="009351B1"/>
    <w:rsid w:val="009357FD"/>
    <w:rsid w:val="0093587B"/>
    <w:rsid w:val="00935B78"/>
    <w:rsid w:val="00940123"/>
    <w:rsid w:val="00942D2B"/>
    <w:rsid w:val="00943EB7"/>
    <w:rsid w:val="00943F93"/>
    <w:rsid w:val="00944543"/>
    <w:rsid w:val="00944C25"/>
    <w:rsid w:val="00944F3B"/>
    <w:rsid w:val="009459EA"/>
    <w:rsid w:val="00947872"/>
    <w:rsid w:val="00947B14"/>
    <w:rsid w:val="009506CF"/>
    <w:rsid w:val="00950D6A"/>
    <w:rsid w:val="00950F9D"/>
    <w:rsid w:val="00951C28"/>
    <w:rsid w:val="00952DB3"/>
    <w:rsid w:val="00953D9C"/>
    <w:rsid w:val="009546FE"/>
    <w:rsid w:val="009548F1"/>
    <w:rsid w:val="00955AD8"/>
    <w:rsid w:val="009560AE"/>
    <w:rsid w:val="009603BC"/>
    <w:rsid w:val="00960B51"/>
    <w:rsid w:val="00960C24"/>
    <w:rsid w:val="009613C8"/>
    <w:rsid w:val="0096143B"/>
    <w:rsid w:val="00962E94"/>
    <w:rsid w:val="00962FC4"/>
    <w:rsid w:val="00963EBC"/>
    <w:rsid w:val="009655D0"/>
    <w:rsid w:val="0096613C"/>
    <w:rsid w:val="009721E5"/>
    <w:rsid w:val="0097293D"/>
    <w:rsid w:val="00972B15"/>
    <w:rsid w:val="0097309E"/>
    <w:rsid w:val="00973D32"/>
    <w:rsid w:val="00974FCE"/>
    <w:rsid w:val="00976D9B"/>
    <w:rsid w:val="00977165"/>
    <w:rsid w:val="00980A19"/>
    <w:rsid w:val="0098250F"/>
    <w:rsid w:val="00982DEF"/>
    <w:rsid w:val="00983325"/>
    <w:rsid w:val="009834FA"/>
    <w:rsid w:val="00983538"/>
    <w:rsid w:val="00983960"/>
    <w:rsid w:val="0098467C"/>
    <w:rsid w:val="009865D5"/>
    <w:rsid w:val="00986FC8"/>
    <w:rsid w:val="009907F2"/>
    <w:rsid w:val="00990941"/>
    <w:rsid w:val="00991356"/>
    <w:rsid w:val="00991577"/>
    <w:rsid w:val="00991B6F"/>
    <w:rsid w:val="009920C3"/>
    <w:rsid w:val="0099346F"/>
    <w:rsid w:val="00994B4F"/>
    <w:rsid w:val="00995049"/>
    <w:rsid w:val="0099555D"/>
    <w:rsid w:val="00996119"/>
    <w:rsid w:val="009963E2"/>
    <w:rsid w:val="009971B5"/>
    <w:rsid w:val="009A2E1D"/>
    <w:rsid w:val="009A3367"/>
    <w:rsid w:val="009A48CF"/>
    <w:rsid w:val="009A4AC4"/>
    <w:rsid w:val="009A6EA0"/>
    <w:rsid w:val="009B424A"/>
    <w:rsid w:val="009B4E6E"/>
    <w:rsid w:val="009B60AD"/>
    <w:rsid w:val="009B738E"/>
    <w:rsid w:val="009C08C0"/>
    <w:rsid w:val="009C1265"/>
    <w:rsid w:val="009C129E"/>
    <w:rsid w:val="009C1CF7"/>
    <w:rsid w:val="009C21C1"/>
    <w:rsid w:val="009C3D12"/>
    <w:rsid w:val="009C45B4"/>
    <w:rsid w:val="009C493D"/>
    <w:rsid w:val="009C601C"/>
    <w:rsid w:val="009C6404"/>
    <w:rsid w:val="009C66F7"/>
    <w:rsid w:val="009C6715"/>
    <w:rsid w:val="009D153F"/>
    <w:rsid w:val="009D16D5"/>
    <w:rsid w:val="009D24A0"/>
    <w:rsid w:val="009D2CD0"/>
    <w:rsid w:val="009D39DF"/>
    <w:rsid w:val="009D3A2A"/>
    <w:rsid w:val="009D4739"/>
    <w:rsid w:val="009D598F"/>
    <w:rsid w:val="009D7076"/>
    <w:rsid w:val="009D7D04"/>
    <w:rsid w:val="009E006D"/>
    <w:rsid w:val="009E2389"/>
    <w:rsid w:val="009E287A"/>
    <w:rsid w:val="009E34F7"/>
    <w:rsid w:val="009E3968"/>
    <w:rsid w:val="009E3A3A"/>
    <w:rsid w:val="009E3B90"/>
    <w:rsid w:val="009E4268"/>
    <w:rsid w:val="009E4644"/>
    <w:rsid w:val="009E4AC4"/>
    <w:rsid w:val="009E5AAE"/>
    <w:rsid w:val="009E5BF2"/>
    <w:rsid w:val="009E6BC0"/>
    <w:rsid w:val="009E7F7A"/>
    <w:rsid w:val="009F0899"/>
    <w:rsid w:val="009F121A"/>
    <w:rsid w:val="009F32A0"/>
    <w:rsid w:val="009F3329"/>
    <w:rsid w:val="009F510D"/>
    <w:rsid w:val="009F6B95"/>
    <w:rsid w:val="00A002E2"/>
    <w:rsid w:val="00A02D6D"/>
    <w:rsid w:val="00A03274"/>
    <w:rsid w:val="00A0448C"/>
    <w:rsid w:val="00A05501"/>
    <w:rsid w:val="00A05CF7"/>
    <w:rsid w:val="00A066FE"/>
    <w:rsid w:val="00A06C73"/>
    <w:rsid w:val="00A076E2"/>
    <w:rsid w:val="00A07FD5"/>
    <w:rsid w:val="00A10AF4"/>
    <w:rsid w:val="00A11ABC"/>
    <w:rsid w:val="00A11CFB"/>
    <w:rsid w:val="00A12B2A"/>
    <w:rsid w:val="00A149AD"/>
    <w:rsid w:val="00A16016"/>
    <w:rsid w:val="00A164E0"/>
    <w:rsid w:val="00A16F6A"/>
    <w:rsid w:val="00A17002"/>
    <w:rsid w:val="00A20A3F"/>
    <w:rsid w:val="00A2185D"/>
    <w:rsid w:val="00A22ED6"/>
    <w:rsid w:val="00A24B3F"/>
    <w:rsid w:val="00A24F63"/>
    <w:rsid w:val="00A25862"/>
    <w:rsid w:val="00A261E6"/>
    <w:rsid w:val="00A26595"/>
    <w:rsid w:val="00A305AB"/>
    <w:rsid w:val="00A30A34"/>
    <w:rsid w:val="00A30D96"/>
    <w:rsid w:val="00A31304"/>
    <w:rsid w:val="00A32357"/>
    <w:rsid w:val="00A32835"/>
    <w:rsid w:val="00A32DB9"/>
    <w:rsid w:val="00A3321D"/>
    <w:rsid w:val="00A3467B"/>
    <w:rsid w:val="00A34782"/>
    <w:rsid w:val="00A34F0A"/>
    <w:rsid w:val="00A350F8"/>
    <w:rsid w:val="00A36E15"/>
    <w:rsid w:val="00A37ABE"/>
    <w:rsid w:val="00A37EA6"/>
    <w:rsid w:val="00A40E33"/>
    <w:rsid w:val="00A41702"/>
    <w:rsid w:val="00A42C91"/>
    <w:rsid w:val="00A42ED5"/>
    <w:rsid w:val="00A43665"/>
    <w:rsid w:val="00A44638"/>
    <w:rsid w:val="00A456A1"/>
    <w:rsid w:val="00A50B84"/>
    <w:rsid w:val="00A511F2"/>
    <w:rsid w:val="00A513FF"/>
    <w:rsid w:val="00A51708"/>
    <w:rsid w:val="00A5207B"/>
    <w:rsid w:val="00A52086"/>
    <w:rsid w:val="00A54446"/>
    <w:rsid w:val="00A546C5"/>
    <w:rsid w:val="00A54F0F"/>
    <w:rsid w:val="00A55A4B"/>
    <w:rsid w:val="00A5647D"/>
    <w:rsid w:val="00A575FB"/>
    <w:rsid w:val="00A578E1"/>
    <w:rsid w:val="00A57C1A"/>
    <w:rsid w:val="00A61335"/>
    <w:rsid w:val="00A62CD5"/>
    <w:rsid w:val="00A6336B"/>
    <w:rsid w:val="00A633AA"/>
    <w:rsid w:val="00A63A59"/>
    <w:rsid w:val="00A63A8A"/>
    <w:rsid w:val="00A64749"/>
    <w:rsid w:val="00A664B9"/>
    <w:rsid w:val="00A66E96"/>
    <w:rsid w:val="00A671BB"/>
    <w:rsid w:val="00A67932"/>
    <w:rsid w:val="00A701B1"/>
    <w:rsid w:val="00A70745"/>
    <w:rsid w:val="00A70B35"/>
    <w:rsid w:val="00A71F18"/>
    <w:rsid w:val="00A73309"/>
    <w:rsid w:val="00A7333B"/>
    <w:rsid w:val="00A75887"/>
    <w:rsid w:val="00A77A80"/>
    <w:rsid w:val="00A8193B"/>
    <w:rsid w:val="00A837CF"/>
    <w:rsid w:val="00A83A79"/>
    <w:rsid w:val="00A842A1"/>
    <w:rsid w:val="00A8500A"/>
    <w:rsid w:val="00A85777"/>
    <w:rsid w:val="00A85D7B"/>
    <w:rsid w:val="00A8612C"/>
    <w:rsid w:val="00A87AFC"/>
    <w:rsid w:val="00A9100A"/>
    <w:rsid w:val="00A9176F"/>
    <w:rsid w:val="00A91B8A"/>
    <w:rsid w:val="00A93232"/>
    <w:rsid w:val="00A93997"/>
    <w:rsid w:val="00A93EEE"/>
    <w:rsid w:val="00A95C10"/>
    <w:rsid w:val="00AA2641"/>
    <w:rsid w:val="00AA2712"/>
    <w:rsid w:val="00AA31AF"/>
    <w:rsid w:val="00AA33AA"/>
    <w:rsid w:val="00AA3436"/>
    <w:rsid w:val="00AA4DFE"/>
    <w:rsid w:val="00AA7700"/>
    <w:rsid w:val="00AA775A"/>
    <w:rsid w:val="00AA7963"/>
    <w:rsid w:val="00AB03AF"/>
    <w:rsid w:val="00AB0F64"/>
    <w:rsid w:val="00AB30A4"/>
    <w:rsid w:val="00AB33D6"/>
    <w:rsid w:val="00AB39A1"/>
    <w:rsid w:val="00AB4C37"/>
    <w:rsid w:val="00AB4EBF"/>
    <w:rsid w:val="00AB50E7"/>
    <w:rsid w:val="00AB794F"/>
    <w:rsid w:val="00AB7CC6"/>
    <w:rsid w:val="00AB7F2E"/>
    <w:rsid w:val="00AC0A71"/>
    <w:rsid w:val="00AC2DAF"/>
    <w:rsid w:val="00AC3BD0"/>
    <w:rsid w:val="00AC4207"/>
    <w:rsid w:val="00AC4757"/>
    <w:rsid w:val="00AC4987"/>
    <w:rsid w:val="00AC5441"/>
    <w:rsid w:val="00AC564A"/>
    <w:rsid w:val="00AC59AB"/>
    <w:rsid w:val="00AC5ED7"/>
    <w:rsid w:val="00AC6578"/>
    <w:rsid w:val="00AC6887"/>
    <w:rsid w:val="00AC7EC6"/>
    <w:rsid w:val="00AD0821"/>
    <w:rsid w:val="00AD103B"/>
    <w:rsid w:val="00AD433E"/>
    <w:rsid w:val="00AD5835"/>
    <w:rsid w:val="00AD6FD8"/>
    <w:rsid w:val="00AD7B47"/>
    <w:rsid w:val="00AD7E0D"/>
    <w:rsid w:val="00AE16EE"/>
    <w:rsid w:val="00AE1A16"/>
    <w:rsid w:val="00AE1DE6"/>
    <w:rsid w:val="00AE244C"/>
    <w:rsid w:val="00AE4814"/>
    <w:rsid w:val="00AE5219"/>
    <w:rsid w:val="00AE573A"/>
    <w:rsid w:val="00AE62BE"/>
    <w:rsid w:val="00AE7890"/>
    <w:rsid w:val="00AF0060"/>
    <w:rsid w:val="00AF027E"/>
    <w:rsid w:val="00AF0628"/>
    <w:rsid w:val="00AF109C"/>
    <w:rsid w:val="00AF170D"/>
    <w:rsid w:val="00AF3257"/>
    <w:rsid w:val="00AF3872"/>
    <w:rsid w:val="00AF489C"/>
    <w:rsid w:val="00AF4BF7"/>
    <w:rsid w:val="00AF522F"/>
    <w:rsid w:val="00AF53B6"/>
    <w:rsid w:val="00AF5443"/>
    <w:rsid w:val="00AF6E31"/>
    <w:rsid w:val="00AF79A3"/>
    <w:rsid w:val="00AF7AC6"/>
    <w:rsid w:val="00B004D6"/>
    <w:rsid w:val="00B00749"/>
    <w:rsid w:val="00B018C3"/>
    <w:rsid w:val="00B0275E"/>
    <w:rsid w:val="00B02E02"/>
    <w:rsid w:val="00B0643C"/>
    <w:rsid w:val="00B1081A"/>
    <w:rsid w:val="00B10F06"/>
    <w:rsid w:val="00B11BF2"/>
    <w:rsid w:val="00B11DAE"/>
    <w:rsid w:val="00B12620"/>
    <w:rsid w:val="00B12FE4"/>
    <w:rsid w:val="00B13A57"/>
    <w:rsid w:val="00B14DF4"/>
    <w:rsid w:val="00B16C3F"/>
    <w:rsid w:val="00B170E6"/>
    <w:rsid w:val="00B17AB6"/>
    <w:rsid w:val="00B17BF4"/>
    <w:rsid w:val="00B208E9"/>
    <w:rsid w:val="00B21AE1"/>
    <w:rsid w:val="00B21D26"/>
    <w:rsid w:val="00B24008"/>
    <w:rsid w:val="00B24284"/>
    <w:rsid w:val="00B26A10"/>
    <w:rsid w:val="00B31070"/>
    <w:rsid w:val="00B33CBD"/>
    <w:rsid w:val="00B35249"/>
    <w:rsid w:val="00B35EE9"/>
    <w:rsid w:val="00B361B3"/>
    <w:rsid w:val="00B36366"/>
    <w:rsid w:val="00B365BA"/>
    <w:rsid w:val="00B3666F"/>
    <w:rsid w:val="00B36F19"/>
    <w:rsid w:val="00B370A0"/>
    <w:rsid w:val="00B376AA"/>
    <w:rsid w:val="00B40E94"/>
    <w:rsid w:val="00B413E3"/>
    <w:rsid w:val="00B41DF7"/>
    <w:rsid w:val="00B42449"/>
    <w:rsid w:val="00B42774"/>
    <w:rsid w:val="00B43668"/>
    <w:rsid w:val="00B43C8A"/>
    <w:rsid w:val="00B457C4"/>
    <w:rsid w:val="00B50F69"/>
    <w:rsid w:val="00B50FD5"/>
    <w:rsid w:val="00B519E7"/>
    <w:rsid w:val="00B524A5"/>
    <w:rsid w:val="00B530A6"/>
    <w:rsid w:val="00B53577"/>
    <w:rsid w:val="00B538E5"/>
    <w:rsid w:val="00B53932"/>
    <w:rsid w:val="00B540A7"/>
    <w:rsid w:val="00B54564"/>
    <w:rsid w:val="00B5480A"/>
    <w:rsid w:val="00B55553"/>
    <w:rsid w:val="00B5684B"/>
    <w:rsid w:val="00B57A24"/>
    <w:rsid w:val="00B62DC2"/>
    <w:rsid w:val="00B635C7"/>
    <w:rsid w:val="00B6374C"/>
    <w:rsid w:val="00B63FB0"/>
    <w:rsid w:val="00B651A4"/>
    <w:rsid w:val="00B663BF"/>
    <w:rsid w:val="00B70335"/>
    <w:rsid w:val="00B71476"/>
    <w:rsid w:val="00B71D88"/>
    <w:rsid w:val="00B72572"/>
    <w:rsid w:val="00B746AC"/>
    <w:rsid w:val="00B7595F"/>
    <w:rsid w:val="00B75FAB"/>
    <w:rsid w:val="00B765A4"/>
    <w:rsid w:val="00B7723C"/>
    <w:rsid w:val="00B774D2"/>
    <w:rsid w:val="00B82705"/>
    <w:rsid w:val="00B8415F"/>
    <w:rsid w:val="00B841BF"/>
    <w:rsid w:val="00B84883"/>
    <w:rsid w:val="00B85BD3"/>
    <w:rsid w:val="00B860FC"/>
    <w:rsid w:val="00B86752"/>
    <w:rsid w:val="00B8759F"/>
    <w:rsid w:val="00B87BD4"/>
    <w:rsid w:val="00B902B8"/>
    <w:rsid w:val="00B91790"/>
    <w:rsid w:val="00B91D00"/>
    <w:rsid w:val="00B9491D"/>
    <w:rsid w:val="00B95DE9"/>
    <w:rsid w:val="00B9700C"/>
    <w:rsid w:val="00B97FCC"/>
    <w:rsid w:val="00BA16E8"/>
    <w:rsid w:val="00BA3AA9"/>
    <w:rsid w:val="00BA3C92"/>
    <w:rsid w:val="00BA4EC0"/>
    <w:rsid w:val="00BA525E"/>
    <w:rsid w:val="00BA5F29"/>
    <w:rsid w:val="00BA631B"/>
    <w:rsid w:val="00BA66B0"/>
    <w:rsid w:val="00BA71AB"/>
    <w:rsid w:val="00BA7CC3"/>
    <w:rsid w:val="00BB00A3"/>
    <w:rsid w:val="00BB0C9B"/>
    <w:rsid w:val="00BB3A5A"/>
    <w:rsid w:val="00BB5055"/>
    <w:rsid w:val="00BB6841"/>
    <w:rsid w:val="00BB7682"/>
    <w:rsid w:val="00BC10D1"/>
    <w:rsid w:val="00BC1232"/>
    <w:rsid w:val="00BC2482"/>
    <w:rsid w:val="00BC32F5"/>
    <w:rsid w:val="00BC3881"/>
    <w:rsid w:val="00BC3F42"/>
    <w:rsid w:val="00BC4D00"/>
    <w:rsid w:val="00BC5E75"/>
    <w:rsid w:val="00BC6439"/>
    <w:rsid w:val="00BD0585"/>
    <w:rsid w:val="00BD0828"/>
    <w:rsid w:val="00BD08C0"/>
    <w:rsid w:val="00BD21D7"/>
    <w:rsid w:val="00BD2FB9"/>
    <w:rsid w:val="00BD3383"/>
    <w:rsid w:val="00BD4240"/>
    <w:rsid w:val="00BD485F"/>
    <w:rsid w:val="00BD4B5A"/>
    <w:rsid w:val="00BD723C"/>
    <w:rsid w:val="00BD7265"/>
    <w:rsid w:val="00BD7C0E"/>
    <w:rsid w:val="00BD7EC1"/>
    <w:rsid w:val="00BE01DC"/>
    <w:rsid w:val="00BE04A5"/>
    <w:rsid w:val="00BE074D"/>
    <w:rsid w:val="00BE09DC"/>
    <w:rsid w:val="00BE1187"/>
    <w:rsid w:val="00BE11BA"/>
    <w:rsid w:val="00BE127D"/>
    <w:rsid w:val="00BE18B0"/>
    <w:rsid w:val="00BE1D38"/>
    <w:rsid w:val="00BE2F56"/>
    <w:rsid w:val="00BE2FDA"/>
    <w:rsid w:val="00BE35EC"/>
    <w:rsid w:val="00BE3DA8"/>
    <w:rsid w:val="00BE40D6"/>
    <w:rsid w:val="00BE40EB"/>
    <w:rsid w:val="00BE41FA"/>
    <w:rsid w:val="00BE4968"/>
    <w:rsid w:val="00BE5827"/>
    <w:rsid w:val="00BE6810"/>
    <w:rsid w:val="00BE7B32"/>
    <w:rsid w:val="00BE7BDC"/>
    <w:rsid w:val="00BF1216"/>
    <w:rsid w:val="00BF1441"/>
    <w:rsid w:val="00BF1ADC"/>
    <w:rsid w:val="00BF1BD2"/>
    <w:rsid w:val="00BF2EF4"/>
    <w:rsid w:val="00BF3706"/>
    <w:rsid w:val="00BF438B"/>
    <w:rsid w:val="00BF4BD1"/>
    <w:rsid w:val="00BF53C5"/>
    <w:rsid w:val="00BF552D"/>
    <w:rsid w:val="00BF5CED"/>
    <w:rsid w:val="00C00963"/>
    <w:rsid w:val="00C01821"/>
    <w:rsid w:val="00C01C06"/>
    <w:rsid w:val="00C02473"/>
    <w:rsid w:val="00C02F33"/>
    <w:rsid w:val="00C04091"/>
    <w:rsid w:val="00C04181"/>
    <w:rsid w:val="00C04372"/>
    <w:rsid w:val="00C04A5D"/>
    <w:rsid w:val="00C0554E"/>
    <w:rsid w:val="00C0612C"/>
    <w:rsid w:val="00C06705"/>
    <w:rsid w:val="00C06CA7"/>
    <w:rsid w:val="00C07798"/>
    <w:rsid w:val="00C078B0"/>
    <w:rsid w:val="00C07A9C"/>
    <w:rsid w:val="00C1078F"/>
    <w:rsid w:val="00C10C09"/>
    <w:rsid w:val="00C13F9D"/>
    <w:rsid w:val="00C14706"/>
    <w:rsid w:val="00C1507C"/>
    <w:rsid w:val="00C1525A"/>
    <w:rsid w:val="00C16938"/>
    <w:rsid w:val="00C16A88"/>
    <w:rsid w:val="00C178AE"/>
    <w:rsid w:val="00C21C67"/>
    <w:rsid w:val="00C22B43"/>
    <w:rsid w:val="00C22D0F"/>
    <w:rsid w:val="00C2481F"/>
    <w:rsid w:val="00C24FEB"/>
    <w:rsid w:val="00C2595D"/>
    <w:rsid w:val="00C25F8F"/>
    <w:rsid w:val="00C275B5"/>
    <w:rsid w:val="00C277D1"/>
    <w:rsid w:val="00C304DE"/>
    <w:rsid w:val="00C316DF"/>
    <w:rsid w:val="00C32626"/>
    <w:rsid w:val="00C33409"/>
    <w:rsid w:val="00C3416E"/>
    <w:rsid w:val="00C34695"/>
    <w:rsid w:val="00C353E2"/>
    <w:rsid w:val="00C36B9D"/>
    <w:rsid w:val="00C377E2"/>
    <w:rsid w:val="00C37855"/>
    <w:rsid w:val="00C37897"/>
    <w:rsid w:val="00C40BFD"/>
    <w:rsid w:val="00C41BC7"/>
    <w:rsid w:val="00C4210A"/>
    <w:rsid w:val="00C42A31"/>
    <w:rsid w:val="00C42ACF"/>
    <w:rsid w:val="00C4430B"/>
    <w:rsid w:val="00C4686C"/>
    <w:rsid w:val="00C46FC4"/>
    <w:rsid w:val="00C5031F"/>
    <w:rsid w:val="00C503A1"/>
    <w:rsid w:val="00C50D33"/>
    <w:rsid w:val="00C54320"/>
    <w:rsid w:val="00C54436"/>
    <w:rsid w:val="00C54B32"/>
    <w:rsid w:val="00C552C0"/>
    <w:rsid w:val="00C55586"/>
    <w:rsid w:val="00C55A28"/>
    <w:rsid w:val="00C55BAB"/>
    <w:rsid w:val="00C560EA"/>
    <w:rsid w:val="00C56E66"/>
    <w:rsid w:val="00C6042E"/>
    <w:rsid w:val="00C62CDA"/>
    <w:rsid w:val="00C63064"/>
    <w:rsid w:val="00C63F1B"/>
    <w:rsid w:val="00C6540D"/>
    <w:rsid w:val="00C66C31"/>
    <w:rsid w:val="00C66F30"/>
    <w:rsid w:val="00C67AF1"/>
    <w:rsid w:val="00C705AE"/>
    <w:rsid w:val="00C70809"/>
    <w:rsid w:val="00C718D1"/>
    <w:rsid w:val="00C75513"/>
    <w:rsid w:val="00C75EC5"/>
    <w:rsid w:val="00C76400"/>
    <w:rsid w:val="00C7650C"/>
    <w:rsid w:val="00C7694C"/>
    <w:rsid w:val="00C77572"/>
    <w:rsid w:val="00C80514"/>
    <w:rsid w:val="00C80885"/>
    <w:rsid w:val="00C80925"/>
    <w:rsid w:val="00C80F2B"/>
    <w:rsid w:val="00C81DB9"/>
    <w:rsid w:val="00C823A1"/>
    <w:rsid w:val="00C82B0C"/>
    <w:rsid w:val="00C85045"/>
    <w:rsid w:val="00C867DB"/>
    <w:rsid w:val="00C86C11"/>
    <w:rsid w:val="00C87B97"/>
    <w:rsid w:val="00C90296"/>
    <w:rsid w:val="00C9145A"/>
    <w:rsid w:val="00C931D2"/>
    <w:rsid w:val="00C93789"/>
    <w:rsid w:val="00C9470D"/>
    <w:rsid w:val="00C951C5"/>
    <w:rsid w:val="00C9558A"/>
    <w:rsid w:val="00C959E1"/>
    <w:rsid w:val="00CA085E"/>
    <w:rsid w:val="00CA1198"/>
    <w:rsid w:val="00CA1B8A"/>
    <w:rsid w:val="00CA2BF4"/>
    <w:rsid w:val="00CA52DF"/>
    <w:rsid w:val="00CA6F37"/>
    <w:rsid w:val="00CA7472"/>
    <w:rsid w:val="00CB00CC"/>
    <w:rsid w:val="00CB0C3E"/>
    <w:rsid w:val="00CB1501"/>
    <w:rsid w:val="00CB15B5"/>
    <w:rsid w:val="00CB2523"/>
    <w:rsid w:val="00CB2B41"/>
    <w:rsid w:val="00CB2C52"/>
    <w:rsid w:val="00CB6F46"/>
    <w:rsid w:val="00CB7D7A"/>
    <w:rsid w:val="00CB7DD9"/>
    <w:rsid w:val="00CC0151"/>
    <w:rsid w:val="00CC468C"/>
    <w:rsid w:val="00CC5049"/>
    <w:rsid w:val="00CC58F2"/>
    <w:rsid w:val="00CC6BED"/>
    <w:rsid w:val="00CC744D"/>
    <w:rsid w:val="00CC7583"/>
    <w:rsid w:val="00CD0B93"/>
    <w:rsid w:val="00CD1454"/>
    <w:rsid w:val="00CD1958"/>
    <w:rsid w:val="00CD265E"/>
    <w:rsid w:val="00CD3734"/>
    <w:rsid w:val="00CD3AB9"/>
    <w:rsid w:val="00CD439C"/>
    <w:rsid w:val="00CD4902"/>
    <w:rsid w:val="00CD5BF2"/>
    <w:rsid w:val="00CD5C55"/>
    <w:rsid w:val="00CD7049"/>
    <w:rsid w:val="00CD709D"/>
    <w:rsid w:val="00CE03A5"/>
    <w:rsid w:val="00CE074B"/>
    <w:rsid w:val="00CE0BB6"/>
    <w:rsid w:val="00CE1D9D"/>
    <w:rsid w:val="00CE42FC"/>
    <w:rsid w:val="00CE5D78"/>
    <w:rsid w:val="00CE619F"/>
    <w:rsid w:val="00CE670C"/>
    <w:rsid w:val="00CF10C7"/>
    <w:rsid w:val="00CF47EC"/>
    <w:rsid w:val="00CF5B37"/>
    <w:rsid w:val="00D00302"/>
    <w:rsid w:val="00D0060E"/>
    <w:rsid w:val="00D00996"/>
    <w:rsid w:val="00D00CE5"/>
    <w:rsid w:val="00D01652"/>
    <w:rsid w:val="00D0297D"/>
    <w:rsid w:val="00D03458"/>
    <w:rsid w:val="00D050F8"/>
    <w:rsid w:val="00D0527C"/>
    <w:rsid w:val="00D052A4"/>
    <w:rsid w:val="00D05E35"/>
    <w:rsid w:val="00D0611E"/>
    <w:rsid w:val="00D078E4"/>
    <w:rsid w:val="00D113ED"/>
    <w:rsid w:val="00D12F8D"/>
    <w:rsid w:val="00D13B70"/>
    <w:rsid w:val="00D13D12"/>
    <w:rsid w:val="00D15311"/>
    <w:rsid w:val="00D16368"/>
    <w:rsid w:val="00D172E3"/>
    <w:rsid w:val="00D17AEB"/>
    <w:rsid w:val="00D17B0A"/>
    <w:rsid w:val="00D205E9"/>
    <w:rsid w:val="00D21754"/>
    <w:rsid w:val="00D22AC4"/>
    <w:rsid w:val="00D23F8A"/>
    <w:rsid w:val="00D24FA7"/>
    <w:rsid w:val="00D251BD"/>
    <w:rsid w:val="00D2664D"/>
    <w:rsid w:val="00D2710D"/>
    <w:rsid w:val="00D27289"/>
    <w:rsid w:val="00D30AEF"/>
    <w:rsid w:val="00D311B2"/>
    <w:rsid w:val="00D32173"/>
    <w:rsid w:val="00D33524"/>
    <w:rsid w:val="00D341F9"/>
    <w:rsid w:val="00D34CCE"/>
    <w:rsid w:val="00D37155"/>
    <w:rsid w:val="00D405AE"/>
    <w:rsid w:val="00D40633"/>
    <w:rsid w:val="00D408C7"/>
    <w:rsid w:val="00D418E1"/>
    <w:rsid w:val="00D438E7"/>
    <w:rsid w:val="00D43D67"/>
    <w:rsid w:val="00D45759"/>
    <w:rsid w:val="00D4694D"/>
    <w:rsid w:val="00D46AE8"/>
    <w:rsid w:val="00D4701F"/>
    <w:rsid w:val="00D47EF7"/>
    <w:rsid w:val="00D51B23"/>
    <w:rsid w:val="00D51DF8"/>
    <w:rsid w:val="00D525E4"/>
    <w:rsid w:val="00D52685"/>
    <w:rsid w:val="00D527AC"/>
    <w:rsid w:val="00D52860"/>
    <w:rsid w:val="00D53B09"/>
    <w:rsid w:val="00D55E9B"/>
    <w:rsid w:val="00D56A27"/>
    <w:rsid w:val="00D61AE6"/>
    <w:rsid w:val="00D63094"/>
    <w:rsid w:val="00D643E9"/>
    <w:rsid w:val="00D64750"/>
    <w:rsid w:val="00D656CD"/>
    <w:rsid w:val="00D669E1"/>
    <w:rsid w:val="00D706D3"/>
    <w:rsid w:val="00D7141E"/>
    <w:rsid w:val="00D7269E"/>
    <w:rsid w:val="00D72E60"/>
    <w:rsid w:val="00D734B1"/>
    <w:rsid w:val="00D738ED"/>
    <w:rsid w:val="00D73C59"/>
    <w:rsid w:val="00D74244"/>
    <w:rsid w:val="00D75306"/>
    <w:rsid w:val="00D75393"/>
    <w:rsid w:val="00D75880"/>
    <w:rsid w:val="00D76A4A"/>
    <w:rsid w:val="00D8078F"/>
    <w:rsid w:val="00D81F7E"/>
    <w:rsid w:val="00D83652"/>
    <w:rsid w:val="00D841A1"/>
    <w:rsid w:val="00D84E5D"/>
    <w:rsid w:val="00D85900"/>
    <w:rsid w:val="00D86948"/>
    <w:rsid w:val="00D86FC2"/>
    <w:rsid w:val="00D87328"/>
    <w:rsid w:val="00D8746E"/>
    <w:rsid w:val="00D8757C"/>
    <w:rsid w:val="00D879EC"/>
    <w:rsid w:val="00D905A3"/>
    <w:rsid w:val="00D911FE"/>
    <w:rsid w:val="00D91A03"/>
    <w:rsid w:val="00D92AE4"/>
    <w:rsid w:val="00D92E19"/>
    <w:rsid w:val="00D9343A"/>
    <w:rsid w:val="00D93B4D"/>
    <w:rsid w:val="00D94658"/>
    <w:rsid w:val="00D94E03"/>
    <w:rsid w:val="00D95C15"/>
    <w:rsid w:val="00DA01B0"/>
    <w:rsid w:val="00DA1C34"/>
    <w:rsid w:val="00DA22B2"/>
    <w:rsid w:val="00DA282F"/>
    <w:rsid w:val="00DA35E3"/>
    <w:rsid w:val="00DA395E"/>
    <w:rsid w:val="00DA4702"/>
    <w:rsid w:val="00DA47BF"/>
    <w:rsid w:val="00DA640C"/>
    <w:rsid w:val="00DA6694"/>
    <w:rsid w:val="00DB00D0"/>
    <w:rsid w:val="00DB0397"/>
    <w:rsid w:val="00DB0572"/>
    <w:rsid w:val="00DB0CC7"/>
    <w:rsid w:val="00DB231B"/>
    <w:rsid w:val="00DB2579"/>
    <w:rsid w:val="00DB2AA4"/>
    <w:rsid w:val="00DB3C1E"/>
    <w:rsid w:val="00DB5073"/>
    <w:rsid w:val="00DB623B"/>
    <w:rsid w:val="00DB68CB"/>
    <w:rsid w:val="00DB690B"/>
    <w:rsid w:val="00DB7E7E"/>
    <w:rsid w:val="00DC0852"/>
    <w:rsid w:val="00DC2381"/>
    <w:rsid w:val="00DC26C9"/>
    <w:rsid w:val="00DC2D20"/>
    <w:rsid w:val="00DC2E00"/>
    <w:rsid w:val="00DC3366"/>
    <w:rsid w:val="00DC40A8"/>
    <w:rsid w:val="00DC4296"/>
    <w:rsid w:val="00DC4BCB"/>
    <w:rsid w:val="00DC51AD"/>
    <w:rsid w:val="00DD1027"/>
    <w:rsid w:val="00DD1F0C"/>
    <w:rsid w:val="00DD207D"/>
    <w:rsid w:val="00DD385F"/>
    <w:rsid w:val="00DD3B43"/>
    <w:rsid w:val="00DD4550"/>
    <w:rsid w:val="00DD62C0"/>
    <w:rsid w:val="00DD7415"/>
    <w:rsid w:val="00DD7F16"/>
    <w:rsid w:val="00DE082F"/>
    <w:rsid w:val="00DE1D40"/>
    <w:rsid w:val="00DE211C"/>
    <w:rsid w:val="00DE3A46"/>
    <w:rsid w:val="00DE3D2F"/>
    <w:rsid w:val="00DE5F7A"/>
    <w:rsid w:val="00DE6913"/>
    <w:rsid w:val="00DF01F8"/>
    <w:rsid w:val="00DF245C"/>
    <w:rsid w:val="00DF340D"/>
    <w:rsid w:val="00DF522F"/>
    <w:rsid w:val="00DF5389"/>
    <w:rsid w:val="00DF58B8"/>
    <w:rsid w:val="00DF5C22"/>
    <w:rsid w:val="00DF65C9"/>
    <w:rsid w:val="00DF68C4"/>
    <w:rsid w:val="00DF70EA"/>
    <w:rsid w:val="00E00D2C"/>
    <w:rsid w:val="00E020F2"/>
    <w:rsid w:val="00E022EA"/>
    <w:rsid w:val="00E0351A"/>
    <w:rsid w:val="00E037C2"/>
    <w:rsid w:val="00E05F66"/>
    <w:rsid w:val="00E07DDC"/>
    <w:rsid w:val="00E07EC8"/>
    <w:rsid w:val="00E105E0"/>
    <w:rsid w:val="00E10FD0"/>
    <w:rsid w:val="00E12F94"/>
    <w:rsid w:val="00E145AC"/>
    <w:rsid w:val="00E14A70"/>
    <w:rsid w:val="00E14DAD"/>
    <w:rsid w:val="00E14E6B"/>
    <w:rsid w:val="00E15996"/>
    <w:rsid w:val="00E16150"/>
    <w:rsid w:val="00E16299"/>
    <w:rsid w:val="00E202BE"/>
    <w:rsid w:val="00E216A0"/>
    <w:rsid w:val="00E21876"/>
    <w:rsid w:val="00E21BE4"/>
    <w:rsid w:val="00E21CFE"/>
    <w:rsid w:val="00E224F1"/>
    <w:rsid w:val="00E23596"/>
    <w:rsid w:val="00E24117"/>
    <w:rsid w:val="00E260E8"/>
    <w:rsid w:val="00E26F7F"/>
    <w:rsid w:val="00E2702E"/>
    <w:rsid w:val="00E27E26"/>
    <w:rsid w:val="00E31DA2"/>
    <w:rsid w:val="00E31DF3"/>
    <w:rsid w:val="00E31E7B"/>
    <w:rsid w:val="00E3462C"/>
    <w:rsid w:val="00E34A22"/>
    <w:rsid w:val="00E34D3B"/>
    <w:rsid w:val="00E358E6"/>
    <w:rsid w:val="00E36323"/>
    <w:rsid w:val="00E40B32"/>
    <w:rsid w:val="00E43DFD"/>
    <w:rsid w:val="00E44E36"/>
    <w:rsid w:val="00E453A9"/>
    <w:rsid w:val="00E46014"/>
    <w:rsid w:val="00E465DA"/>
    <w:rsid w:val="00E469E1"/>
    <w:rsid w:val="00E50809"/>
    <w:rsid w:val="00E50A66"/>
    <w:rsid w:val="00E55E7A"/>
    <w:rsid w:val="00E573F1"/>
    <w:rsid w:val="00E60352"/>
    <w:rsid w:val="00E605CA"/>
    <w:rsid w:val="00E607B6"/>
    <w:rsid w:val="00E61710"/>
    <w:rsid w:val="00E61A65"/>
    <w:rsid w:val="00E636AD"/>
    <w:rsid w:val="00E64352"/>
    <w:rsid w:val="00E65418"/>
    <w:rsid w:val="00E654BF"/>
    <w:rsid w:val="00E65DA1"/>
    <w:rsid w:val="00E65FBE"/>
    <w:rsid w:val="00E67241"/>
    <w:rsid w:val="00E67495"/>
    <w:rsid w:val="00E674AE"/>
    <w:rsid w:val="00E70248"/>
    <w:rsid w:val="00E70920"/>
    <w:rsid w:val="00E70979"/>
    <w:rsid w:val="00E70CAF"/>
    <w:rsid w:val="00E718E0"/>
    <w:rsid w:val="00E72565"/>
    <w:rsid w:val="00E739FA"/>
    <w:rsid w:val="00E75683"/>
    <w:rsid w:val="00E77100"/>
    <w:rsid w:val="00E7770F"/>
    <w:rsid w:val="00E80198"/>
    <w:rsid w:val="00E80D04"/>
    <w:rsid w:val="00E80FAA"/>
    <w:rsid w:val="00E83B23"/>
    <w:rsid w:val="00E83CBB"/>
    <w:rsid w:val="00E847B4"/>
    <w:rsid w:val="00E86310"/>
    <w:rsid w:val="00E876F2"/>
    <w:rsid w:val="00E87CDA"/>
    <w:rsid w:val="00E87E36"/>
    <w:rsid w:val="00E92309"/>
    <w:rsid w:val="00E92B0E"/>
    <w:rsid w:val="00E9338E"/>
    <w:rsid w:val="00E9402A"/>
    <w:rsid w:val="00E9421E"/>
    <w:rsid w:val="00E95E6C"/>
    <w:rsid w:val="00E95E71"/>
    <w:rsid w:val="00E96A48"/>
    <w:rsid w:val="00EA068B"/>
    <w:rsid w:val="00EA2A86"/>
    <w:rsid w:val="00EA2C49"/>
    <w:rsid w:val="00EA3303"/>
    <w:rsid w:val="00EA4AF3"/>
    <w:rsid w:val="00EA4EC6"/>
    <w:rsid w:val="00EA6475"/>
    <w:rsid w:val="00EA71DF"/>
    <w:rsid w:val="00EA7CEF"/>
    <w:rsid w:val="00EB01DA"/>
    <w:rsid w:val="00EB0CA2"/>
    <w:rsid w:val="00EB13A5"/>
    <w:rsid w:val="00EB2685"/>
    <w:rsid w:val="00EB3704"/>
    <w:rsid w:val="00EB4CA8"/>
    <w:rsid w:val="00EB6D52"/>
    <w:rsid w:val="00EC0CFE"/>
    <w:rsid w:val="00EC2C97"/>
    <w:rsid w:val="00EC34EF"/>
    <w:rsid w:val="00EC4E59"/>
    <w:rsid w:val="00EC5169"/>
    <w:rsid w:val="00EC6707"/>
    <w:rsid w:val="00EC6B31"/>
    <w:rsid w:val="00EC7255"/>
    <w:rsid w:val="00EC73C0"/>
    <w:rsid w:val="00EC73D1"/>
    <w:rsid w:val="00EC76D2"/>
    <w:rsid w:val="00ED0399"/>
    <w:rsid w:val="00ED1F45"/>
    <w:rsid w:val="00ED31B3"/>
    <w:rsid w:val="00ED3C89"/>
    <w:rsid w:val="00ED4652"/>
    <w:rsid w:val="00ED521E"/>
    <w:rsid w:val="00ED60C7"/>
    <w:rsid w:val="00ED66D9"/>
    <w:rsid w:val="00EE13EB"/>
    <w:rsid w:val="00EE25E4"/>
    <w:rsid w:val="00EE2A7F"/>
    <w:rsid w:val="00EE2FDA"/>
    <w:rsid w:val="00EE327C"/>
    <w:rsid w:val="00EE35D6"/>
    <w:rsid w:val="00EE3C8B"/>
    <w:rsid w:val="00EE3DC8"/>
    <w:rsid w:val="00EE4559"/>
    <w:rsid w:val="00EE45B1"/>
    <w:rsid w:val="00EE6254"/>
    <w:rsid w:val="00EE71CC"/>
    <w:rsid w:val="00EF0920"/>
    <w:rsid w:val="00EF18D4"/>
    <w:rsid w:val="00EF2312"/>
    <w:rsid w:val="00EF2540"/>
    <w:rsid w:val="00EF2675"/>
    <w:rsid w:val="00EF3993"/>
    <w:rsid w:val="00EF4D4B"/>
    <w:rsid w:val="00EF4DDA"/>
    <w:rsid w:val="00EF7952"/>
    <w:rsid w:val="00EF7A5F"/>
    <w:rsid w:val="00EF7C16"/>
    <w:rsid w:val="00F01006"/>
    <w:rsid w:val="00F0272F"/>
    <w:rsid w:val="00F0644A"/>
    <w:rsid w:val="00F06C8B"/>
    <w:rsid w:val="00F07178"/>
    <w:rsid w:val="00F07D4A"/>
    <w:rsid w:val="00F10144"/>
    <w:rsid w:val="00F10B6F"/>
    <w:rsid w:val="00F120AE"/>
    <w:rsid w:val="00F1246B"/>
    <w:rsid w:val="00F14D46"/>
    <w:rsid w:val="00F155D3"/>
    <w:rsid w:val="00F15A8B"/>
    <w:rsid w:val="00F1729D"/>
    <w:rsid w:val="00F20182"/>
    <w:rsid w:val="00F21EF0"/>
    <w:rsid w:val="00F224B8"/>
    <w:rsid w:val="00F2298B"/>
    <w:rsid w:val="00F239A9"/>
    <w:rsid w:val="00F24877"/>
    <w:rsid w:val="00F26014"/>
    <w:rsid w:val="00F26C6D"/>
    <w:rsid w:val="00F276AF"/>
    <w:rsid w:val="00F30630"/>
    <w:rsid w:val="00F30A50"/>
    <w:rsid w:val="00F30B88"/>
    <w:rsid w:val="00F31F8D"/>
    <w:rsid w:val="00F321A0"/>
    <w:rsid w:val="00F333E8"/>
    <w:rsid w:val="00F34727"/>
    <w:rsid w:val="00F358B6"/>
    <w:rsid w:val="00F36754"/>
    <w:rsid w:val="00F40258"/>
    <w:rsid w:val="00F4027E"/>
    <w:rsid w:val="00F409B9"/>
    <w:rsid w:val="00F41159"/>
    <w:rsid w:val="00F41A08"/>
    <w:rsid w:val="00F42910"/>
    <w:rsid w:val="00F43B28"/>
    <w:rsid w:val="00F4410D"/>
    <w:rsid w:val="00F45F8D"/>
    <w:rsid w:val="00F46636"/>
    <w:rsid w:val="00F50CA7"/>
    <w:rsid w:val="00F51958"/>
    <w:rsid w:val="00F52E2C"/>
    <w:rsid w:val="00F54AC5"/>
    <w:rsid w:val="00F562C6"/>
    <w:rsid w:val="00F570CB"/>
    <w:rsid w:val="00F57F71"/>
    <w:rsid w:val="00F60ED9"/>
    <w:rsid w:val="00F610C5"/>
    <w:rsid w:val="00F61638"/>
    <w:rsid w:val="00F61659"/>
    <w:rsid w:val="00F62073"/>
    <w:rsid w:val="00F62DFD"/>
    <w:rsid w:val="00F644DA"/>
    <w:rsid w:val="00F67CB9"/>
    <w:rsid w:val="00F72950"/>
    <w:rsid w:val="00F74DB1"/>
    <w:rsid w:val="00F75D34"/>
    <w:rsid w:val="00F75F67"/>
    <w:rsid w:val="00F77600"/>
    <w:rsid w:val="00F80545"/>
    <w:rsid w:val="00F843D0"/>
    <w:rsid w:val="00F8483E"/>
    <w:rsid w:val="00F85A31"/>
    <w:rsid w:val="00F86F3A"/>
    <w:rsid w:val="00F87B36"/>
    <w:rsid w:val="00F901FA"/>
    <w:rsid w:val="00F905A2"/>
    <w:rsid w:val="00F907DB"/>
    <w:rsid w:val="00F91C2E"/>
    <w:rsid w:val="00F92AA5"/>
    <w:rsid w:val="00F92E39"/>
    <w:rsid w:val="00F93450"/>
    <w:rsid w:val="00F936A0"/>
    <w:rsid w:val="00F93726"/>
    <w:rsid w:val="00F93B51"/>
    <w:rsid w:val="00F93CCE"/>
    <w:rsid w:val="00F957D3"/>
    <w:rsid w:val="00F96437"/>
    <w:rsid w:val="00F9646F"/>
    <w:rsid w:val="00F9679A"/>
    <w:rsid w:val="00FA0A30"/>
    <w:rsid w:val="00FA1A88"/>
    <w:rsid w:val="00FA202A"/>
    <w:rsid w:val="00FA489E"/>
    <w:rsid w:val="00FA58C9"/>
    <w:rsid w:val="00FA5DD0"/>
    <w:rsid w:val="00FA6FDA"/>
    <w:rsid w:val="00FA7F81"/>
    <w:rsid w:val="00FB0E15"/>
    <w:rsid w:val="00FB0F19"/>
    <w:rsid w:val="00FB21DA"/>
    <w:rsid w:val="00FB2D2D"/>
    <w:rsid w:val="00FB2D7D"/>
    <w:rsid w:val="00FB2DA1"/>
    <w:rsid w:val="00FB45E5"/>
    <w:rsid w:val="00FB5EBE"/>
    <w:rsid w:val="00FB67A6"/>
    <w:rsid w:val="00FB6A2A"/>
    <w:rsid w:val="00FB72AD"/>
    <w:rsid w:val="00FB7514"/>
    <w:rsid w:val="00FC00C5"/>
    <w:rsid w:val="00FC0749"/>
    <w:rsid w:val="00FC1D43"/>
    <w:rsid w:val="00FC2277"/>
    <w:rsid w:val="00FC4158"/>
    <w:rsid w:val="00FC594F"/>
    <w:rsid w:val="00FC5E5F"/>
    <w:rsid w:val="00FC725B"/>
    <w:rsid w:val="00FD03A7"/>
    <w:rsid w:val="00FD0778"/>
    <w:rsid w:val="00FD0A3F"/>
    <w:rsid w:val="00FD1467"/>
    <w:rsid w:val="00FD3A99"/>
    <w:rsid w:val="00FD5A15"/>
    <w:rsid w:val="00FD5D63"/>
    <w:rsid w:val="00FD6316"/>
    <w:rsid w:val="00FD672B"/>
    <w:rsid w:val="00FD67B9"/>
    <w:rsid w:val="00FD69F7"/>
    <w:rsid w:val="00FE07EB"/>
    <w:rsid w:val="00FE0E85"/>
    <w:rsid w:val="00FE1235"/>
    <w:rsid w:val="00FE13EA"/>
    <w:rsid w:val="00FE2357"/>
    <w:rsid w:val="00FE28D5"/>
    <w:rsid w:val="00FE2B57"/>
    <w:rsid w:val="00FE2DD9"/>
    <w:rsid w:val="00FE4272"/>
    <w:rsid w:val="00FE44C3"/>
    <w:rsid w:val="00FE462D"/>
    <w:rsid w:val="00FE4FB9"/>
    <w:rsid w:val="00FE53B8"/>
    <w:rsid w:val="00FE55FE"/>
    <w:rsid w:val="00FE603C"/>
    <w:rsid w:val="00FE649E"/>
    <w:rsid w:val="00FE68C9"/>
    <w:rsid w:val="00FE7C32"/>
    <w:rsid w:val="00FF1419"/>
    <w:rsid w:val="00FF21E7"/>
    <w:rsid w:val="00FF293F"/>
    <w:rsid w:val="00FF29F4"/>
    <w:rsid w:val="00FF3134"/>
    <w:rsid w:val="00FF37B7"/>
    <w:rsid w:val="00FF3A1F"/>
    <w:rsid w:val="00FF4223"/>
    <w:rsid w:val="00FF425C"/>
    <w:rsid w:val="00FF4BA3"/>
    <w:rsid w:val="00FF50D7"/>
    <w:rsid w:val="00FF66C1"/>
    <w:rsid w:val="00FF7731"/>
    <w:rsid w:val="00FF7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5F6"/>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677A8F"/>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3"/>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basedOn w:val="Normal"/>
    <w:link w:val="FootnoteTextChar"/>
    <w:uiPriority w:val="99"/>
    <w:unhideWhenUsed/>
    <w:rsid w:val="002B5183"/>
    <w:pPr>
      <w:spacing w:after="0" w:line="240" w:lineRule="auto"/>
    </w:pPr>
    <w:rPr>
      <w:sz w:val="20"/>
      <w:szCs w:val="20"/>
    </w:rPr>
  </w:style>
  <w:style w:type="character" w:customStyle="1" w:styleId="FootnoteTextChar">
    <w:name w:val="Footnote Text Char"/>
    <w:basedOn w:val="DefaultParagraphFont"/>
    <w:link w:val="FootnoteText"/>
    <w:uiPriority w:val="99"/>
    <w:rsid w:val="002B5183"/>
    <w:rPr>
      <w:rFonts w:ascii="Arial" w:hAnsi="Arial"/>
      <w:sz w:val="20"/>
      <w:szCs w:val="20"/>
      <w:lang w:val="en-GB"/>
    </w:rPr>
  </w:style>
  <w:style w:type="character" w:styleId="FootnoteReference">
    <w:name w:val="footnote reference"/>
    <w:basedOn w:val="DefaultParagraphFont"/>
    <w:uiPriority w:val="99"/>
    <w:semiHidden/>
    <w:unhideWhenUsed/>
    <w:rsid w:val="002B5183"/>
    <w:rPr>
      <w:vertAlign w:val="superscript"/>
    </w:rPr>
  </w:style>
  <w:style w:type="paragraph" w:styleId="ListParagraph">
    <w:name w:val="List Paragraph"/>
    <w:basedOn w:val="Normal"/>
    <w:link w:val="ListParagraphChar"/>
    <w:uiPriority w:val="34"/>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semiHidden/>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semiHidden/>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 w:type="paragraph" w:customStyle="1" w:styleId="normaltext">
    <w:name w:val="normaltext"/>
    <w:basedOn w:val="Normal"/>
    <w:rsid w:val="000567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customStyle="1" w:styleId="footnote-link">
    <w:name w:val="footnote-link"/>
    <w:basedOn w:val="DefaultParagraphFont"/>
    <w:rsid w:val="00056789"/>
  </w:style>
  <w:style w:type="character" w:customStyle="1" w:styleId="lphit">
    <w:name w:val="lphit"/>
    <w:basedOn w:val="DefaultParagraphFont"/>
    <w:rsid w:val="00056789"/>
  </w:style>
  <w:style w:type="paragraph" w:customStyle="1" w:styleId="blockquote-x">
    <w:name w:val="blockquote-x"/>
    <w:basedOn w:val="Normal"/>
    <w:rsid w:val="000567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Revision">
    <w:name w:val="Revision"/>
    <w:hidden/>
    <w:uiPriority w:val="99"/>
    <w:semiHidden/>
    <w:rsid w:val="00D643E9"/>
    <w:pPr>
      <w:spacing w:after="0" w:line="240" w:lineRule="auto"/>
    </w:pPr>
    <w:rPr>
      <w:rFonts w:ascii="Arial" w:hAnsi="Arial"/>
      <w:sz w:val="24"/>
      <w:lang w:val="en-GB"/>
    </w:rPr>
  </w:style>
  <w:style w:type="paragraph" w:styleId="BodyText">
    <w:name w:val="Body Text"/>
    <w:basedOn w:val="Normal"/>
    <w:link w:val="BodyTextChar"/>
    <w:uiPriority w:val="1"/>
    <w:qFormat/>
    <w:rsid w:val="0021125E"/>
    <w:pPr>
      <w:widowControl w:val="0"/>
      <w:autoSpaceDE w:val="0"/>
      <w:autoSpaceDN w:val="0"/>
      <w:spacing w:after="0" w:line="240" w:lineRule="auto"/>
      <w:ind w:left="0"/>
      <w:jc w:val="left"/>
    </w:pPr>
    <w:rPr>
      <w:rFonts w:eastAsia="Arial" w:cs="Arial"/>
      <w:sz w:val="23"/>
      <w:szCs w:val="23"/>
      <w:lang w:val="en-US"/>
    </w:rPr>
  </w:style>
  <w:style w:type="character" w:customStyle="1" w:styleId="BodyTextChar">
    <w:name w:val="Body Text Char"/>
    <w:basedOn w:val="DefaultParagraphFont"/>
    <w:link w:val="BodyText"/>
    <w:uiPriority w:val="1"/>
    <w:rsid w:val="0021125E"/>
    <w:rPr>
      <w:rFonts w:ascii="Arial" w:eastAsia="Arial" w:hAnsi="Arial" w:cs="Arial"/>
      <w:sz w:val="23"/>
      <w:szCs w:val="23"/>
      <w:lang w:val="en-US"/>
    </w:rPr>
  </w:style>
  <w:style w:type="table" w:styleId="TableGrid">
    <w:name w:val="Table Grid"/>
    <w:basedOn w:val="TableNormal"/>
    <w:uiPriority w:val="39"/>
    <w:rsid w:val="00291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06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6D3"/>
    <w:rPr>
      <w:rFonts w:ascii="Arial" w:hAnsi="Arial"/>
      <w:sz w:val="20"/>
      <w:szCs w:val="20"/>
      <w:lang w:val="en-GB"/>
    </w:rPr>
  </w:style>
  <w:style w:type="character" w:styleId="EndnoteReference">
    <w:name w:val="endnote reference"/>
    <w:basedOn w:val="DefaultParagraphFont"/>
    <w:uiPriority w:val="99"/>
    <w:unhideWhenUsed/>
    <w:rsid w:val="00677A8F"/>
    <w:rPr>
      <w:rFonts w:ascii="Arial" w:hAnsi="Arial"/>
      <w:sz w:val="18"/>
      <w:vertAlign w:val="superscript"/>
    </w:rPr>
  </w:style>
  <w:style w:type="character" w:customStyle="1" w:styleId="apple-converted-space">
    <w:name w:val="apple-converted-space"/>
    <w:basedOn w:val="DefaultParagraphFont"/>
    <w:rsid w:val="00731086"/>
  </w:style>
  <w:style w:type="paragraph" w:styleId="Quote">
    <w:name w:val="Quote"/>
    <w:basedOn w:val="Normal"/>
    <w:next w:val="Normal"/>
    <w:link w:val="QuoteChar"/>
    <w:uiPriority w:val="29"/>
    <w:qFormat/>
    <w:rsid w:val="00C50D33"/>
    <w:pPr>
      <w:keepNext/>
      <w:keepLines/>
      <w:tabs>
        <w:tab w:val="left" w:pos="2410"/>
      </w:tabs>
      <w:autoSpaceDE w:val="0"/>
      <w:autoSpaceDN w:val="0"/>
      <w:spacing w:before="120" w:after="120"/>
      <w:ind w:left="862"/>
    </w:pPr>
    <w:rPr>
      <w:rFonts w:eastAsia="Arial" w:cs="Arial"/>
      <w:i/>
      <w:iCs/>
      <w:szCs w:val="24"/>
      <w:lang w:eastAsia="en-GB" w:bidi="en-GB"/>
    </w:rPr>
  </w:style>
  <w:style w:type="character" w:customStyle="1" w:styleId="QuoteChar">
    <w:name w:val="Quote Char"/>
    <w:basedOn w:val="DefaultParagraphFont"/>
    <w:link w:val="Quote"/>
    <w:uiPriority w:val="29"/>
    <w:rsid w:val="00C50D33"/>
    <w:rPr>
      <w:rFonts w:ascii="Arial" w:eastAsia="Arial" w:hAnsi="Arial" w:cs="Arial"/>
      <w:i/>
      <w:iCs/>
      <w:sz w:val="24"/>
      <w:szCs w:val="24"/>
      <w:lang w:val="en-GB" w:eastAsia="en-GB" w:bidi="en-GB"/>
    </w:rPr>
  </w:style>
  <w:style w:type="paragraph" w:customStyle="1" w:styleId="Sublistparagraph">
    <w:name w:val="Sublist paragraph"/>
    <w:basedOn w:val="ListParagraph"/>
    <w:qFormat/>
    <w:rsid w:val="00C50D33"/>
    <w:pPr>
      <w:autoSpaceDE w:val="0"/>
      <w:autoSpaceDN w:val="0"/>
      <w:spacing w:before="240" w:line="480" w:lineRule="auto"/>
      <w:ind w:left="1418" w:hanging="857"/>
      <w:contextualSpacing w:val="0"/>
    </w:pPr>
    <w:rPr>
      <w:rFonts w:eastAsia="Arial" w:cs="Arial"/>
      <w:szCs w:val="24"/>
      <w:lang w:val="en-ZA" w:eastAsia="en-GB" w:bidi="en-GB"/>
    </w:rPr>
  </w:style>
  <w:style w:type="paragraph" w:customStyle="1" w:styleId="SubSUBListparagraph">
    <w:name w:val="SubSUB List paragraph"/>
    <w:basedOn w:val="Sublistparagraph"/>
    <w:qFormat/>
    <w:rsid w:val="00C50D33"/>
    <w:pPr>
      <w:tabs>
        <w:tab w:val="left" w:pos="2835"/>
      </w:tabs>
      <w:ind w:left="2835" w:hanging="1365"/>
    </w:pPr>
  </w:style>
  <w:style w:type="character" w:customStyle="1" w:styleId="ListParagraphChar">
    <w:name w:val="List Paragraph Char"/>
    <w:basedOn w:val="DefaultParagraphFont"/>
    <w:link w:val="ListParagraph"/>
    <w:uiPriority w:val="1"/>
    <w:rsid w:val="00C50D33"/>
    <w:rPr>
      <w:rFonts w:ascii="Arial" w:hAnsi="Arial"/>
      <w:sz w:val="24"/>
      <w:lang w:val="en-GB"/>
    </w:rPr>
  </w:style>
  <w:style w:type="character" w:customStyle="1" w:styleId="UnresolvedMention1">
    <w:name w:val="Unresolved Mention1"/>
    <w:basedOn w:val="DefaultParagraphFont"/>
    <w:uiPriority w:val="99"/>
    <w:semiHidden/>
    <w:unhideWhenUsed/>
    <w:rsid w:val="001A7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206114633">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8326">
      <w:bodyDiv w:val="1"/>
      <w:marLeft w:val="0"/>
      <w:marRight w:val="0"/>
      <w:marTop w:val="0"/>
      <w:marBottom w:val="0"/>
      <w:divBdr>
        <w:top w:val="none" w:sz="0" w:space="0" w:color="auto"/>
        <w:left w:val="none" w:sz="0" w:space="0" w:color="auto"/>
        <w:bottom w:val="none" w:sz="0" w:space="0" w:color="auto"/>
        <w:right w:val="none" w:sz="0" w:space="0" w:color="auto"/>
      </w:divBdr>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65559">
      <w:bodyDiv w:val="1"/>
      <w:marLeft w:val="0"/>
      <w:marRight w:val="0"/>
      <w:marTop w:val="0"/>
      <w:marBottom w:val="0"/>
      <w:divBdr>
        <w:top w:val="none" w:sz="0" w:space="0" w:color="auto"/>
        <w:left w:val="none" w:sz="0" w:space="0" w:color="auto"/>
        <w:bottom w:val="none" w:sz="0" w:space="0" w:color="auto"/>
        <w:right w:val="none" w:sz="0" w:space="0" w:color="auto"/>
      </w:divBdr>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2350">
      <w:bodyDiv w:val="1"/>
      <w:marLeft w:val="0"/>
      <w:marRight w:val="0"/>
      <w:marTop w:val="0"/>
      <w:marBottom w:val="0"/>
      <w:divBdr>
        <w:top w:val="none" w:sz="0" w:space="0" w:color="auto"/>
        <w:left w:val="none" w:sz="0" w:space="0" w:color="auto"/>
        <w:bottom w:val="none" w:sz="0" w:space="0" w:color="auto"/>
        <w:right w:val="none" w:sz="0" w:space="0" w:color="auto"/>
      </w:divBdr>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martpurse.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03ae50-825d-4e06-9055-d98ed20791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13" ma:contentTypeDescription="Create a new document." ma:contentTypeScope="" ma:versionID="34286bb63c35deb60dec4bb3f99ae2e0">
  <xsd:schema xmlns:xsd="http://www.w3.org/2001/XMLSchema" xmlns:xs="http://www.w3.org/2001/XMLSchema" xmlns:p="http://schemas.microsoft.com/office/2006/metadata/properties" xmlns:ns3="7803ae50-825d-4e06-9055-d98ed2079135" xmlns:ns4="3acb1509-cbd2-408a-830c-c119568ad540" targetNamespace="http://schemas.microsoft.com/office/2006/metadata/properties" ma:root="true" ma:fieldsID="395d1c3c1d117eb3456b7493db41c492" ns3:_="" ns4:_="">
    <xsd:import namespace="7803ae50-825d-4e06-9055-d98ed2079135"/>
    <xsd:import namespace="3acb1509-cbd2-408a-830c-c119568ad54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b1509-cbd2-408a-830c-c119568ad54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 ds:uri="7803ae50-825d-4e06-9055-d98ed2079135"/>
  </ds:schemaRefs>
</ds:datastoreItem>
</file>

<file path=customXml/itemProps2.xml><?xml version="1.0" encoding="utf-8"?>
<ds:datastoreItem xmlns:ds="http://schemas.openxmlformats.org/officeDocument/2006/customXml" ds:itemID="{699651ED-4836-4A2E-9F16-F4AF4E6D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3acb1509-cbd2-408a-830c-c119568ad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4.xml><?xml version="1.0" encoding="utf-8"?>
<ds:datastoreItem xmlns:ds="http://schemas.openxmlformats.org/officeDocument/2006/customXml" ds:itemID="{418B0950-464F-471D-921E-5C8B1F0F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6371</Words>
  <Characters>36318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sathish sarshan  mohan</cp:lastModifiedBy>
  <cp:revision>3</cp:revision>
  <cp:lastPrinted>2024-04-25T13:16:00Z</cp:lastPrinted>
  <dcterms:created xsi:type="dcterms:W3CDTF">2024-04-26T12:49:00Z</dcterms:created>
  <dcterms:modified xsi:type="dcterms:W3CDTF">2024-04-26T20:20:00Z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