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05DCC" w14:textId="77777777" w:rsidR="00485EB2" w:rsidRPr="003C2D73" w:rsidRDefault="00485EB2" w:rsidP="009C1997">
      <w:pPr>
        <w:jc w:val="both"/>
        <w:rPr>
          <w:rFonts w:cs="Arial"/>
          <w:lang w:val="en-US"/>
        </w:rPr>
      </w:pPr>
    </w:p>
    <w:p w14:paraId="745B2895" w14:textId="77777777" w:rsidR="00485EB2" w:rsidRPr="006B04C9" w:rsidRDefault="00485EB2" w:rsidP="009C1997">
      <w:pPr>
        <w:jc w:val="center"/>
        <w:outlineLvl w:val="0"/>
        <w:rPr>
          <w:rFonts w:cs="Arial"/>
          <w:b/>
          <w:bCs/>
          <w:kern w:val="32"/>
          <w:szCs w:val="22"/>
          <w:lang w:val="en-GB"/>
        </w:rPr>
      </w:pPr>
      <w:bookmarkStart w:id="0" w:name="_Hlk138190755"/>
      <w:r w:rsidRPr="006B04C9">
        <w:rPr>
          <w:rFonts w:ascii="Times New Roman" w:hAnsi="Times New Roman"/>
          <w:noProof/>
          <w:sz w:val="28"/>
          <w:szCs w:val="28"/>
          <w:lang w:val="en-US"/>
        </w:rPr>
        <w:drawing>
          <wp:inline distT="0" distB="0" distL="0" distR="0" wp14:anchorId="14B04AC8" wp14:editId="42B37A33">
            <wp:extent cx="1924050" cy="1515110"/>
            <wp:effectExtent l="0" t="0" r="0" b="8890"/>
            <wp:docPr id="2" name="Picture 2"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515110"/>
                    </a:xfrm>
                    <a:prstGeom prst="rect">
                      <a:avLst/>
                    </a:prstGeom>
                    <a:noFill/>
                    <a:ln>
                      <a:noFill/>
                    </a:ln>
                  </pic:spPr>
                </pic:pic>
              </a:graphicData>
            </a:graphic>
          </wp:inline>
        </w:drawing>
      </w:r>
    </w:p>
    <w:p w14:paraId="6830D549" w14:textId="77777777" w:rsidR="00485EB2" w:rsidRPr="006B04C9" w:rsidRDefault="00485EB2" w:rsidP="009C1997">
      <w:pPr>
        <w:jc w:val="center"/>
        <w:outlineLvl w:val="0"/>
        <w:rPr>
          <w:rFonts w:cs="Arial"/>
          <w:b/>
          <w:bCs/>
          <w:kern w:val="32"/>
          <w:szCs w:val="22"/>
          <w:lang w:val="en-GB"/>
        </w:rPr>
      </w:pPr>
      <w:r w:rsidRPr="006B04C9">
        <w:rPr>
          <w:rFonts w:cs="Arial"/>
          <w:b/>
          <w:bCs/>
          <w:kern w:val="32"/>
          <w:szCs w:val="22"/>
          <w:lang w:val="en-GB"/>
        </w:rPr>
        <w:t>IN THE HIGH COURT OF SOUTH AFRICA</w:t>
      </w:r>
    </w:p>
    <w:p w14:paraId="347346C9" w14:textId="77777777" w:rsidR="00485EB2" w:rsidRPr="006B04C9" w:rsidRDefault="00485EB2" w:rsidP="009C1997">
      <w:pPr>
        <w:jc w:val="center"/>
        <w:outlineLvl w:val="0"/>
        <w:rPr>
          <w:rFonts w:cs="Arial"/>
          <w:b/>
          <w:bCs/>
          <w:kern w:val="32"/>
          <w:szCs w:val="22"/>
          <w:lang w:val="en-GB"/>
        </w:rPr>
      </w:pPr>
      <w:r w:rsidRPr="006B04C9">
        <w:rPr>
          <w:rFonts w:cs="Arial"/>
          <w:b/>
          <w:bCs/>
          <w:kern w:val="32"/>
          <w:szCs w:val="22"/>
          <w:lang w:val="en-GB"/>
        </w:rPr>
        <w:t>(GAUTENG DIVISION, PRETORIA)</w:t>
      </w:r>
    </w:p>
    <w:p w14:paraId="456F4AC3" w14:textId="77777777" w:rsidR="00485EB2" w:rsidRPr="006B04C9" w:rsidRDefault="00485EB2" w:rsidP="009C1997">
      <w:pPr>
        <w:outlineLvl w:val="0"/>
        <w:rPr>
          <w:rFonts w:cs="Arial"/>
          <w:kern w:val="32"/>
          <w:szCs w:val="22"/>
          <w:lang w:val="en-GB"/>
        </w:rPr>
      </w:pPr>
    </w:p>
    <w:p w14:paraId="5993E817" w14:textId="6044E29A" w:rsidR="00485EB2" w:rsidRPr="006B04C9" w:rsidRDefault="00485EB2" w:rsidP="009C1997">
      <w:pPr>
        <w:jc w:val="right"/>
        <w:outlineLvl w:val="0"/>
        <w:rPr>
          <w:rFonts w:cs="Arial"/>
          <w:b/>
          <w:bCs/>
          <w:kern w:val="32"/>
          <w:szCs w:val="22"/>
          <w:lang w:val="en-GB"/>
        </w:rPr>
      </w:pPr>
      <w:r w:rsidRPr="006B04C9">
        <w:rPr>
          <w:rFonts w:cs="Arial"/>
          <w:kern w:val="32"/>
          <w:szCs w:val="22"/>
          <w:lang w:val="en-GB"/>
        </w:rPr>
        <w:t xml:space="preserve">Case No. </w:t>
      </w:r>
      <w:r w:rsidR="00662EFF">
        <w:rPr>
          <w:rFonts w:cs="Arial"/>
          <w:b/>
          <w:bCs/>
          <w:kern w:val="32"/>
          <w:szCs w:val="22"/>
          <w:lang w:val="en-GB"/>
        </w:rPr>
        <w:t>293/2021</w:t>
      </w:r>
    </w:p>
    <w:p w14:paraId="1A3B9E9D" w14:textId="77777777" w:rsidR="00485EB2" w:rsidRPr="006B04C9" w:rsidRDefault="00485EB2" w:rsidP="009C1997">
      <w:pPr>
        <w:outlineLvl w:val="0"/>
        <w:rPr>
          <w:rFonts w:cs="Arial"/>
          <w:b/>
          <w:bCs/>
          <w:color w:val="FF0000"/>
          <w:kern w:val="32"/>
          <w:szCs w:val="22"/>
          <w:lang w:val="en-GB"/>
        </w:rPr>
      </w:pPr>
      <w:r w:rsidRPr="006B04C9">
        <w:rPr>
          <w:rFonts w:eastAsia="Calibri" w:cs="Arial"/>
          <w:noProof/>
          <w:lang w:val="en-US"/>
        </w:rPr>
        <mc:AlternateContent>
          <mc:Choice Requires="wps">
            <w:drawing>
              <wp:anchor distT="0" distB="0" distL="114300" distR="114300" simplePos="0" relativeHeight="251659264" behindDoc="0" locked="0" layoutInCell="1" allowOverlap="1" wp14:anchorId="6D487BF0" wp14:editId="41B4BCA2">
                <wp:simplePos x="0" y="0"/>
                <wp:positionH relativeFrom="margin">
                  <wp:posOffset>18415</wp:posOffset>
                </wp:positionH>
                <wp:positionV relativeFrom="paragraph">
                  <wp:posOffset>79375</wp:posOffset>
                </wp:positionV>
                <wp:extent cx="3098800" cy="11938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93800"/>
                        </a:xfrm>
                        <a:prstGeom prst="rect">
                          <a:avLst/>
                        </a:prstGeom>
                        <a:solidFill>
                          <a:srgbClr val="FFFFFF"/>
                        </a:solidFill>
                        <a:ln w="9525">
                          <a:solidFill>
                            <a:srgbClr val="000000"/>
                          </a:solidFill>
                          <a:miter lim="800000"/>
                          <a:headEnd/>
                          <a:tailEnd/>
                        </a:ln>
                      </wps:spPr>
                      <wps:txbx>
                        <w:txbxContent>
                          <w:p w14:paraId="6C03DE5B" w14:textId="77777777" w:rsidR="00485EB2" w:rsidRPr="007C20F4" w:rsidRDefault="00485EB2" w:rsidP="00485EB2">
                            <w:pPr>
                              <w:widowControl w:val="0"/>
                              <w:numPr>
                                <w:ilvl w:val="0"/>
                                <w:numId w:val="2"/>
                              </w:numPr>
                              <w:autoSpaceDE w:val="0"/>
                              <w:autoSpaceDN w:val="0"/>
                              <w:adjustRightInd w:val="0"/>
                              <w:ind w:left="426" w:hanging="426"/>
                              <w:contextualSpacing/>
                              <w:rPr>
                                <w:rFonts w:ascii="Calibri" w:hAnsi="Calibri"/>
                                <w:sz w:val="20"/>
                                <w:lang w:val="af-ZA"/>
                              </w:rPr>
                            </w:pPr>
                            <w:r>
                              <w:rPr>
                                <w:rFonts w:ascii="Calibri" w:hAnsi="Calibri"/>
                                <w:sz w:val="20"/>
                                <w:lang w:val="af-ZA"/>
                              </w:rPr>
                              <w:t>REPORTABLE: NO</w:t>
                            </w:r>
                          </w:p>
                          <w:p w14:paraId="6B763B9F" w14:textId="0AC3402A" w:rsidR="00485EB2" w:rsidRPr="007C20F4" w:rsidRDefault="00485EB2" w:rsidP="00485EB2">
                            <w:pPr>
                              <w:widowControl w:val="0"/>
                              <w:numPr>
                                <w:ilvl w:val="0"/>
                                <w:numId w:val="2"/>
                              </w:numPr>
                              <w:autoSpaceDE w:val="0"/>
                              <w:autoSpaceDN w:val="0"/>
                              <w:adjustRightInd w:val="0"/>
                              <w:ind w:left="426" w:hanging="426"/>
                              <w:contextualSpacing/>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w:t>
                            </w:r>
                            <w:r w:rsidR="009C1997">
                              <w:rPr>
                                <w:rFonts w:ascii="Calibri" w:hAnsi="Calibri"/>
                                <w:sz w:val="20"/>
                                <w:lang w:val="af-ZA"/>
                              </w:rPr>
                              <w:t xml:space="preserve"> </w:t>
                            </w:r>
                            <w:r>
                              <w:rPr>
                                <w:rFonts w:ascii="Calibri" w:hAnsi="Calibri"/>
                                <w:sz w:val="20"/>
                                <w:lang w:val="af-ZA"/>
                              </w:rPr>
                              <w:t>JUDGES: NO</w:t>
                            </w:r>
                          </w:p>
                          <w:p w14:paraId="31DA38A0" w14:textId="6908CB1C" w:rsidR="00485EB2" w:rsidRPr="007C20F4" w:rsidRDefault="00485EB2" w:rsidP="00485EB2">
                            <w:pPr>
                              <w:widowControl w:val="0"/>
                              <w:numPr>
                                <w:ilvl w:val="0"/>
                                <w:numId w:val="2"/>
                              </w:numPr>
                              <w:autoSpaceDE w:val="0"/>
                              <w:autoSpaceDN w:val="0"/>
                              <w:adjustRightInd w:val="0"/>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xml:space="preserve">: </w:t>
                            </w:r>
                            <w:r w:rsidR="00662EFF">
                              <w:rPr>
                                <w:rFonts w:ascii="Calibri" w:hAnsi="Calibri"/>
                                <w:sz w:val="20"/>
                                <w:lang w:val="af-ZA"/>
                              </w:rPr>
                              <w:t>11</w:t>
                            </w:r>
                            <w:r>
                              <w:rPr>
                                <w:rFonts w:ascii="Calibri" w:hAnsi="Calibri"/>
                                <w:sz w:val="20"/>
                                <w:lang w:val="af-ZA"/>
                              </w:rPr>
                              <w:t>/</w:t>
                            </w:r>
                            <w:r w:rsidR="009C1997">
                              <w:rPr>
                                <w:rFonts w:ascii="Calibri" w:hAnsi="Calibri"/>
                                <w:sz w:val="20"/>
                                <w:lang w:val="af-ZA"/>
                              </w:rPr>
                              <w:t>9</w:t>
                            </w:r>
                            <w:r>
                              <w:rPr>
                                <w:rFonts w:ascii="Calibri" w:hAnsi="Calibri"/>
                                <w:sz w:val="20"/>
                                <w:lang w:val="af-ZA"/>
                              </w:rPr>
                              <w:t>/2023</w:t>
                            </w:r>
                          </w:p>
                          <w:p w14:paraId="1BBB2154" w14:textId="77777777" w:rsidR="00485EB2" w:rsidRDefault="00485EB2" w:rsidP="00485EB2">
                            <w:pPr>
                              <w:tabs>
                                <w:tab w:val="center" w:pos="4320"/>
                                <w:tab w:val="right" w:pos="8640"/>
                              </w:tabs>
                              <w:spacing w:after="200" w:line="276" w:lineRule="auto"/>
                              <w:ind w:left="720"/>
                              <w:contextualSpacing/>
                              <w:rPr>
                                <w:rFonts w:ascii="Calibri" w:hAnsi="Calibri"/>
                                <w:sz w:val="20"/>
                                <w:lang w:val="af-ZA"/>
                              </w:rPr>
                            </w:pPr>
                          </w:p>
                          <w:p w14:paraId="74FA46C4" w14:textId="1DFE87D9" w:rsidR="00485EB2" w:rsidRPr="00C7029A" w:rsidRDefault="00485EB2" w:rsidP="00485EB2">
                            <w:pPr>
                              <w:tabs>
                                <w:tab w:val="center" w:pos="4320"/>
                                <w:tab w:val="right" w:pos="8640"/>
                              </w:tabs>
                              <w:spacing w:line="276" w:lineRule="auto"/>
                              <w:contextualSpacing/>
                              <w:rPr>
                                <w:rFonts w:ascii="Calibri" w:hAnsi="Calibri"/>
                                <w:sz w:val="20"/>
                                <w:lang w:val="af-ZA"/>
                              </w:rPr>
                            </w:pPr>
                            <w:r>
                              <w:rPr>
                                <w:rFonts w:ascii="Calibri" w:eastAsia="Calibri" w:hAnsi="Calibri"/>
                                <w:b/>
                                <w:bCs/>
                                <w:noProof/>
                                <w:u w:val="dotted"/>
                                <w:lang w:eastAsia="en-ZA"/>
                              </w:rPr>
                              <w:t xml:space="preserve"> </w:t>
                            </w:r>
                            <w:r w:rsidR="00F403A2">
                              <w:rPr>
                                <w:rFonts w:ascii="Calibri" w:eastAsia="Calibri" w:hAnsi="Calibri"/>
                                <w:b/>
                                <w:bCs/>
                                <w:noProof/>
                                <w:u w:val="dotted"/>
                                <w:lang w:eastAsia="en-ZA"/>
                              </w:rPr>
                              <w:t>Julian Yende</w:t>
                            </w:r>
                            <w:r>
                              <w:rPr>
                                <w:rFonts w:ascii="Calibri" w:eastAsia="Calibri" w:hAnsi="Calibri"/>
                                <w:b/>
                                <w:bCs/>
                                <w:noProof/>
                                <w:u w:val="dotted"/>
                                <w:lang w:eastAsia="en-ZA"/>
                              </w:rPr>
                              <w:t xml:space="preserve"> </w:t>
                            </w:r>
                            <w:r>
                              <w:rPr>
                                <w:rFonts w:ascii="Calibri" w:eastAsia="Calibri" w:hAnsi="Calibri"/>
                                <w:b/>
                                <w:bCs/>
                                <w:noProof/>
                                <w:lang w:eastAsia="en-ZA"/>
                              </w:rPr>
                              <w:tab/>
                            </w:r>
                            <w:r w:rsidRPr="00C7029A">
                              <w:rPr>
                                <w:rFonts w:ascii="Calibri" w:hAnsi="Calibri"/>
                                <w:sz w:val="20"/>
                                <w:lang w:val="af-ZA"/>
                              </w:rPr>
                              <w:t xml:space="preserve"> </w:t>
                            </w:r>
                            <w:r w:rsidR="00662EFF">
                              <w:rPr>
                                <w:rFonts w:ascii="Calibri" w:hAnsi="Calibri"/>
                                <w:sz w:val="20"/>
                                <w:lang w:val="af-ZA"/>
                              </w:rPr>
                              <w:t>13</w:t>
                            </w:r>
                            <w:r w:rsidR="009C1997">
                              <w:rPr>
                                <w:rFonts w:ascii="Calibri" w:hAnsi="Calibri"/>
                                <w:sz w:val="20"/>
                                <w:lang w:val="af-ZA"/>
                              </w:rPr>
                              <w:t xml:space="preserve"> September</w:t>
                            </w:r>
                            <w:r w:rsidRPr="009A086F">
                              <w:rPr>
                                <w:rFonts w:ascii="Calibri" w:hAnsi="Calibri"/>
                                <w:sz w:val="20"/>
                                <w:lang w:val="af-ZA"/>
                              </w:rPr>
                              <w:t xml:space="preserve"> 2023</w:t>
                            </w:r>
                          </w:p>
                          <w:p w14:paraId="4079B055" w14:textId="77777777" w:rsidR="00485EB2" w:rsidRPr="007C20F4" w:rsidRDefault="00485EB2" w:rsidP="00485EB2">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487BF0" id="_x0000_t202" coordsize="21600,21600" o:spt="202" path="m,l,21600r21600,l21600,xe">
                <v:stroke joinstyle="miter"/>
                <v:path gradientshapeok="t" o:connecttype="rect"/>
              </v:shapetype>
              <v:shape id="Text Box 6" o:spid="_x0000_s1026" type="#_x0000_t202" style="position:absolute;margin-left:1.45pt;margin-top:6.25pt;width:244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">
                <v:textbox>
                  <w:txbxContent>
                    <w:p w14:paraId="6C03DE5B" w14:textId="77777777" w:rsidR="00485EB2" w:rsidRPr="007C20F4" w:rsidRDefault="00485EB2" w:rsidP="00485EB2">
                      <w:pPr>
                        <w:widowControl w:val="0"/>
                        <w:numPr>
                          <w:ilvl w:val="0"/>
                          <w:numId w:val="2"/>
                        </w:numPr>
                        <w:autoSpaceDE w:val="0"/>
                        <w:autoSpaceDN w:val="0"/>
                        <w:adjustRightInd w:val="0"/>
                        <w:ind w:left="426" w:hanging="426"/>
                        <w:contextualSpacing/>
                        <w:rPr>
                          <w:rFonts w:ascii="Calibri" w:hAnsi="Calibri"/>
                          <w:sz w:val="20"/>
                          <w:lang w:val="af-ZA"/>
                        </w:rPr>
                      </w:pPr>
                      <w:r>
                        <w:rPr>
                          <w:rFonts w:ascii="Calibri" w:hAnsi="Calibri"/>
                          <w:sz w:val="20"/>
                          <w:lang w:val="af-ZA"/>
                        </w:rPr>
                        <w:t>REPORTABLE: NO</w:t>
                      </w:r>
                    </w:p>
                    <w:p w14:paraId="6B763B9F" w14:textId="0AC3402A" w:rsidR="00485EB2" w:rsidRPr="007C20F4" w:rsidRDefault="00485EB2" w:rsidP="00485EB2">
                      <w:pPr>
                        <w:widowControl w:val="0"/>
                        <w:numPr>
                          <w:ilvl w:val="0"/>
                          <w:numId w:val="2"/>
                        </w:numPr>
                        <w:autoSpaceDE w:val="0"/>
                        <w:autoSpaceDN w:val="0"/>
                        <w:adjustRightInd w:val="0"/>
                        <w:ind w:left="426" w:hanging="426"/>
                        <w:contextualSpacing/>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w:t>
                      </w:r>
                      <w:r w:rsidR="009C1997">
                        <w:rPr>
                          <w:rFonts w:ascii="Calibri" w:hAnsi="Calibri"/>
                          <w:sz w:val="20"/>
                          <w:lang w:val="af-ZA"/>
                        </w:rPr>
                        <w:t xml:space="preserve"> </w:t>
                      </w:r>
                      <w:r>
                        <w:rPr>
                          <w:rFonts w:ascii="Calibri" w:hAnsi="Calibri"/>
                          <w:sz w:val="20"/>
                          <w:lang w:val="af-ZA"/>
                        </w:rPr>
                        <w:t>JUDGES: NO</w:t>
                      </w:r>
                    </w:p>
                    <w:p w14:paraId="31DA38A0" w14:textId="6908CB1C" w:rsidR="00485EB2" w:rsidRPr="007C20F4" w:rsidRDefault="00485EB2" w:rsidP="00485EB2">
                      <w:pPr>
                        <w:widowControl w:val="0"/>
                        <w:numPr>
                          <w:ilvl w:val="0"/>
                          <w:numId w:val="2"/>
                        </w:numPr>
                        <w:autoSpaceDE w:val="0"/>
                        <w:autoSpaceDN w:val="0"/>
                        <w:adjustRightInd w:val="0"/>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xml:space="preserve">: </w:t>
                      </w:r>
                      <w:r w:rsidR="00662EFF">
                        <w:rPr>
                          <w:rFonts w:ascii="Calibri" w:hAnsi="Calibri"/>
                          <w:sz w:val="20"/>
                          <w:lang w:val="af-ZA"/>
                        </w:rPr>
                        <w:t>11</w:t>
                      </w:r>
                      <w:r>
                        <w:rPr>
                          <w:rFonts w:ascii="Calibri" w:hAnsi="Calibri"/>
                          <w:sz w:val="20"/>
                          <w:lang w:val="af-ZA"/>
                        </w:rPr>
                        <w:t>/</w:t>
                      </w:r>
                      <w:r w:rsidR="009C1997">
                        <w:rPr>
                          <w:rFonts w:ascii="Calibri" w:hAnsi="Calibri"/>
                          <w:sz w:val="20"/>
                          <w:lang w:val="af-ZA"/>
                        </w:rPr>
                        <w:t>9</w:t>
                      </w:r>
                      <w:r>
                        <w:rPr>
                          <w:rFonts w:ascii="Calibri" w:hAnsi="Calibri"/>
                          <w:sz w:val="20"/>
                          <w:lang w:val="af-ZA"/>
                        </w:rPr>
                        <w:t>/2023</w:t>
                      </w:r>
                    </w:p>
                    <w:p w14:paraId="1BBB2154" w14:textId="77777777" w:rsidR="00485EB2" w:rsidRDefault="00485EB2" w:rsidP="00485EB2">
                      <w:pPr>
                        <w:tabs>
                          <w:tab w:val="center" w:pos="4320"/>
                          <w:tab w:val="right" w:pos="8640"/>
                        </w:tabs>
                        <w:spacing w:after="200" w:line="276" w:lineRule="auto"/>
                        <w:ind w:left="720"/>
                        <w:contextualSpacing/>
                        <w:rPr>
                          <w:rFonts w:ascii="Calibri" w:hAnsi="Calibri"/>
                          <w:sz w:val="20"/>
                          <w:lang w:val="af-ZA"/>
                        </w:rPr>
                      </w:pPr>
                    </w:p>
                    <w:p w14:paraId="74FA46C4" w14:textId="1DFE87D9" w:rsidR="00485EB2" w:rsidRPr="00C7029A" w:rsidRDefault="00485EB2" w:rsidP="00485EB2">
                      <w:pPr>
                        <w:tabs>
                          <w:tab w:val="center" w:pos="4320"/>
                          <w:tab w:val="right" w:pos="8640"/>
                        </w:tabs>
                        <w:spacing w:line="276" w:lineRule="auto"/>
                        <w:contextualSpacing/>
                        <w:rPr>
                          <w:rFonts w:ascii="Calibri" w:hAnsi="Calibri"/>
                          <w:sz w:val="20"/>
                          <w:lang w:val="af-ZA"/>
                        </w:rPr>
                      </w:pPr>
                      <w:r>
                        <w:rPr>
                          <w:rFonts w:ascii="Calibri" w:eastAsia="Calibri" w:hAnsi="Calibri"/>
                          <w:b/>
                          <w:bCs/>
                          <w:noProof/>
                          <w:u w:val="dotted"/>
                          <w:lang w:eastAsia="en-ZA"/>
                        </w:rPr>
                        <w:t xml:space="preserve"> </w:t>
                      </w:r>
                      <w:r w:rsidR="00F403A2">
                        <w:rPr>
                          <w:rFonts w:ascii="Calibri" w:eastAsia="Calibri" w:hAnsi="Calibri"/>
                          <w:b/>
                          <w:bCs/>
                          <w:noProof/>
                          <w:u w:val="dotted"/>
                          <w:lang w:eastAsia="en-ZA"/>
                        </w:rPr>
                        <w:t>Julian Yende</w:t>
                      </w:r>
                      <w:r>
                        <w:rPr>
                          <w:rFonts w:ascii="Calibri" w:eastAsia="Calibri" w:hAnsi="Calibri"/>
                          <w:b/>
                          <w:bCs/>
                          <w:noProof/>
                          <w:u w:val="dotted"/>
                          <w:lang w:eastAsia="en-ZA"/>
                        </w:rPr>
                        <w:t xml:space="preserve"> </w:t>
                      </w:r>
                      <w:r>
                        <w:rPr>
                          <w:rFonts w:ascii="Calibri" w:eastAsia="Calibri" w:hAnsi="Calibri"/>
                          <w:b/>
                          <w:bCs/>
                          <w:noProof/>
                          <w:lang w:eastAsia="en-ZA"/>
                        </w:rPr>
                        <w:tab/>
                      </w:r>
                      <w:r w:rsidRPr="00C7029A">
                        <w:rPr>
                          <w:rFonts w:ascii="Calibri" w:hAnsi="Calibri"/>
                          <w:sz w:val="20"/>
                          <w:lang w:val="af-ZA"/>
                        </w:rPr>
                        <w:t xml:space="preserve"> </w:t>
                      </w:r>
                      <w:r w:rsidR="00662EFF">
                        <w:rPr>
                          <w:rFonts w:ascii="Calibri" w:hAnsi="Calibri"/>
                          <w:sz w:val="20"/>
                          <w:lang w:val="af-ZA"/>
                        </w:rPr>
                        <w:t>13</w:t>
                      </w:r>
                      <w:r w:rsidR="009C1997">
                        <w:rPr>
                          <w:rFonts w:ascii="Calibri" w:hAnsi="Calibri"/>
                          <w:sz w:val="20"/>
                          <w:lang w:val="af-ZA"/>
                        </w:rPr>
                        <w:t xml:space="preserve"> September</w:t>
                      </w:r>
                      <w:r w:rsidRPr="009A086F">
                        <w:rPr>
                          <w:rFonts w:ascii="Calibri" w:hAnsi="Calibri"/>
                          <w:sz w:val="20"/>
                          <w:lang w:val="af-ZA"/>
                        </w:rPr>
                        <w:t xml:space="preserve"> 2023</w:t>
                      </w:r>
                    </w:p>
                    <w:p w14:paraId="4079B055" w14:textId="77777777" w:rsidR="00485EB2" w:rsidRPr="007C20F4" w:rsidRDefault="00485EB2" w:rsidP="00485EB2">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v:textbox>
                <w10:wrap anchorx="margin"/>
              </v:shape>
            </w:pict>
          </mc:Fallback>
        </mc:AlternateContent>
      </w:r>
    </w:p>
    <w:p w14:paraId="7C40A1DB" w14:textId="77777777" w:rsidR="00485EB2" w:rsidRPr="006B04C9" w:rsidRDefault="00485EB2" w:rsidP="009C1997">
      <w:pPr>
        <w:outlineLvl w:val="0"/>
        <w:rPr>
          <w:rFonts w:cs="Arial"/>
          <w:kern w:val="32"/>
          <w:szCs w:val="22"/>
          <w:lang w:val="en-GB"/>
        </w:rPr>
      </w:pPr>
    </w:p>
    <w:p w14:paraId="568E50EF" w14:textId="77777777" w:rsidR="00485EB2" w:rsidRPr="006B04C9" w:rsidRDefault="00485EB2" w:rsidP="009C1997">
      <w:pPr>
        <w:outlineLvl w:val="0"/>
        <w:rPr>
          <w:rFonts w:cs="Arial"/>
          <w:kern w:val="32"/>
          <w:szCs w:val="22"/>
          <w:lang w:val="en-GB"/>
        </w:rPr>
      </w:pPr>
      <w:r w:rsidRPr="006B04C9">
        <w:rPr>
          <w:rFonts w:cs="Arial"/>
          <w:kern w:val="32"/>
          <w:szCs w:val="22"/>
          <w:lang w:val="en-GB"/>
        </w:rPr>
        <w:t>In the matter between:</w:t>
      </w:r>
    </w:p>
    <w:p w14:paraId="2CC3BCC3" w14:textId="77777777" w:rsidR="00485EB2" w:rsidRPr="006B04C9" w:rsidRDefault="00485EB2" w:rsidP="009C1997">
      <w:pPr>
        <w:tabs>
          <w:tab w:val="left" w:pos="7690"/>
        </w:tabs>
        <w:outlineLvl w:val="0"/>
        <w:rPr>
          <w:rFonts w:cs="Arial"/>
          <w:kern w:val="32"/>
          <w:szCs w:val="22"/>
          <w:lang w:val="en-GB"/>
        </w:rPr>
      </w:pPr>
      <w:r w:rsidRPr="006B04C9">
        <w:rPr>
          <w:rFonts w:cs="Arial"/>
          <w:kern w:val="32"/>
          <w:szCs w:val="22"/>
          <w:lang w:val="en-GB"/>
        </w:rPr>
        <w:tab/>
      </w:r>
    </w:p>
    <w:p w14:paraId="6C2D59CE" w14:textId="77777777" w:rsidR="00485EB2" w:rsidRDefault="00485EB2" w:rsidP="009C1997">
      <w:pPr>
        <w:tabs>
          <w:tab w:val="left" w:pos="7690"/>
        </w:tabs>
        <w:outlineLvl w:val="0"/>
        <w:rPr>
          <w:rFonts w:cs="Arial"/>
          <w:kern w:val="32"/>
          <w:szCs w:val="22"/>
          <w:lang w:val="en-GB"/>
        </w:rPr>
      </w:pPr>
    </w:p>
    <w:p w14:paraId="426817CA" w14:textId="77777777" w:rsidR="00AA2C3C" w:rsidRDefault="00AA2C3C" w:rsidP="009C1997">
      <w:pPr>
        <w:tabs>
          <w:tab w:val="left" w:pos="7690"/>
        </w:tabs>
        <w:outlineLvl w:val="0"/>
        <w:rPr>
          <w:rFonts w:cs="Arial"/>
          <w:kern w:val="32"/>
          <w:szCs w:val="22"/>
          <w:lang w:val="en-GB"/>
        </w:rPr>
      </w:pPr>
    </w:p>
    <w:p w14:paraId="07C39ABA" w14:textId="460F6AEA" w:rsidR="00AA2C3C" w:rsidRDefault="00AA2C3C" w:rsidP="009C1997">
      <w:pPr>
        <w:tabs>
          <w:tab w:val="left" w:pos="7690"/>
        </w:tabs>
        <w:outlineLvl w:val="0"/>
        <w:rPr>
          <w:rFonts w:cs="Arial"/>
          <w:kern w:val="32"/>
          <w:szCs w:val="22"/>
          <w:lang w:val="en-GB"/>
        </w:rPr>
      </w:pPr>
      <w:r>
        <w:rPr>
          <w:rFonts w:cs="Arial"/>
          <w:kern w:val="32"/>
          <w:szCs w:val="22"/>
          <w:lang w:val="en-GB"/>
        </w:rPr>
        <w:t>In the matter between:</w:t>
      </w:r>
    </w:p>
    <w:p w14:paraId="12EF8406" w14:textId="77777777" w:rsidR="00AA2C3C" w:rsidRPr="006B04C9" w:rsidRDefault="00AA2C3C" w:rsidP="009C1997">
      <w:pPr>
        <w:tabs>
          <w:tab w:val="left" w:pos="7690"/>
        </w:tabs>
        <w:outlineLvl w:val="0"/>
        <w:rPr>
          <w:rFonts w:cs="Arial"/>
          <w:kern w:val="32"/>
          <w:szCs w:val="22"/>
          <w:lang w:val="en-GB"/>
        </w:rPr>
      </w:pPr>
    </w:p>
    <w:tbl>
      <w:tblPr>
        <w:tblStyle w:val="TableGrid"/>
        <w:tblpPr w:leftFromText="180" w:rightFromText="180" w:vertAnchor="text" w:horzAnchor="margin" w:tblpY="20"/>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8"/>
        <w:gridCol w:w="3672"/>
      </w:tblGrid>
      <w:tr w:rsidR="00E0029C" w:rsidRPr="006B04C9" w14:paraId="7DB17EC4" w14:textId="77777777" w:rsidTr="00AA2C3C">
        <w:trPr>
          <w:trHeight w:val="383"/>
        </w:trPr>
        <w:tc>
          <w:tcPr>
            <w:tcW w:w="5718" w:type="dxa"/>
          </w:tcPr>
          <w:p w14:paraId="0BE9C9DF" w14:textId="4A3D49CB" w:rsidR="00E0029C" w:rsidRDefault="00E0029C" w:rsidP="00E0029C">
            <w:pPr>
              <w:outlineLvl w:val="0"/>
              <w:rPr>
                <w:b/>
                <w:bCs/>
                <w:sz w:val="22"/>
                <w:szCs w:val="22"/>
              </w:rPr>
            </w:pPr>
            <w:bookmarkStart w:id="1" w:name="_GoBack"/>
            <w:r w:rsidRPr="00AA2C3C">
              <w:rPr>
                <w:b/>
                <w:bCs/>
                <w:sz w:val="22"/>
                <w:szCs w:val="22"/>
              </w:rPr>
              <w:t>CANAAN ELECTRICAL CONTRACTORS</w:t>
            </w:r>
            <w:r w:rsidR="002D7800">
              <w:rPr>
                <w:b/>
                <w:bCs/>
                <w:sz w:val="22"/>
                <w:szCs w:val="22"/>
              </w:rPr>
              <w:t xml:space="preserve"> </w:t>
            </w:r>
          </w:p>
          <w:p w14:paraId="68A09131" w14:textId="77777777" w:rsidR="002D7800" w:rsidRDefault="002D7800" w:rsidP="00E0029C">
            <w:pPr>
              <w:outlineLvl w:val="0"/>
              <w:rPr>
                <w:b/>
                <w:bCs/>
                <w:sz w:val="22"/>
                <w:szCs w:val="22"/>
                <w:lang w:val="en-GB"/>
              </w:rPr>
            </w:pPr>
            <w:r>
              <w:rPr>
                <w:b/>
                <w:bCs/>
                <w:sz w:val="22"/>
                <w:szCs w:val="22"/>
                <w:lang w:val="en-GB"/>
              </w:rPr>
              <w:t>REG</w:t>
            </w:r>
            <w:bookmarkEnd w:id="1"/>
            <w:r>
              <w:rPr>
                <w:b/>
                <w:bCs/>
                <w:sz w:val="22"/>
                <w:szCs w:val="22"/>
                <w:lang w:val="en-GB"/>
              </w:rPr>
              <w:t xml:space="preserve"> [..]</w:t>
            </w:r>
          </w:p>
          <w:p w14:paraId="453DB4C5" w14:textId="7E609AE5" w:rsidR="002D7800" w:rsidRPr="00AA2C3C" w:rsidRDefault="002D7800" w:rsidP="00E0029C">
            <w:pPr>
              <w:outlineLvl w:val="0"/>
              <w:rPr>
                <w:rFonts w:cs="Arial"/>
                <w:b/>
                <w:bCs/>
                <w:kern w:val="32"/>
                <w:sz w:val="22"/>
                <w:szCs w:val="22"/>
                <w:lang w:val="en-GB"/>
              </w:rPr>
            </w:pPr>
          </w:p>
        </w:tc>
        <w:tc>
          <w:tcPr>
            <w:tcW w:w="3672" w:type="dxa"/>
          </w:tcPr>
          <w:p w14:paraId="3B85F0C6" w14:textId="77777777" w:rsidR="00E0029C" w:rsidRDefault="00E0029C" w:rsidP="00E0029C">
            <w:pPr>
              <w:outlineLvl w:val="0"/>
              <w:rPr>
                <w:rFonts w:cs="Arial"/>
                <w:b/>
                <w:bCs/>
                <w:kern w:val="32"/>
                <w:sz w:val="22"/>
                <w:szCs w:val="22"/>
                <w:lang w:val="en-GB"/>
              </w:rPr>
            </w:pPr>
            <w:r w:rsidRPr="00AA2C3C">
              <w:rPr>
                <w:rFonts w:cs="Arial"/>
                <w:b/>
                <w:bCs/>
                <w:kern w:val="32"/>
                <w:sz w:val="22"/>
                <w:szCs w:val="22"/>
                <w:lang w:val="en-GB"/>
              </w:rPr>
              <w:t xml:space="preserve">                               APPLICANT</w:t>
            </w:r>
          </w:p>
          <w:p w14:paraId="6B4CD5C3" w14:textId="77777777" w:rsidR="00AA2C3C" w:rsidRPr="00AA2C3C" w:rsidRDefault="00AA2C3C" w:rsidP="00E0029C">
            <w:pPr>
              <w:outlineLvl w:val="0"/>
              <w:rPr>
                <w:rFonts w:cs="Arial"/>
                <w:b/>
                <w:bCs/>
                <w:kern w:val="32"/>
                <w:sz w:val="22"/>
                <w:szCs w:val="22"/>
                <w:lang w:val="en-GB"/>
              </w:rPr>
            </w:pPr>
          </w:p>
        </w:tc>
      </w:tr>
      <w:tr w:rsidR="00E0029C" w:rsidRPr="006B04C9" w14:paraId="43D615C5" w14:textId="77777777" w:rsidTr="00AA2C3C">
        <w:trPr>
          <w:trHeight w:val="374"/>
        </w:trPr>
        <w:tc>
          <w:tcPr>
            <w:tcW w:w="5718" w:type="dxa"/>
          </w:tcPr>
          <w:p w14:paraId="19F725B0" w14:textId="77777777" w:rsidR="00E0029C" w:rsidRDefault="00AA2C3C" w:rsidP="00E0029C">
            <w:pPr>
              <w:outlineLvl w:val="0"/>
              <w:rPr>
                <w:rFonts w:cs="Arial"/>
                <w:b/>
                <w:bCs/>
                <w:kern w:val="32"/>
                <w:szCs w:val="22"/>
                <w:lang w:val="en-GB"/>
              </w:rPr>
            </w:pPr>
            <w:r>
              <w:rPr>
                <w:rFonts w:cs="Arial"/>
                <w:b/>
                <w:bCs/>
                <w:kern w:val="32"/>
                <w:szCs w:val="22"/>
                <w:lang w:val="en-GB"/>
              </w:rPr>
              <w:t>And</w:t>
            </w:r>
          </w:p>
          <w:p w14:paraId="1D5918D2" w14:textId="09E8B907" w:rsidR="00AA2C3C" w:rsidRPr="00AA2C3C" w:rsidRDefault="00AA2C3C" w:rsidP="00E0029C">
            <w:pPr>
              <w:outlineLvl w:val="0"/>
              <w:rPr>
                <w:rFonts w:cs="Arial"/>
                <w:b/>
                <w:bCs/>
                <w:kern w:val="32"/>
                <w:szCs w:val="22"/>
                <w:lang w:val="en-GB"/>
              </w:rPr>
            </w:pPr>
          </w:p>
        </w:tc>
        <w:tc>
          <w:tcPr>
            <w:tcW w:w="3672" w:type="dxa"/>
          </w:tcPr>
          <w:p w14:paraId="7E19EE40" w14:textId="77777777" w:rsidR="00E0029C" w:rsidRPr="00AA2C3C" w:rsidRDefault="00E0029C" w:rsidP="00E0029C">
            <w:pPr>
              <w:outlineLvl w:val="0"/>
              <w:rPr>
                <w:rFonts w:cs="Arial"/>
                <w:b/>
                <w:bCs/>
                <w:kern w:val="32"/>
                <w:szCs w:val="22"/>
                <w:lang w:val="en-GB"/>
              </w:rPr>
            </w:pPr>
          </w:p>
        </w:tc>
      </w:tr>
      <w:tr w:rsidR="00E0029C" w:rsidRPr="006B04C9" w14:paraId="5054F8C4" w14:textId="77777777" w:rsidTr="00AA2C3C">
        <w:trPr>
          <w:trHeight w:val="383"/>
        </w:trPr>
        <w:tc>
          <w:tcPr>
            <w:tcW w:w="5718" w:type="dxa"/>
          </w:tcPr>
          <w:p w14:paraId="070DFE9C" w14:textId="77777777" w:rsidR="00E0029C" w:rsidRPr="00AA2C3C" w:rsidRDefault="00E0029C" w:rsidP="00E0029C">
            <w:pPr>
              <w:outlineLvl w:val="0"/>
              <w:rPr>
                <w:rFonts w:cs="Arial"/>
                <w:b/>
                <w:bCs/>
                <w:kern w:val="32"/>
                <w:sz w:val="22"/>
                <w:szCs w:val="22"/>
                <w:lang w:val="en-GB"/>
              </w:rPr>
            </w:pPr>
            <w:r w:rsidRPr="00AA2C3C">
              <w:rPr>
                <w:rFonts w:cs="Arial"/>
                <w:b/>
                <w:bCs/>
                <w:kern w:val="32"/>
                <w:sz w:val="22"/>
                <w:szCs w:val="22"/>
                <w:lang w:val="en-GB"/>
              </w:rPr>
              <w:t>CITY OF TSHWANE METROPOLITAN</w:t>
            </w:r>
          </w:p>
          <w:p w14:paraId="3EED6A8F" w14:textId="77777777" w:rsidR="00E0029C" w:rsidRPr="00AA2C3C" w:rsidRDefault="00E0029C" w:rsidP="00E0029C">
            <w:pPr>
              <w:outlineLvl w:val="0"/>
              <w:rPr>
                <w:rFonts w:cs="Arial"/>
                <w:b/>
                <w:bCs/>
                <w:kern w:val="32"/>
                <w:sz w:val="22"/>
                <w:szCs w:val="22"/>
                <w:lang w:val="en-GB"/>
              </w:rPr>
            </w:pPr>
            <w:r w:rsidRPr="00AA2C3C">
              <w:rPr>
                <w:rFonts w:cs="Arial"/>
                <w:b/>
                <w:bCs/>
                <w:kern w:val="32"/>
                <w:sz w:val="22"/>
                <w:szCs w:val="22"/>
                <w:lang w:val="en-GB"/>
              </w:rPr>
              <w:t>MUNICIPALITY</w:t>
            </w:r>
          </w:p>
        </w:tc>
        <w:tc>
          <w:tcPr>
            <w:tcW w:w="3672" w:type="dxa"/>
          </w:tcPr>
          <w:p w14:paraId="351DB928" w14:textId="77777777" w:rsidR="00E0029C" w:rsidRPr="00AA2C3C" w:rsidRDefault="00E0029C" w:rsidP="00E0029C">
            <w:pPr>
              <w:outlineLvl w:val="0"/>
              <w:rPr>
                <w:rFonts w:cs="Arial"/>
                <w:b/>
                <w:bCs/>
                <w:kern w:val="32"/>
                <w:sz w:val="22"/>
                <w:szCs w:val="22"/>
                <w:lang w:val="en-GB"/>
              </w:rPr>
            </w:pPr>
            <w:r w:rsidRPr="00AA2C3C">
              <w:rPr>
                <w:rFonts w:cs="Arial"/>
                <w:b/>
                <w:bCs/>
                <w:kern w:val="32"/>
                <w:sz w:val="22"/>
                <w:szCs w:val="22"/>
                <w:lang w:val="en-GB"/>
              </w:rPr>
              <w:t xml:space="preserve">                      1</w:t>
            </w:r>
            <w:r w:rsidRPr="00AA2C3C">
              <w:rPr>
                <w:rFonts w:cs="Arial"/>
                <w:b/>
                <w:bCs/>
                <w:kern w:val="32"/>
                <w:sz w:val="22"/>
                <w:szCs w:val="22"/>
                <w:vertAlign w:val="superscript"/>
                <w:lang w:val="en-GB"/>
              </w:rPr>
              <w:t>ST</w:t>
            </w:r>
            <w:r w:rsidRPr="00AA2C3C">
              <w:rPr>
                <w:rFonts w:cs="Arial"/>
                <w:b/>
                <w:bCs/>
                <w:kern w:val="32"/>
                <w:sz w:val="22"/>
                <w:szCs w:val="22"/>
                <w:lang w:val="en-GB"/>
              </w:rPr>
              <w:t xml:space="preserve"> RESPONDENT</w:t>
            </w:r>
          </w:p>
        </w:tc>
      </w:tr>
      <w:tr w:rsidR="00E0029C" w:rsidRPr="006B04C9" w14:paraId="489B8EB2" w14:textId="77777777" w:rsidTr="00AA2C3C">
        <w:trPr>
          <w:trHeight w:val="374"/>
        </w:trPr>
        <w:tc>
          <w:tcPr>
            <w:tcW w:w="5718" w:type="dxa"/>
          </w:tcPr>
          <w:p w14:paraId="66D84ABF" w14:textId="77777777" w:rsidR="00E0029C" w:rsidRPr="00AA2C3C" w:rsidRDefault="00E0029C" w:rsidP="00E0029C">
            <w:pPr>
              <w:outlineLvl w:val="0"/>
              <w:rPr>
                <w:rFonts w:cs="Arial"/>
                <w:b/>
                <w:bCs/>
                <w:kern w:val="32"/>
                <w:szCs w:val="22"/>
                <w:lang w:val="en-GB"/>
              </w:rPr>
            </w:pPr>
          </w:p>
        </w:tc>
        <w:tc>
          <w:tcPr>
            <w:tcW w:w="3672" w:type="dxa"/>
          </w:tcPr>
          <w:p w14:paraId="12B86F89" w14:textId="77777777" w:rsidR="00E0029C" w:rsidRPr="00AA2C3C" w:rsidRDefault="00E0029C" w:rsidP="00E0029C">
            <w:pPr>
              <w:outlineLvl w:val="0"/>
              <w:rPr>
                <w:rFonts w:cs="Arial"/>
                <w:b/>
                <w:bCs/>
                <w:kern w:val="32"/>
                <w:szCs w:val="22"/>
                <w:lang w:val="en-GB"/>
              </w:rPr>
            </w:pPr>
          </w:p>
        </w:tc>
      </w:tr>
      <w:tr w:rsidR="00E0029C" w:rsidRPr="006B04C9" w14:paraId="16781759" w14:textId="77777777" w:rsidTr="00AA2C3C">
        <w:trPr>
          <w:trHeight w:val="383"/>
        </w:trPr>
        <w:tc>
          <w:tcPr>
            <w:tcW w:w="5718" w:type="dxa"/>
          </w:tcPr>
          <w:p w14:paraId="12BE17C9" w14:textId="77777777" w:rsidR="00E0029C" w:rsidRPr="00E0029C" w:rsidRDefault="00E0029C" w:rsidP="00E0029C">
            <w:pPr>
              <w:jc w:val="both"/>
              <w:outlineLvl w:val="0"/>
              <w:rPr>
                <w:rFonts w:cs="Arial"/>
                <w:b/>
                <w:bCs/>
                <w:kern w:val="32"/>
                <w:sz w:val="22"/>
                <w:szCs w:val="22"/>
                <w:lang w:val="en-GB"/>
              </w:rPr>
            </w:pPr>
            <w:r w:rsidRPr="00E0029C">
              <w:rPr>
                <w:rFonts w:cs="Arial"/>
                <w:b/>
                <w:bCs/>
                <w:kern w:val="32"/>
                <w:sz w:val="22"/>
                <w:szCs w:val="22"/>
                <w:lang w:val="en-GB"/>
              </w:rPr>
              <w:t>MUNICIPAL MANAGER OF THE</w:t>
            </w:r>
          </w:p>
          <w:p w14:paraId="21A33AAF" w14:textId="77777777" w:rsidR="00E0029C" w:rsidRDefault="00E0029C" w:rsidP="00E0029C">
            <w:pPr>
              <w:jc w:val="both"/>
              <w:outlineLvl w:val="0"/>
              <w:rPr>
                <w:rFonts w:cs="Arial"/>
                <w:b/>
                <w:bCs/>
                <w:kern w:val="32"/>
                <w:sz w:val="22"/>
                <w:szCs w:val="22"/>
                <w:lang w:val="en-GB"/>
              </w:rPr>
            </w:pPr>
            <w:r w:rsidRPr="00E0029C">
              <w:rPr>
                <w:rFonts w:cs="Arial"/>
                <w:b/>
                <w:bCs/>
                <w:kern w:val="32"/>
                <w:sz w:val="22"/>
                <w:szCs w:val="22"/>
                <w:lang w:val="en-GB"/>
              </w:rPr>
              <w:t>CITY OF TSHWANE</w:t>
            </w:r>
          </w:p>
          <w:p w14:paraId="0E0F1C0D" w14:textId="77777777" w:rsidR="00E0029C" w:rsidRDefault="00E0029C" w:rsidP="00E0029C">
            <w:pPr>
              <w:outlineLvl w:val="0"/>
              <w:rPr>
                <w:rFonts w:cs="Arial"/>
                <w:b/>
                <w:bCs/>
                <w:kern w:val="32"/>
                <w:szCs w:val="22"/>
                <w:lang w:val="en-GB"/>
              </w:rPr>
            </w:pPr>
          </w:p>
          <w:p w14:paraId="25902C64" w14:textId="77777777" w:rsidR="002D7800" w:rsidRDefault="00E0029C" w:rsidP="00E0029C">
            <w:pPr>
              <w:outlineLvl w:val="0"/>
              <w:rPr>
                <w:rFonts w:cs="Arial"/>
                <w:b/>
                <w:bCs/>
                <w:kern w:val="32"/>
                <w:szCs w:val="22"/>
                <w:lang w:val="en-GB"/>
              </w:rPr>
            </w:pPr>
            <w:r>
              <w:rPr>
                <w:rFonts w:cs="Arial"/>
                <w:b/>
                <w:bCs/>
                <w:kern w:val="32"/>
                <w:szCs w:val="22"/>
                <w:lang w:val="en-GB"/>
              </w:rPr>
              <w:t>HEAD:</w:t>
            </w:r>
            <w:r w:rsidR="002D7800">
              <w:rPr>
                <w:rFonts w:cs="Arial"/>
                <w:b/>
                <w:bCs/>
                <w:kern w:val="32"/>
                <w:szCs w:val="22"/>
                <w:lang w:val="en-GB"/>
              </w:rPr>
              <w:t xml:space="preserve"> GROUP FINANCE DEPARTMENT</w:t>
            </w:r>
          </w:p>
          <w:p w14:paraId="74B3D558" w14:textId="6F06B341" w:rsidR="00E0029C" w:rsidRDefault="002D7800" w:rsidP="00E0029C">
            <w:pPr>
              <w:outlineLvl w:val="0"/>
              <w:rPr>
                <w:rFonts w:cs="Arial"/>
                <w:b/>
                <w:bCs/>
                <w:kern w:val="32"/>
                <w:szCs w:val="22"/>
                <w:lang w:val="en-GB"/>
              </w:rPr>
            </w:pPr>
            <w:r>
              <w:rPr>
                <w:rFonts w:cs="Arial"/>
                <w:b/>
                <w:bCs/>
                <w:kern w:val="32"/>
                <w:szCs w:val="22"/>
                <w:lang w:val="en-GB"/>
              </w:rPr>
              <w:t>(</w:t>
            </w:r>
            <w:r w:rsidR="00E0029C">
              <w:rPr>
                <w:rFonts w:cs="Arial"/>
                <w:b/>
                <w:bCs/>
                <w:kern w:val="32"/>
                <w:szCs w:val="22"/>
                <w:lang w:val="en-GB"/>
              </w:rPr>
              <w:t>ACQIUSITION MANA</w:t>
            </w:r>
            <w:r>
              <w:rPr>
                <w:rFonts w:cs="Arial"/>
                <w:b/>
                <w:bCs/>
                <w:kern w:val="32"/>
                <w:szCs w:val="22"/>
                <w:lang w:val="en-GB"/>
              </w:rPr>
              <w:t>GEMENT)</w:t>
            </w:r>
            <w:r w:rsidR="00E0029C">
              <w:rPr>
                <w:rFonts w:cs="Arial"/>
                <w:b/>
                <w:bCs/>
                <w:kern w:val="32"/>
                <w:szCs w:val="22"/>
                <w:lang w:val="en-GB"/>
              </w:rPr>
              <w:t xml:space="preserve">                               </w:t>
            </w:r>
          </w:p>
          <w:p w14:paraId="320C7AC5" w14:textId="7A3DEAA1" w:rsidR="00E0029C" w:rsidRDefault="00AA2C3C" w:rsidP="00E0029C">
            <w:pPr>
              <w:jc w:val="both"/>
              <w:outlineLvl w:val="0"/>
              <w:rPr>
                <w:rFonts w:cs="Arial"/>
                <w:b/>
                <w:bCs/>
                <w:kern w:val="32"/>
                <w:szCs w:val="22"/>
                <w:lang w:val="en-GB"/>
              </w:rPr>
            </w:pPr>
            <w:r>
              <w:rPr>
                <w:rFonts w:cs="Arial"/>
                <w:b/>
                <w:bCs/>
                <w:noProof/>
                <w:kern w:val="32"/>
                <w:szCs w:val="22"/>
                <w:lang w:val="en-US"/>
              </w:rPr>
              <mc:AlternateContent>
                <mc:Choice Requires="wps">
                  <w:drawing>
                    <wp:anchor distT="0" distB="0" distL="114300" distR="114300" simplePos="0" relativeHeight="251664384" behindDoc="0" locked="0" layoutInCell="1" allowOverlap="1" wp14:anchorId="04CA62C8" wp14:editId="4F8CFD4D">
                      <wp:simplePos x="0" y="0"/>
                      <wp:positionH relativeFrom="column">
                        <wp:posOffset>22860</wp:posOffset>
                      </wp:positionH>
                      <wp:positionV relativeFrom="paragraph">
                        <wp:posOffset>140970</wp:posOffset>
                      </wp:positionV>
                      <wp:extent cx="5532120" cy="914400"/>
                      <wp:effectExtent l="0" t="0" r="0" b="0"/>
                      <wp:wrapNone/>
                      <wp:docPr id="1310259272" name="Text Box 1"/>
                      <wp:cNvGraphicFramePr/>
                      <a:graphic xmlns:a="http://schemas.openxmlformats.org/drawingml/2006/main">
                        <a:graphicData uri="http://schemas.microsoft.com/office/word/2010/wordprocessingShape">
                          <wps:wsp>
                            <wps:cNvSpPr txBox="1"/>
                            <wps:spPr>
                              <a:xfrm>
                                <a:off x="0" y="0"/>
                                <a:ext cx="5532120" cy="914400"/>
                              </a:xfrm>
                              <a:prstGeom prst="rect">
                                <a:avLst/>
                              </a:prstGeom>
                              <a:solidFill>
                                <a:schemeClr val="lt1"/>
                              </a:solidFill>
                              <a:ln w="6350">
                                <a:noFill/>
                              </a:ln>
                            </wps:spPr>
                            <wps:txbx>
                              <w:txbxContent>
                                <w:p w14:paraId="6E0804A1" w14:textId="77777777" w:rsidR="00E0029C" w:rsidRPr="003B012F" w:rsidRDefault="00E0029C" w:rsidP="00E0029C">
                                  <w:pPr>
                                    <w:pStyle w:val="PlainText"/>
                                    <w:spacing w:line="240" w:lineRule="auto"/>
                                    <w:rPr>
                                      <w:rFonts w:ascii="Arial" w:hAnsi="Arial" w:cs="Arial"/>
                                      <w:iCs/>
                                      <w:sz w:val="24"/>
                                      <w:szCs w:val="24"/>
                                    </w:rPr>
                                  </w:pPr>
                                </w:p>
                                <w:p w14:paraId="44A6925E" w14:textId="635534CC" w:rsidR="00E0029C" w:rsidRPr="003B012F" w:rsidRDefault="00E0029C" w:rsidP="00E0029C">
                                  <w:pPr>
                                    <w:pStyle w:val="PlainText"/>
                                    <w:spacing w:line="240" w:lineRule="auto"/>
                                    <w:rPr>
                                      <w:rFonts w:ascii="Arial" w:hAnsi="Arial" w:cs="Arial"/>
                                      <w:iCs/>
                                      <w:sz w:val="24"/>
                                      <w:szCs w:val="24"/>
                                    </w:rPr>
                                  </w:pPr>
                                  <w:r w:rsidRPr="003B012F">
                                    <w:rPr>
                                      <w:rFonts w:ascii="Arial" w:hAnsi="Arial" w:cs="Arial"/>
                                      <w:b/>
                                      <w:bCs/>
                                      <w:iCs/>
                                      <w:sz w:val="24"/>
                                      <w:szCs w:val="24"/>
                                    </w:rPr>
                                    <w:t>Delivered</w:t>
                                  </w:r>
                                  <w:r w:rsidRPr="003B012F">
                                    <w:rPr>
                                      <w:rFonts w:ascii="Arial" w:hAnsi="Arial" w:cs="Arial"/>
                                      <w:iCs/>
                                      <w:sz w:val="24"/>
                                      <w:szCs w:val="24"/>
                                    </w:rPr>
                                    <w:t xml:space="preserve"> :This judgment </w:t>
                                  </w:r>
                                  <w:r>
                                    <w:rPr>
                                      <w:rFonts w:ascii="Arial" w:hAnsi="Arial" w:cs="Arial"/>
                                      <w:iCs/>
                                      <w:sz w:val="24"/>
                                      <w:szCs w:val="24"/>
                                    </w:rPr>
                                    <w:t>was handed down electronically by circulation to the parties’ legal representatives</w:t>
                                  </w:r>
                                  <w:r w:rsidRPr="003B012F">
                                    <w:rPr>
                                      <w:rFonts w:ascii="Arial" w:hAnsi="Arial" w:cs="Arial"/>
                                      <w:iCs/>
                                      <w:sz w:val="24"/>
                                      <w:szCs w:val="24"/>
                                    </w:rPr>
                                    <w:t xml:space="preserve"> by e-mail</w:t>
                                  </w:r>
                                  <w:r>
                                    <w:rPr>
                                      <w:rFonts w:ascii="Arial" w:hAnsi="Arial" w:cs="Arial"/>
                                      <w:iCs/>
                                      <w:sz w:val="24"/>
                                      <w:szCs w:val="24"/>
                                    </w:rPr>
                                    <w:t xml:space="preserve"> and</w:t>
                                  </w:r>
                                  <w:r w:rsidRPr="003B012F">
                                    <w:rPr>
                                      <w:rFonts w:ascii="Arial" w:hAnsi="Arial" w:cs="Arial"/>
                                      <w:iCs/>
                                      <w:sz w:val="24"/>
                                      <w:szCs w:val="24"/>
                                    </w:rPr>
                                    <w:t xml:space="preserve"> uploaded on </w:t>
                                  </w:r>
                                  <w:r>
                                    <w:rPr>
                                      <w:rFonts w:ascii="Arial" w:hAnsi="Arial" w:cs="Arial"/>
                                      <w:iCs/>
                                      <w:sz w:val="24"/>
                                      <w:szCs w:val="24"/>
                                    </w:rPr>
                                    <w:t>c</w:t>
                                  </w:r>
                                  <w:r w:rsidRPr="003B012F">
                                    <w:rPr>
                                      <w:rFonts w:ascii="Arial" w:hAnsi="Arial" w:cs="Arial"/>
                                      <w:iCs/>
                                      <w:sz w:val="24"/>
                                      <w:szCs w:val="24"/>
                                    </w:rPr>
                                    <w:t xml:space="preserve">aselines </w:t>
                                  </w:r>
                                  <w:r>
                                    <w:rPr>
                                      <w:rFonts w:ascii="Arial" w:hAnsi="Arial" w:cs="Arial"/>
                                      <w:iCs/>
                                      <w:sz w:val="24"/>
                                      <w:szCs w:val="24"/>
                                    </w:rPr>
                                    <w:t>electronic platform.</w:t>
                                  </w:r>
                                  <w:r w:rsidRPr="003B012F">
                                    <w:rPr>
                                      <w:rFonts w:ascii="Arial" w:hAnsi="Arial" w:cs="Arial"/>
                                      <w:iCs/>
                                      <w:sz w:val="24"/>
                                      <w:szCs w:val="24"/>
                                    </w:rPr>
                                    <w:t xml:space="preserve"> The date </w:t>
                                  </w:r>
                                  <w:r>
                                    <w:rPr>
                                      <w:rFonts w:ascii="Arial" w:hAnsi="Arial" w:cs="Arial"/>
                                      <w:iCs/>
                                      <w:sz w:val="24"/>
                                      <w:szCs w:val="24"/>
                                    </w:rPr>
                                    <w:t>for hand-down is</w:t>
                                  </w:r>
                                  <w:r w:rsidRPr="003B012F">
                                    <w:rPr>
                                      <w:rFonts w:ascii="Arial" w:hAnsi="Arial" w:cs="Arial"/>
                                      <w:iCs/>
                                      <w:sz w:val="24"/>
                                      <w:szCs w:val="24"/>
                                    </w:rPr>
                                    <w:t xml:space="preserve"> deemed to </w:t>
                                  </w:r>
                                  <w:r w:rsidRPr="009A086F">
                                    <w:rPr>
                                      <w:rFonts w:ascii="Arial" w:hAnsi="Arial" w:cs="Arial"/>
                                      <w:iCs/>
                                      <w:sz w:val="24"/>
                                      <w:szCs w:val="24"/>
                                    </w:rPr>
                                    <w:t xml:space="preserve">be  </w:t>
                                  </w:r>
                                  <w:r w:rsidR="00662EFF">
                                    <w:rPr>
                                      <w:rFonts w:ascii="Arial" w:hAnsi="Arial" w:cs="Arial"/>
                                      <w:iCs/>
                                      <w:sz w:val="24"/>
                                      <w:szCs w:val="24"/>
                                    </w:rPr>
                                    <w:t>13</w:t>
                                  </w:r>
                                  <w:r>
                                    <w:rPr>
                                      <w:rFonts w:ascii="Arial" w:hAnsi="Arial" w:cs="Arial"/>
                                      <w:iCs/>
                                      <w:sz w:val="24"/>
                                      <w:szCs w:val="24"/>
                                    </w:rPr>
                                    <w:t xml:space="preserve"> September</w:t>
                                  </w:r>
                                  <w:r w:rsidRPr="009A086F">
                                    <w:rPr>
                                      <w:rFonts w:ascii="Arial" w:hAnsi="Arial" w:cs="Arial"/>
                                      <w:iCs/>
                                      <w:sz w:val="24"/>
                                      <w:szCs w:val="24"/>
                                    </w:rPr>
                                    <w:t xml:space="preserve"> 2023.</w:t>
                                  </w:r>
                                </w:p>
                                <w:p w14:paraId="4549FFFB" w14:textId="77777777" w:rsidR="00E0029C" w:rsidRPr="003B012F" w:rsidRDefault="00E0029C" w:rsidP="00E0029C">
                                  <w:pPr>
                                    <w:pStyle w:val="PlainText"/>
                                    <w:spacing w:line="240" w:lineRule="auto"/>
                                    <w:rPr>
                                      <w:rFonts w:ascii="Arial" w:hAnsi="Arial" w:cs="Arial"/>
                                      <w:iCs/>
                                      <w:sz w:val="24"/>
                                      <w:szCs w:val="24"/>
                                    </w:rPr>
                                  </w:pPr>
                                </w:p>
                                <w:p w14:paraId="42EE263C" w14:textId="77777777" w:rsidR="00E0029C" w:rsidRPr="003B012F" w:rsidRDefault="00E0029C" w:rsidP="00E0029C">
                                  <w:pPr>
                                    <w:rPr>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A62C8" id="Text Box 1" o:spid="_x0000_s1027" type="#_x0000_t202" style="position:absolute;left:0;text-align:left;margin-left:1.8pt;margin-top:11.1pt;width:435.6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" fillcolor="white [3201]" stroked="f" strokeweight=".5pt">
                      <v:textbox>
                        <w:txbxContent>
                          <w:p w14:paraId="6E0804A1" w14:textId="77777777" w:rsidR="00E0029C" w:rsidRPr="003B012F" w:rsidRDefault="00E0029C" w:rsidP="00E0029C">
                            <w:pPr>
                              <w:pStyle w:val="PlainText"/>
                              <w:spacing w:line="240" w:lineRule="auto"/>
                              <w:rPr>
                                <w:rFonts w:ascii="Arial" w:hAnsi="Arial" w:cs="Arial"/>
                                <w:iCs/>
                                <w:sz w:val="24"/>
                                <w:szCs w:val="24"/>
                              </w:rPr>
                            </w:pPr>
                          </w:p>
                          <w:p w14:paraId="44A6925E" w14:textId="635534CC" w:rsidR="00E0029C" w:rsidRPr="003B012F" w:rsidRDefault="00E0029C" w:rsidP="00E0029C">
                            <w:pPr>
                              <w:pStyle w:val="PlainText"/>
                              <w:spacing w:line="240" w:lineRule="auto"/>
                              <w:rPr>
                                <w:rFonts w:ascii="Arial" w:hAnsi="Arial" w:cs="Arial"/>
                                <w:iCs/>
                                <w:sz w:val="24"/>
                                <w:szCs w:val="24"/>
                              </w:rPr>
                            </w:pPr>
                            <w:r w:rsidRPr="003B012F">
                              <w:rPr>
                                <w:rFonts w:ascii="Arial" w:hAnsi="Arial" w:cs="Arial"/>
                                <w:b/>
                                <w:bCs/>
                                <w:iCs/>
                                <w:sz w:val="24"/>
                                <w:szCs w:val="24"/>
                              </w:rPr>
                              <w:t>Delivered</w:t>
                            </w:r>
                            <w:r w:rsidRPr="003B012F">
                              <w:rPr>
                                <w:rFonts w:ascii="Arial" w:hAnsi="Arial" w:cs="Arial"/>
                                <w:iCs/>
                                <w:sz w:val="24"/>
                                <w:szCs w:val="24"/>
                              </w:rPr>
                              <w:t xml:space="preserve"> :This judgment </w:t>
                            </w:r>
                            <w:r>
                              <w:rPr>
                                <w:rFonts w:ascii="Arial" w:hAnsi="Arial" w:cs="Arial"/>
                                <w:iCs/>
                                <w:sz w:val="24"/>
                                <w:szCs w:val="24"/>
                              </w:rPr>
                              <w:t>was handed down electronically by circulation to the parties’ legal representatives</w:t>
                            </w:r>
                            <w:r w:rsidRPr="003B012F">
                              <w:rPr>
                                <w:rFonts w:ascii="Arial" w:hAnsi="Arial" w:cs="Arial"/>
                                <w:iCs/>
                                <w:sz w:val="24"/>
                                <w:szCs w:val="24"/>
                              </w:rPr>
                              <w:t xml:space="preserve"> by e-mail</w:t>
                            </w:r>
                            <w:r>
                              <w:rPr>
                                <w:rFonts w:ascii="Arial" w:hAnsi="Arial" w:cs="Arial"/>
                                <w:iCs/>
                                <w:sz w:val="24"/>
                                <w:szCs w:val="24"/>
                              </w:rPr>
                              <w:t xml:space="preserve"> and</w:t>
                            </w:r>
                            <w:r w:rsidRPr="003B012F">
                              <w:rPr>
                                <w:rFonts w:ascii="Arial" w:hAnsi="Arial" w:cs="Arial"/>
                                <w:iCs/>
                                <w:sz w:val="24"/>
                                <w:szCs w:val="24"/>
                              </w:rPr>
                              <w:t xml:space="preserve"> uploaded on </w:t>
                            </w:r>
                            <w:r>
                              <w:rPr>
                                <w:rFonts w:ascii="Arial" w:hAnsi="Arial" w:cs="Arial"/>
                                <w:iCs/>
                                <w:sz w:val="24"/>
                                <w:szCs w:val="24"/>
                              </w:rPr>
                              <w:t>c</w:t>
                            </w:r>
                            <w:r w:rsidRPr="003B012F">
                              <w:rPr>
                                <w:rFonts w:ascii="Arial" w:hAnsi="Arial" w:cs="Arial"/>
                                <w:iCs/>
                                <w:sz w:val="24"/>
                                <w:szCs w:val="24"/>
                              </w:rPr>
                              <w:t xml:space="preserve">aselines </w:t>
                            </w:r>
                            <w:r>
                              <w:rPr>
                                <w:rFonts w:ascii="Arial" w:hAnsi="Arial" w:cs="Arial"/>
                                <w:iCs/>
                                <w:sz w:val="24"/>
                                <w:szCs w:val="24"/>
                              </w:rPr>
                              <w:t>electronic platform.</w:t>
                            </w:r>
                            <w:r w:rsidRPr="003B012F">
                              <w:rPr>
                                <w:rFonts w:ascii="Arial" w:hAnsi="Arial" w:cs="Arial"/>
                                <w:iCs/>
                                <w:sz w:val="24"/>
                                <w:szCs w:val="24"/>
                              </w:rPr>
                              <w:t xml:space="preserve"> The date </w:t>
                            </w:r>
                            <w:r>
                              <w:rPr>
                                <w:rFonts w:ascii="Arial" w:hAnsi="Arial" w:cs="Arial"/>
                                <w:iCs/>
                                <w:sz w:val="24"/>
                                <w:szCs w:val="24"/>
                              </w:rPr>
                              <w:t>for hand-down is</w:t>
                            </w:r>
                            <w:r w:rsidRPr="003B012F">
                              <w:rPr>
                                <w:rFonts w:ascii="Arial" w:hAnsi="Arial" w:cs="Arial"/>
                                <w:iCs/>
                                <w:sz w:val="24"/>
                                <w:szCs w:val="24"/>
                              </w:rPr>
                              <w:t xml:space="preserve"> deemed to </w:t>
                            </w:r>
                            <w:r w:rsidRPr="009A086F">
                              <w:rPr>
                                <w:rFonts w:ascii="Arial" w:hAnsi="Arial" w:cs="Arial"/>
                                <w:iCs/>
                                <w:sz w:val="24"/>
                                <w:szCs w:val="24"/>
                              </w:rPr>
                              <w:t xml:space="preserve">be  </w:t>
                            </w:r>
                            <w:r w:rsidR="00662EFF">
                              <w:rPr>
                                <w:rFonts w:ascii="Arial" w:hAnsi="Arial" w:cs="Arial"/>
                                <w:iCs/>
                                <w:sz w:val="24"/>
                                <w:szCs w:val="24"/>
                              </w:rPr>
                              <w:t>13</w:t>
                            </w:r>
                            <w:r>
                              <w:rPr>
                                <w:rFonts w:ascii="Arial" w:hAnsi="Arial" w:cs="Arial"/>
                                <w:iCs/>
                                <w:sz w:val="24"/>
                                <w:szCs w:val="24"/>
                              </w:rPr>
                              <w:t xml:space="preserve"> September</w:t>
                            </w:r>
                            <w:r w:rsidRPr="009A086F">
                              <w:rPr>
                                <w:rFonts w:ascii="Arial" w:hAnsi="Arial" w:cs="Arial"/>
                                <w:iCs/>
                                <w:sz w:val="24"/>
                                <w:szCs w:val="24"/>
                              </w:rPr>
                              <w:t xml:space="preserve"> 2023.</w:t>
                            </w:r>
                          </w:p>
                          <w:p w14:paraId="4549FFFB" w14:textId="77777777" w:rsidR="00E0029C" w:rsidRPr="003B012F" w:rsidRDefault="00E0029C" w:rsidP="00E0029C">
                            <w:pPr>
                              <w:pStyle w:val="PlainText"/>
                              <w:spacing w:line="240" w:lineRule="auto"/>
                              <w:rPr>
                                <w:rFonts w:ascii="Arial" w:hAnsi="Arial" w:cs="Arial"/>
                                <w:iCs/>
                                <w:sz w:val="24"/>
                                <w:szCs w:val="24"/>
                              </w:rPr>
                            </w:pPr>
                          </w:p>
                          <w:p w14:paraId="42EE263C" w14:textId="77777777" w:rsidR="00E0029C" w:rsidRPr="003B012F" w:rsidRDefault="00E0029C" w:rsidP="00E0029C">
                            <w:pPr>
                              <w:rPr>
                                <w:iCs/>
                              </w:rPr>
                            </w:pPr>
                          </w:p>
                        </w:txbxContent>
                      </v:textbox>
                    </v:shape>
                  </w:pict>
                </mc:Fallback>
              </mc:AlternateContent>
            </w:r>
          </w:p>
          <w:p w14:paraId="28A3FC4B" w14:textId="27C98D49" w:rsidR="00E0029C" w:rsidRDefault="00E0029C" w:rsidP="00E0029C">
            <w:pPr>
              <w:outlineLvl w:val="0"/>
              <w:rPr>
                <w:rFonts w:cs="Arial"/>
                <w:b/>
                <w:bCs/>
                <w:kern w:val="32"/>
                <w:szCs w:val="22"/>
                <w:lang w:val="en-GB"/>
              </w:rPr>
            </w:pPr>
          </w:p>
          <w:p w14:paraId="361285B7" w14:textId="77777777" w:rsidR="00E0029C" w:rsidRDefault="00E0029C" w:rsidP="00E0029C">
            <w:pPr>
              <w:outlineLvl w:val="0"/>
              <w:rPr>
                <w:rFonts w:cs="Arial"/>
                <w:b/>
                <w:bCs/>
                <w:kern w:val="32"/>
                <w:szCs w:val="22"/>
                <w:lang w:val="en-GB"/>
              </w:rPr>
            </w:pPr>
          </w:p>
          <w:p w14:paraId="7FA0875B" w14:textId="77777777" w:rsidR="00E0029C" w:rsidRDefault="00E0029C" w:rsidP="00E0029C">
            <w:pPr>
              <w:outlineLvl w:val="0"/>
              <w:rPr>
                <w:rFonts w:cs="Arial"/>
                <w:b/>
                <w:bCs/>
                <w:kern w:val="32"/>
                <w:szCs w:val="22"/>
                <w:lang w:val="en-GB"/>
              </w:rPr>
            </w:pPr>
          </w:p>
          <w:p w14:paraId="4C75B202" w14:textId="77777777" w:rsidR="00E0029C" w:rsidRDefault="00E0029C" w:rsidP="00E0029C">
            <w:pPr>
              <w:outlineLvl w:val="0"/>
              <w:rPr>
                <w:rFonts w:cs="Arial"/>
                <w:b/>
                <w:bCs/>
                <w:kern w:val="32"/>
                <w:szCs w:val="22"/>
                <w:lang w:val="en-GB"/>
              </w:rPr>
            </w:pPr>
          </w:p>
          <w:p w14:paraId="5A3ACB9E" w14:textId="77777777" w:rsidR="00E0029C" w:rsidRDefault="00E0029C" w:rsidP="00E0029C">
            <w:pPr>
              <w:outlineLvl w:val="0"/>
              <w:rPr>
                <w:rFonts w:cs="Arial"/>
                <w:b/>
                <w:bCs/>
                <w:kern w:val="32"/>
                <w:szCs w:val="22"/>
                <w:lang w:val="en-GB"/>
              </w:rPr>
            </w:pPr>
          </w:p>
          <w:p w14:paraId="1CA264E3" w14:textId="77777777" w:rsidR="00E0029C" w:rsidRPr="006B04C9" w:rsidRDefault="00E0029C" w:rsidP="00E0029C">
            <w:pPr>
              <w:outlineLvl w:val="0"/>
              <w:rPr>
                <w:rFonts w:cs="Arial"/>
                <w:b/>
                <w:bCs/>
                <w:kern w:val="32"/>
                <w:szCs w:val="22"/>
                <w:lang w:val="en-GB"/>
              </w:rPr>
            </w:pPr>
          </w:p>
        </w:tc>
        <w:tc>
          <w:tcPr>
            <w:tcW w:w="3672" w:type="dxa"/>
          </w:tcPr>
          <w:p w14:paraId="1D050EF1" w14:textId="77777777" w:rsidR="00E0029C" w:rsidRPr="00AA2C3C" w:rsidRDefault="00E0029C" w:rsidP="00E0029C">
            <w:pPr>
              <w:jc w:val="center"/>
              <w:outlineLvl w:val="0"/>
              <w:rPr>
                <w:rFonts w:cs="Arial"/>
                <w:b/>
                <w:bCs/>
                <w:kern w:val="32"/>
                <w:sz w:val="22"/>
                <w:szCs w:val="22"/>
                <w:lang w:val="en-GB"/>
              </w:rPr>
            </w:pPr>
            <w:r w:rsidRPr="00E0029C">
              <w:rPr>
                <w:rFonts w:cs="Arial"/>
                <w:kern w:val="32"/>
                <w:sz w:val="22"/>
                <w:szCs w:val="22"/>
                <w:lang w:val="en-GB"/>
              </w:rPr>
              <w:lastRenderedPageBreak/>
              <w:t xml:space="preserve">                </w:t>
            </w:r>
            <w:r>
              <w:rPr>
                <w:rFonts w:cs="Arial"/>
                <w:kern w:val="32"/>
                <w:sz w:val="22"/>
                <w:szCs w:val="22"/>
                <w:lang w:val="en-GB"/>
              </w:rPr>
              <w:t xml:space="preserve">   </w:t>
            </w:r>
            <w:r w:rsidRPr="00E0029C">
              <w:rPr>
                <w:rFonts w:cs="Arial"/>
                <w:kern w:val="32"/>
                <w:sz w:val="22"/>
                <w:szCs w:val="22"/>
                <w:lang w:val="en-GB"/>
              </w:rPr>
              <w:t xml:space="preserve"> </w:t>
            </w:r>
            <w:r w:rsidRPr="00AA2C3C">
              <w:rPr>
                <w:rFonts w:cs="Arial"/>
                <w:b/>
                <w:bCs/>
                <w:kern w:val="32"/>
                <w:sz w:val="22"/>
                <w:szCs w:val="22"/>
                <w:lang w:val="en-GB"/>
              </w:rPr>
              <w:t>2</w:t>
            </w:r>
            <w:r w:rsidRPr="00AA2C3C">
              <w:rPr>
                <w:rFonts w:cs="Arial"/>
                <w:b/>
                <w:bCs/>
                <w:kern w:val="32"/>
                <w:sz w:val="22"/>
                <w:szCs w:val="22"/>
                <w:vertAlign w:val="superscript"/>
                <w:lang w:val="en-GB"/>
              </w:rPr>
              <w:t>ND</w:t>
            </w:r>
            <w:r w:rsidRPr="00AA2C3C">
              <w:rPr>
                <w:rFonts w:cs="Arial"/>
                <w:b/>
                <w:bCs/>
                <w:kern w:val="32"/>
                <w:sz w:val="22"/>
                <w:szCs w:val="22"/>
                <w:lang w:val="en-GB"/>
              </w:rPr>
              <w:t xml:space="preserve">  RESPONDENT</w:t>
            </w:r>
          </w:p>
          <w:p w14:paraId="661AE90C" w14:textId="77777777" w:rsidR="00E0029C" w:rsidRDefault="00E0029C" w:rsidP="00E0029C">
            <w:pPr>
              <w:jc w:val="center"/>
              <w:outlineLvl w:val="0"/>
              <w:rPr>
                <w:rFonts w:cs="Arial"/>
                <w:kern w:val="32"/>
                <w:sz w:val="22"/>
                <w:szCs w:val="22"/>
                <w:lang w:val="en-GB"/>
              </w:rPr>
            </w:pPr>
          </w:p>
          <w:p w14:paraId="316B65B9" w14:textId="77777777" w:rsidR="00E0029C" w:rsidRDefault="00E0029C" w:rsidP="00E0029C">
            <w:pPr>
              <w:jc w:val="center"/>
              <w:outlineLvl w:val="0"/>
              <w:rPr>
                <w:rFonts w:cs="Arial"/>
                <w:kern w:val="32"/>
                <w:sz w:val="22"/>
                <w:szCs w:val="22"/>
                <w:lang w:val="en-GB"/>
              </w:rPr>
            </w:pPr>
          </w:p>
          <w:p w14:paraId="002A476C" w14:textId="0E16CC6B" w:rsidR="00E0029C" w:rsidRPr="00AA2C3C" w:rsidRDefault="00AA2C3C" w:rsidP="00E0029C">
            <w:pPr>
              <w:jc w:val="center"/>
              <w:outlineLvl w:val="0"/>
              <w:rPr>
                <w:rFonts w:cs="Arial"/>
                <w:b/>
                <w:bCs/>
                <w:kern w:val="32"/>
                <w:sz w:val="22"/>
                <w:szCs w:val="22"/>
                <w:lang w:val="en-GB"/>
              </w:rPr>
            </w:pPr>
            <w:r w:rsidRPr="00AA2C3C">
              <w:rPr>
                <w:rFonts w:cs="Arial"/>
                <w:b/>
                <w:bCs/>
                <w:kern w:val="32"/>
                <w:sz w:val="22"/>
                <w:szCs w:val="22"/>
                <w:lang w:val="en-GB"/>
              </w:rPr>
              <w:t xml:space="preserve">                      </w:t>
            </w:r>
            <w:r w:rsidR="00E0029C" w:rsidRPr="00AA2C3C">
              <w:rPr>
                <w:rFonts w:cs="Arial"/>
                <w:b/>
                <w:bCs/>
                <w:kern w:val="32"/>
                <w:sz w:val="22"/>
                <w:szCs w:val="22"/>
                <w:lang w:val="en-GB"/>
              </w:rPr>
              <w:t>3</w:t>
            </w:r>
            <w:r w:rsidR="00E0029C" w:rsidRPr="00AA2C3C">
              <w:rPr>
                <w:rFonts w:cs="Arial"/>
                <w:b/>
                <w:bCs/>
                <w:kern w:val="32"/>
                <w:sz w:val="22"/>
                <w:szCs w:val="22"/>
                <w:vertAlign w:val="superscript"/>
                <w:lang w:val="en-GB"/>
              </w:rPr>
              <w:t>RD</w:t>
            </w:r>
            <w:r w:rsidR="00E0029C" w:rsidRPr="00AA2C3C">
              <w:rPr>
                <w:rFonts w:cs="Arial"/>
                <w:b/>
                <w:bCs/>
                <w:kern w:val="32"/>
                <w:sz w:val="22"/>
                <w:szCs w:val="22"/>
                <w:lang w:val="en-GB"/>
              </w:rPr>
              <w:t xml:space="preserve"> RESPONDENT</w:t>
            </w:r>
          </w:p>
          <w:p w14:paraId="7102AC35" w14:textId="77777777" w:rsidR="00E0029C" w:rsidRDefault="00E0029C" w:rsidP="00E0029C">
            <w:pPr>
              <w:jc w:val="center"/>
              <w:outlineLvl w:val="0"/>
              <w:rPr>
                <w:rFonts w:cs="Arial"/>
                <w:kern w:val="32"/>
                <w:sz w:val="22"/>
                <w:szCs w:val="22"/>
                <w:lang w:val="en-GB"/>
              </w:rPr>
            </w:pPr>
          </w:p>
          <w:p w14:paraId="0E957361" w14:textId="77777777" w:rsidR="00E0029C" w:rsidRPr="00E0029C" w:rsidRDefault="00E0029C" w:rsidP="00E0029C">
            <w:pPr>
              <w:jc w:val="center"/>
              <w:outlineLvl w:val="0"/>
              <w:rPr>
                <w:rFonts w:cs="Arial"/>
                <w:kern w:val="32"/>
                <w:sz w:val="22"/>
                <w:szCs w:val="22"/>
                <w:lang w:val="en-GB"/>
              </w:rPr>
            </w:pPr>
            <w:r w:rsidRPr="00E0029C">
              <w:rPr>
                <w:rFonts w:cs="Arial"/>
                <w:kern w:val="32"/>
                <w:sz w:val="22"/>
                <w:szCs w:val="22"/>
                <w:lang w:val="en-GB"/>
              </w:rPr>
              <w:t xml:space="preserve">                         </w:t>
            </w:r>
          </w:p>
        </w:tc>
      </w:tr>
      <w:tr w:rsidR="00E0029C" w:rsidRPr="006B04C9" w14:paraId="0D5B5B4D" w14:textId="77777777" w:rsidTr="00AA2C3C">
        <w:trPr>
          <w:trHeight w:val="61"/>
        </w:trPr>
        <w:tc>
          <w:tcPr>
            <w:tcW w:w="5718" w:type="dxa"/>
          </w:tcPr>
          <w:p w14:paraId="18247346" w14:textId="77777777" w:rsidR="00E0029C" w:rsidRPr="006B04C9" w:rsidRDefault="00E0029C" w:rsidP="00E0029C">
            <w:pPr>
              <w:outlineLvl w:val="0"/>
              <w:rPr>
                <w:rFonts w:cs="Arial"/>
                <w:b/>
                <w:bCs/>
                <w:kern w:val="32"/>
                <w:szCs w:val="22"/>
                <w:lang w:val="en-GB"/>
              </w:rPr>
            </w:pPr>
          </w:p>
        </w:tc>
        <w:tc>
          <w:tcPr>
            <w:tcW w:w="3672" w:type="dxa"/>
          </w:tcPr>
          <w:p w14:paraId="4966F1E9" w14:textId="77777777" w:rsidR="00E0029C" w:rsidRPr="006B04C9" w:rsidRDefault="00E0029C" w:rsidP="00E0029C">
            <w:pPr>
              <w:outlineLvl w:val="0"/>
              <w:rPr>
                <w:rFonts w:cs="Arial"/>
                <w:kern w:val="32"/>
                <w:szCs w:val="22"/>
                <w:lang w:val="en-GB"/>
              </w:rPr>
            </w:pPr>
          </w:p>
        </w:tc>
      </w:tr>
      <w:tr w:rsidR="00AA2C3C" w:rsidRPr="006B04C9" w14:paraId="0BD8F2A2" w14:textId="77777777" w:rsidTr="00AA2C3C">
        <w:trPr>
          <w:trHeight w:val="61"/>
        </w:trPr>
        <w:tc>
          <w:tcPr>
            <w:tcW w:w="5718" w:type="dxa"/>
          </w:tcPr>
          <w:p w14:paraId="74FC5506" w14:textId="1E32AF3E" w:rsidR="00AA2C3C" w:rsidRPr="00AA2C3C" w:rsidRDefault="00AA2C3C" w:rsidP="00AA2C3C">
            <w:pPr>
              <w:tabs>
                <w:tab w:val="left" w:pos="7690"/>
              </w:tabs>
              <w:spacing w:after="160"/>
              <w:outlineLvl w:val="0"/>
              <w:rPr>
                <w:rFonts w:cs="Arial"/>
                <w:kern w:val="32"/>
                <w:szCs w:val="22"/>
                <w:lang w:val="en-GB"/>
              </w:rPr>
            </w:pPr>
          </w:p>
        </w:tc>
        <w:tc>
          <w:tcPr>
            <w:tcW w:w="3672" w:type="dxa"/>
          </w:tcPr>
          <w:p w14:paraId="0F56B135" w14:textId="77777777" w:rsidR="00AA2C3C" w:rsidRPr="006B04C9" w:rsidRDefault="00AA2C3C" w:rsidP="00AA2C3C">
            <w:pPr>
              <w:jc w:val="both"/>
              <w:outlineLvl w:val="0"/>
              <w:rPr>
                <w:rFonts w:cs="Arial"/>
                <w:kern w:val="32"/>
                <w:szCs w:val="22"/>
                <w:lang w:val="en-GB"/>
              </w:rPr>
            </w:pPr>
          </w:p>
        </w:tc>
      </w:tr>
    </w:tbl>
    <w:p w14:paraId="5C0BC8BF" w14:textId="143E6D08" w:rsidR="00485EB2" w:rsidRDefault="00AA2C3C" w:rsidP="00485EB2">
      <w:pPr>
        <w:pBdr>
          <w:top w:val="single" w:sz="12" w:space="31" w:color="auto"/>
          <w:bottom w:val="single" w:sz="12" w:space="1" w:color="auto"/>
        </w:pBdr>
        <w:tabs>
          <w:tab w:val="left" w:pos="1980"/>
          <w:tab w:val="center" w:pos="4513"/>
        </w:tabs>
        <w:jc w:val="center"/>
        <w:rPr>
          <w:rFonts w:eastAsia="Calibri" w:cs="Arial"/>
          <w:b/>
        </w:rPr>
      </w:pPr>
      <w:r>
        <w:rPr>
          <w:rFonts w:cs="Arial"/>
          <w:noProof/>
          <w:kern w:val="32"/>
          <w:szCs w:val="22"/>
          <w:lang w:val="en-US"/>
        </w:rPr>
        <w:lastRenderedPageBreak/>
        <mc:AlternateContent>
          <mc:Choice Requires="wps">
            <w:drawing>
              <wp:anchor distT="0" distB="0" distL="114300" distR="114300" simplePos="0" relativeHeight="251662336" behindDoc="0" locked="0" layoutInCell="1" allowOverlap="1" wp14:anchorId="0BF2C9BF" wp14:editId="510BA70B">
                <wp:simplePos x="0" y="0"/>
                <wp:positionH relativeFrom="margin">
                  <wp:posOffset>-175260</wp:posOffset>
                </wp:positionH>
                <wp:positionV relativeFrom="page">
                  <wp:posOffset>1066800</wp:posOffset>
                </wp:positionV>
                <wp:extent cx="6118860" cy="502920"/>
                <wp:effectExtent l="0" t="0" r="0" b="0"/>
                <wp:wrapNone/>
                <wp:docPr id="2059132230" name="Rectangle 2"/>
                <wp:cNvGraphicFramePr/>
                <a:graphic xmlns:a="http://schemas.openxmlformats.org/drawingml/2006/main">
                  <a:graphicData uri="http://schemas.microsoft.com/office/word/2010/wordprocessingShape">
                    <wps:wsp>
                      <wps:cNvSpPr/>
                      <wps:spPr>
                        <a:xfrm rot="10800000">
                          <a:off x="0" y="0"/>
                          <a:ext cx="6118860" cy="502920"/>
                        </a:xfrm>
                        <a:prstGeom prst="rect">
                          <a:avLst/>
                        </a:prstGeom>
                        <a:solidFill>
                          <a:sysClr val="window" lastClr="FFFFFF"/>
                        </a:solidFill>
                        <a:ln w="12700" cap="flat" cmpd="sng" algn="ctr">
                          <a:noFill/>
                          <a:prstDash val="solid"/>
                          <a:miter lim="800000"/>
                        </a:ln>
                        <a:effectLst/>
                      </wps:spPr>
                      <wps:txbx>
                        <w:txbxContent>
                          <w:p w14:paraId="4DA3C8ED" w14:textId="180EB7A2" w:rsidR="00485EB2" w:rsidRPr="00AA2C3C" w:rsidRDefault="00485EB2" w:rsidP="00AA2C3C">
                            <w:pP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F2C9BF" id="Rectangle 2" o:spid="_x0000_s1028" style="position:absolute;left:0;text-align:left;margin-left:-13.8pt;margin-top:84pt;width:481.8pt;height:39.6pt;rotation:18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" fillcolor="window" stroked="f" strokeweight="1pt">
                <v:textbox>
                  <w:txbxContent>
                    <w:p w14:paraId="4DA3C8ED" w14:textId="180EB7A2" w:rsidR="00485EB2" w:rsidRPr="00AA2C3C" w:rsidRDefault="00485EB2" w:rsidP="00AA2C3C">
                      <w:pPr>
                        <w:rPr>
                          <w:b/>
                          <w:bCs/>
                          <w:color w:val="000000" w:themeColor="text1"/>
                        </w:rPr>
                      </w:pPr>
                    </w:p>
                  </w:txbxContent>
                </v:textbox>
                <w10:wrap anchorx="margin" anchory="page"/>
              </v:rect>
            </w:pict>
          </mc:Fallback>
        </mc:AlternateContent>
      </w:r>
      <w:r w:rsidR="00485EB2">
        <w:rPr>
          <w:rFonts w:eastAsia="Calibri" w:cs="Arial"/>
          <w:b/>
        </w:rPr>
        <w:t>JUDGMENT</w:t>
      </w:r>
    </w:p>
    <w:p w14:paraId="4B213D2C" w14:textId="77777777" w:rsidR="00485EB2" w:rsidRPr="006B04C9" w:rsidRDefault="00485EB2" w:rsidP="00485EB2">
      <w:pPr>
        <w:pBdr>
          <w:top w:val="single" w:sz="12" w:space="31" w:color="auto"/>
          <w:bottom w:val="single" w:sz="12" w:space="1" w:color="auto"/>
        </w:pBdr>
        <w:tabs>
          <w:tab w:val="left" w:pos="1980"/>
          <w:tab w:val="center" w:pos="4513"/>
        </w:tabs>
        <w:rPr>
          <w:rFonts w:eastAsia="Calibri" w:cs="Arial"/>
          <w:b/>
        </w:rPr>
      </w:pPr>
    </w:p>
    <w:p w14:paraId="5534AF81" w14:textId="77777777" w:rsidR="00485EB2" w:rsidRDefault="00485EB2" w:rsidP="00485EB2">
      <w:pPr>
        <w:pStyle w:val="WLGLevel1"/>
        <w:numPr>
          <w:ilvl w:val="0"/>
          <w:numId w:val="0"/>
        </w:numPr>
        <w:spacing w:before="0" w:after="0" w:line="360" w:lineRule="auto"/>
        <w:rPr>
          <w:b/>
          <w:bCs/>
          <w:u w:val="single"/>
        </w:rPr>
      </w:pPr>
    </w:p>
    <w:p w14:paraId="613DBEA1" w14:textId="77777777" w:rsidR="00485EB2" w:rsidRPr="009B307D" w:rsidRDefault="00485EB2" w:rsidP="00485EB2">
      <w:pPr>
        <w:pStyle w:val="WLGLevel1"/>
        <w:numPr>
          <w:ilvl w:val="0"/>
          <w:numId w:val="0"/>
        </w:numPr>
        <w:spacing w:before="0" w:after="0" w:line="360" w:lineRule="auto"/>
        <w:rPr>
          <w:b/>
          <w:bCs/>
        </w:rPr>
      </w:pPr>
      <w:r w:rsidRPr="009B307D">
        <w:rPr>
          <w:b/>
          <w:bCs/>
        </w:rPr>
        <w:t>YENDE AJ</w:t>
      </w:r>
    </w:p>
    <w:p w14:paraId="18C70D5E" w14:textId="77777777" w:rsidR="00485EB2" w:rsidRPr="009B307D" w:rsidRDefault="00485EB2" w:rsidP="00485EB2">
      <w:pPr>
        <w:pStyle w:val="WLGLevel1"/>
        <w:numPr>
          <w:ilvl w:val="0"/>
          <w:numId w:val="0"/>
        </w:numPr>
        <w:spacing w:before="0" w:after="0" w:line="360" w:lineRule="auto"/>
        <w:rPr>
          <w:b/>
          <w:bCs/>
        </w:rPr>
      </w:pPr>
    </w:p>
    <w:p w14:paraId="2DD68A80" w14:textId="318AE90F" w:rsidR="009B307D" w:rsidRDefault="002B75C0" w:rsidP="00485EB2">
      <w:pPr>
        <w:pStyle w:val="WLGLevel1"/>
        <w:numPr>
          <w:ilvl w:val="0"/>
          <w:numId w:val="0"/>
        </w:numPr>
        <w:spacing w:before="0" w:after="0" w:line="360" w:lineRule="auto"/>
        <w:rPr>
          <w:b/>
          <w:bCs/>
        </w:rPr>
      </w:pPr>
      <w:r>
        <w:rPr>
          <w:b/>
          <w:bCs/>
        </w:rPr>
        <w:t>Nature of the Proceedings</w:t>
      </w:r>
    </w:p>
    <w:p w14:paraId="275891B0" w14:textId="6A62171D" w:rsidR="00485EB2" w:rsidRDefault="00485EB2" w:rsidP="00485EB2">
      <w:pPr>
        <w:pStyle w:val="WLGLevel1"/>
        <w:numPr>
          <w:ilvl w:val="0"/>
          <w:numId w:val="0"/>
        </w:numPr>
        <w:spacing w:before="0" w:after="0" w:line="360" w:lineRule="auto"/>
        <w:rPr>
          <w:b/>
          <w:bCs/>
        </w:rPr>
      </w:pPr>
    </w:p>
    <w:p w14:paraId="69AE2E51" w14:textId="1BF0792E" w:rsidR="009B307D" w:rsidRDefault="009B307D" w:rsidP="002F741F">
      <w:pPr>
        <w:pStyle w:val="WLGLevel1"/>
        <w:numPr>
          <w:ilvl w:val="0"/>
          <w:numId w:val="0"/>
        </w:numPr>
        <w:spacing w:before="0" w:after="0" w:line="360" w:lineRule="auto"/>
        <w:ind w:left="567" w:hanging="567"/>
      </w:pPr>
      <w:r w:rsidRPr="009B307D">
        <w:t xml:space="preserve">[1] </w:t>
      </w:r>
      <w:r w:rsidR="006A411C">
        <w:t xml:space="preserve"> </w:t>
      </w:r>
      <w:r>
        <w:t xml:space="preserve"> This is a review application brought in terms of the Promotion of Administrative Justice</w:t>
      </w:r>
      <w:r w:rsidR="002F741F">
        <w:t xml:space="preserve"> </w:t>
      </w:r>
      <w:r>
        <w:t xml:space="preserve">Act 3 of 2000 </w:t>
      </w:r>
      <w:r w:rsidRPr="009B307D">
        <w:rPr>
          <w:i/>
          <w:iCs/>
        </w:rPr>
        <w:t>(“PAJA</w:t>
      </w:r>
      <w:r>
        <w:t>”) in terms whereof the applicant seeks the review of administrative</w:t>
      </w:r>
      <w:r w:rsidR="009B4621">
        <w:t xml:space="preserve"> </w:t>
      </w:r>
      <w:r>
        <w:t>actions by the first respondent and the substitution of these decisions in terms of the provisions of  section 8(1)(c)(ii) of PAJA.</w:t>
      </w:r>
      <w:r w:rsidR="00F401EF">
        <w:t xml:space="preserve"> </w:t>
      </w:r>
    </w:p>
    <w:p w14:paraId="7C27EE03" w14:textId="77777777" w:rsidR="009B4621" w:rsidRDefault="009B4621" w:rsidP="002F741F">
      <w:pPr>
        <w:pStyle w:val="WLGLevel1"/>
        <w:numPr>
          <w:ilvl w:val="0"/>
          <w:numId w:val="0"/>
        </w:numPr>
        <w:spacing w:before="0" w:after="0" w:line="360" w:lineRule="auto"/>
        <w:ind w:left="567" w:hanging="567"/>
      </w:pPr>
    </w:p>
    <w:p w14:paraId="5FC9FDE8" w14:textId="77CA0360" w:rsidR="00F401EF" w:rsidRDefault="00F401EF" w:rsidP="00485EB2">
      <w:pPr>
        <w:pStyle w:val="WLGLevel1"/>
        <w:numPr>
          <w:ilvl w:val="0"/>
          <w:numId w:val="0"/>
        </w:numPr>
        <w:spacing w:before="0" w:after="0" w:line="360" w:lineRule="auto"/>
      </w:pPr>
      <w:r>
        <w:t xml:space="preserve">[2]  </w:t>
      </w:r>
      <w:r w:rsidR="006A411C">
        <w:t xml:space="preserve"> </w:t>
      </w:r>
      <w:r>
        <w:t xml:space="preserve">The applicant </w:t>
      </w:r>
      <w:r w:rsidR="00D86678">
        <w:t xml:space="preserve">by way of the present review application, </w:t>
      </w:r>
      <w:r>
        <w:t>seeks the following relief:</w:t>
      </w:r>
    </w:p>
    <w:p w14:paraId="15E972F0" w14:textId="77777777" w:rsidR="002B75C0" w:rsidRDefault="002B75C0" w:rsidP="00485EB2">
      <w:pPr>
        <w:pStyle w:val="WLGLevel1"/>
        <w:numPr>
          <w:ilvl w:val="0"/>
          <w:numId w:val="0"/>
        </w:numPr>
        <w:spacing w:before="0" w:after="0" w:line="360" w:lineRule="auto"/>
      </w:pPr>
    </w:p>
    <w:p w14:paraId="2576DDDA" w14:textId="13A6AA11" w:rsidR="00F401EF" w:rsidRPr="002B75C0" w:rsidRDefault="00807094" w:rsidP="00807094">
      <w:pPr>
        <w:pStyle w:val="WLGLevel1"/>
        <w:numPr>
          <w:ilvl w:val="0"/>
          <w:numId w:val="0"/>
        </w:numPr>
        <w:spacing w:before="0" w:after="0" w:line="360" w:lineRule="auto"/>
        <w:ind w:left="567" w:hanging="567"/>
        <w:rPr>
          <w:i/>
          <w:iCs/>
        </w:rPr>
      </w:pPr>
      <w:r>
        <w:t xml:space="preserve"> </w:t>
      </w:r>
      <w:r w:rsidR="002B75C0">
        <w:t xml:space="preserve">  </w:t>
      </w:r>
      <w:r>
        <w:t xml:space="preserve"> </w:t>
      </w:r>
      <w:r w:rsidR="00D86678">
        <w:t>“</w:t>
      </w:r>
      <w:r w:rsidR="002B75C0">
        <w:t xml:space="preserve">1. </w:t>
      </w:r>
      <w:r w:rsidR="00F401EF">
        <w:t xml:space="preserve">An order reviewing and setting aside decision take by the respondents with regard to </w:t>
      </w:r>
      <w:r w:rsidR="00F401EF" w:rsidRPr="002B75C0">
        <w:rPr>
          <w:i/>
          <w:iCs/>
        </w:rPr>
        <w:t>tender number USD EE 15-201</w:t>
      </w:r>
      <w:r w:rsidR="00EC3598">
        <w:rPr>
          <w:i/>
          <w:iCs/>
        </w:rPr>
        <w:t>8</w:t>
      </w:r>
      <w:r w:rsidR="00F401EF" w:rsidRPr="002B75C0">
        <w:rPr>
          <w:i/>
          <w:iCs/>
        </w:rPr>
        <w:t>/</w:t>
      </w:r>
      <w:r w:rsidR="00EC3598">
        <w:rPr>
          <w:i/>
          <w:iCs/>
        </w:rPr>
        <w:t>19</w:t>
      </w:r>
      <w:r w:rsidR="00F401EF" w:rsidRPr="002B75C0">
        <w:rPr>
          <w:i/>
          <w:iCs/>
        </w:rPr>
        <w:t xml:space="preserve"> (“The First Tender”) and;</w:t>
      </w:r>
    </w:p>
    <w:p w14:paraId="515F059A" w14:textId="77777777" w:rsidR="002B75C0" w:rsidRPr="002B75C0" w:rsidRDefault="002B75C0" w:rsidP="00807094">
      <w:pPr>
        <w:pStyle w:val="WLGLevel1"/>
        <w:numPr>
          <w:ilvl w:val="0"/>
          <w:numId w:val="0"/>
        </w:numPr>
        <w:spacing w:before="0" w:after="0" w:line="360" w:lineRule="auto"/>
        <w:ind w:left="567" w:hanging="567"/>
        <w:rPr>
          <w:i/>
          <w:iCs/>
        </w:rPr>
      </w:pPr>
    </w:p>
    <w:p w14:paraId="50880557" w14:textId="67FF9507" w:rsidR="00F401EF" w:rsidRPr="002B75C0" w:rsidRDefault="00807094" w:rsidP="00807094">
      <w:pPr>
        <w:pStyle w:val="WLGLevel1"/>
        <w:numPr>
          <w:ilvl w:val="0"/>
          <w:numId w:val="0"/>
        </w:numPr>
        <w:spacing w:before="0" w:after="0" w:line="360" w:lineRule="auto"/>
        <w:ind w:left="567" w:hanging="567"/>
        <w:rPr>
          <w:i/>
          <w:iCs/>
        </w:rPr>
      </w:pPr>
      <w:r w:rsidRPr="002B75C0">
        <w:rPr>
          <w:i/>
          <w:iCs/>
        </w:rPr>
        <w:t xml:space="preserve"> </w:t>
      </w:r>
      <w:r w:rsidR="002B75C0" w:rsidRPr="002B75C0">
        <w:rPr>
          <w:i/>
          <w:iCs/>
        </w:rPr>
        <w:t xml:space="preserve">   </w:t>
      </w:r>
      <w:r w:rsidR="00014587">
        <w:rPr>
          <w:i/>
          <w:iCs/>
        </w:rPr>
        <w:t xml:space="preserve"> </w:t>
      </w:r>
      <w:r w:rsidR="00F401EF" w:rsidRPr="002B75C0">
        <w:rPr>
          <w:i/>
          <w:iCs/>
        </w:rPr>
        <w:t>2</w:t>
      </w:r>
      <w:r w:rsidR="002B75C0" w:rsidRPr="002B75C0">
        <w:rPr>
          <w:i/>
          <w:iCs/>
        </w:rPr>
        <w:t>.</w:t>
      </w:r>
      <w:r w:rsidR="00F401EF" w:rsidRPr="002B75C0">
        <w:rPr>
          <w:i/>
          <w:iCs/>
        </w:rPr>
        <w:t xml:space="preserve"> Tender number USD EE 06- 2019/20 &amp; USD EE 07-2019/20 (“The Second Tenders”)</w:t>
      </w:r>
      <w:r w:rsidRPr="002B75C0">
        <w:rPr>
          <w:i/>
          <w:iCs/>
        </w:rPr>
        <w:t>;</w:t>
      </w:r>
    </w:p>
    <w:p w14:paraId="10AF4255" w14:textId="77777777" w:rsidR="002B75C0" w:rsidRPr="002B75C0" w:rsidRDefault="002B75C0" w:rsidP="00807094">
      <w:pPr>
        <w:pStyle w:val="WLGLevel1"/>
        <w:numPr>
          <w:ilvl w:val="0"/>
          <w:numId w:val="0"/>
        </w:numPr>
        <w:spacing w:before="0" w:after="0" w:line="360" w:lineRule="auto"/>
        <w:ind w:left="567" w:hanging="567"/>
        <w:rPr>
          <w:i/>
          <w:iCs/>
        </w:rPr>
      </w:pPr>
    </w:p>
    <w:p w14:paraId="25E50377" w14:textId="2DF53D91" w:rsidR="00807094" w:rsidRPr="002B75C0" w:rsidRDefault="00807094" w:rsidP="00485EB2">
      <w:pPr>
        <w:pStyle w:val="WLGLevel1"/>
        <w:numPr>
          <w:ilvl w:val="0"/>
          <w:numId w:val="0"/>
        </w:numPr>
        <w:spacing w:before="0" w:after="0" w:line="360" w:lineRule="auto"/>
        <w:rPr>
          <w:i/>
          <w:iCs/>
        </w:rPr>
      </w:pPr>
      <w:r w:rsidRPr="002B75C0">
        <w:rPr>
          <w:i/>
          <w:iCs/>
        </w:rPr>
        <w:t xml:space="preserve"> </w:t>
      </w:r>
      <w:r w:rsidR="002B75C0" w:rsidRPr="002B75C0">
        <w:rPr>
          <w:i/>
          <w:iCs/>
        </w:rPr>
        <w:t xml:space="preserve"> </w:t>
      </w:r>
      <w:r w:rsidR="00014587">
        <w:rPr>
          <w:i/>
          <w:iCs/>
        </w:rPr>
        <w:t xml:space="preserve"> </w:t>
      </w:r>
      <w:r w:rsidRPr="002B75C0">
        <w:rPr>
          <w:i/>
          <w:iCs/>
        </w:rPr>
        <w:t>3</w:t>
      </w:r>
      <w:r w:rsidR="002B75C0" w:rsidRPr="002B75C0">
        <w:rPr>
          <w:i/>
          <w:iCs/>
        </w:rPr>
        <w:t>.</w:t>
      </w:r>
      <w:r w:rsidRPr="002B75C0">
        <w:rPr>
          <w:i/>
          <w:iCs/>
        </w:rPr>
        <w:t xml:space="preserve"> An order approving the applicant as a valid tenderer;</w:t>
      </w:r>
    </w:p>
    <w:p w14:paraId="7912CB46" w14:textId="77777777" w:rsidR="002B75C0" w:rsidRPr="002B75C0" w:rsidRDefault="002B75C0" w:rsidP="00485EB2">
      <w:pPr>
        <w:pStyle w:val="WLGLevel1"/>
        <w:numPr>
          <w:ilvl w:val="0"/>
          <w:numId w:val="0"/>
        </w:numPr>
        <w:spacing w:before="0" w:after="0" w:line="360" w:lineRule="auto"/>
        <w:rPr>
          <w:i/>
          <w:iCs/>
        </w:rPr>
      </w:pPr>
    </w:p>
    <w:p w14:paraId="406C1B2F" w14:textId="2EA60E1E" w:rsidR="00807094" w:rsidRPr="002B75C0" w:rsidRDefault="00807094" w:rsidP="00485EB2">
      <w:pPr>
        <w:pStyle w:val="WLGLevel1"/>
        <w:numPr>
          <w:ilvl w:val="0"/>
          <w:numId w:val="0"/>
        </w:numPr>
        <w:spacing w:before="0" w:after="0" w:line="360" w:lineRule="auto"/>
        <w:rPr>
          <w:i/>
          <w:iCs/>
        </w:rPr>
      </w:pPr>
      <w:r w:rsidRPr="002B75C0">
        <w:rPr>
          <w:i/>
          <w:iCs/>
        </w:rPr>
        <w:t xml:space="preserve"> </w:t>
      </w:r>
      <w:r w:rsidR="002B75C0" w:rsidRPr="002B75C0">
        <w:rPr>
          <w:i/>
          <w:iCs/>
        </w:rPr>
        <w:t xml:space="preserve">  </w:t>
      </w:r>
      <w:r w:rsidRPr="002B75C0">
        <w:rPr>
          <w:i/>
          <w:iCs/>
        </w:rPr>
        <w:t>4</w:t>
      </w:r>
      <w:r w:rsidR="002B75C0" w:rsidRPr="002B75C0">
        <w:rPr>
          <w:i/>
          <w:iCs/>
        </w:rPr>
        <w:t>.</w:t>
      </w:r>
      <w:r w:rsidRPr="002B75C0">
        <w:rPr>
          <w:i/>
          <w:iCs/>
        </w:rPr>
        <w:t>Ordering the applicant as the successful bidder for the First Tender;</w:t>
      </w:r>
    </w:p>
    <w:p w14:paraId="5340AB95" w14:textId="77777777" w:rsidR="002B75C0" w:rsidRPr="002B75C0" w:rsidRDefault="002B75C0" w:rsidP="00485EB2">
      <w:pPr>
        <w:pStyle w:val="WLGLevel1"/>
        <w:numPr>
          <w:ilvl w:val="0"/>
          <w:numId w:val="0"/>
        </w:numPr>
        <w:spacing w:before="0" w:after="0" w:line="360" w:lineRule="auto"/>
        <w:rPr>
          <w:i/>
          <w:iCs/>
        </w:rPr>
      </w:pPr>
    </w:p>
    <w:p w14:paraId="66E6F867" w14:textId="33786CDE" w:rsidR="00807094" w:rsidRPr="002B75C0" w:rsidRDefault="00807094" w:rsidP="00485EB2">
      <w:pPr>
        <w:pStyle w:val="WLGLevel1"/>
        <w:numPr>
          <w:ilvl w:val="0"/>
          <w:numId w:val="0"/>
        </w:numPr>
        <w:spacing w:before="0" w:after="0" w:line="360" w:lineRule="auto"/>
        <w:rPr>
          <w:i/>
          <w:iCs/>
        </w:rPr>
      </w:pPr>
      <w:r w:rsidRPr="002B75C0">
        <w:rPr>
          <w:i/>
          <w:iCs/>
        </w:rPr>
        <w:t xml:space="preserve"> </w:t>
      </w:r>
      <w:r w:rsidR="002B75C0" w:rsidRPr="002B75C0">
        <w:rPr>
          <w:i/>
          <w:iCs/>
        </w:rPr>
        <w:t xml:space="preserve">  </w:t>
      </w:r>
      <w:r w:rsidRPr="002B75C0">
        <w:rPr>
          <w:i/>
          <w:iCs/>
        </w:rPr>
        <w:t>5</w:t>
      </w:r>
      <w:r w:rsidR="002B75C0" w:rsidRPr="002B75C0">
        <w:rPr>
          <w:i/>
          <w:iCs/>
        </w:rPr>
        <w:t>.</w:t>
      </w:r>
      <w:r w:rsidRPr="002B75C0">
        <w:rPr>
          <w:i/>
          <w:iCs/>
        </w:rPr>
        <w:t xml:space="preserve"> Ordering the applicant as a successful bidder for the Second Tenders; alternatively;</w:t>
      </w:r>
    </w:p>
    <w:p w14:paraId="608179B4" w14:textId="77777777" w:rsidR="002B75C0" w:rsidRPr="002B75C0" w:rsidRDefault="002B75C0" w:rsidP="00485EB2">
      <w:pPr>
        <w:pStyle w:val="WLGLevel1"/>
        <w:numPr>
          <w:ilvl w:val="0"/>
          <w:numId w:val="0"/>
        </w:numPr>
        <w:spacing w:before="0" w:after="0" w:line="360" w:lineRule="auto"/>
        <w:rPr>
          <w:i/>
          <w:iCs/>
        </w:rPr>
      </w:pPr>
    </w:p>
    <w:p w14:paraId="0D446986" w14:textId="1E600AC6" w:rsidR="00807094" w:rsidRDefault="00807094" w:rsidP="00807094">
      <w:pPr>
        <w:pStyle w:val="WLGLevel1"/>
        <w:numPr>
          <w:ilvl w:val="0"/>
          <w:numId w:val="0"/>
        </w:numPr>
        <w:spacing w:before="0" w:after="0" w:line="360" w:lineRule="auto"/>
        <w:ind w:left="567" w:hanging="567"/>
        <w:rPr>
          <w:i/>
          <w:iCs/>
        </w:rPr>
      </w:pPr>
      <w:r w:rsidRPr="002B75C0">
        <w:rPr>
          <w:i/>
          <w:iCs/>
        </w:rPr>
        <w:lastRenderedPageBreak/>
        <w:t xml:space="preserve"> </w:t>
      </w:r>
      <w:r w:rsidR="002B75C0" w:rsidRPr="002B75C0">
        <w:rPr>
          <w:i/>
          <w:iCs/>
        </w:rPr>
        <w:t xml:space="preserve">   </w:t>
      </w:r>
      <w:r w:rsidRPr="002B75C0">
        <w:rPr>
          <w:i/>
          <w:iCs/>
        </w:rPr>
        <w:t>6</w:t>
      </w:r>
      <w:r w:rsidR="002B75C0" w:rsidRPr="002B75C0">
        <w:rPr>
          <w:i/>
          <w:iCs/>
        </w:rPr>
        <w:t>.</w:t>
      </w:r>
      <w:r w:rsidRPr="002B75C0">
        <w:rPr>
          <w:i/>
          <w:iCs/>
        </w:rPr>
        <w:t xml:space="preserve"> An order that the First and Second Tenders should have been allocated to the applicant as successful bidder when the tenders were allocated;</w:t>
      </w:r>
      <w:r w:rsidR="002B75C0" w:rsidRPr="002B75C0">
        <w:rPr>
          <w:i/>
          <w:iCs/>
        </w:rPr>
        <w:t>”</w:t>
      </w:r>
    </w:p>
    <w:p w14:paraId="3D5E3839" w14:textId="77777777" w:rsidR="00014587" w:rsidRPr="002B75C0" w:rsidRDefault="00014587" w:rsidP="00807094">
      <w:pPr>
        <w:pStyle w:val="WLGLevel1"/>
        <w:numPr>
          <w:ilvl w:val="0"/>
          <w:numId w:val="0"/>
        </w:numPr>
        <w:spacing w:before="0" w:after="0" w:line="360" w:lineRule="auto"/>
        <w:ind w:left="567" w:hanging="567"/>
        <w:rPr>
          <w:i/>
          <w:iCs/>
        </w:rPr>
      </w:pPr>
    </w:p>
    <w:p w14:paraId="1EA86B5F" w14:textId="21132D9F" w:rsidR="00807094" w:rsidRDefault="00807094" w:rsidP="00485EB2">
      <w:pPr>
        <w:pStyle w:val="WLGLevel1"/>
        <w:numPr>
          <w:ilvl w:val="0"/>
          <w:numId w:val="0"/>
        </w:numPr>
        <w:spacing w:before="0" w:after="0" w:line="360" w:lineRule="auto"/>
      </w:pPr>
      <w:r>
        <w:t xml:space="preserve"> [3] </w:t>
      </w:r>
      <w:r w:rsidR="002F741F">
        <w:t xml:space="preserve"> </w:t>
      </w:r>
      <w:r w:rsidR="006A411C">
        <w:t xml:space="preserve"> </w:t>
      </w:r>
      <w:r>
        <w:t>The respondents have</w:t>
      </w:r>
      <w:r w:rsidR="002B75C0">
        <w:t xml:space="preserve"> raised</w:t>
      </w:r>
      <w:r>
        <w:t xml:space="preserve"> points in</w:t>
      </w:r>
      <w:r w:rsidRPr="00807094">
        <w:rPr>
          <w:i/>
          <w:iCs/>
        </w:rPr>
        <w:t xml:space="preserve"> limine</w:t>
      </w:r>
      <w:r>
        <w:t xml:space="preserve"> pertaining to:</w:t>
      </w:r>
    </w:p>
    <w:p w14:paraId="54D3B5C8" w14:textId="77777777" w:rsidR="002B75C0" w:rsidRDefault="002B75C0" w:rsidP="00485EB2">
      <w:pPr>
        <w:pStyle w:val="WLGLevel1"/>
        <w:numPr>
          <w:ilvl w:val="0"/>
          <w:numId w:val="0"/>
        </w:numPr>
        <w:spacing w:before="0" w:after="0" w:line="360" w:lineRule="auto"/>
      </w:pPr>
    </w:p>
    <w:p w14:paraId="2141760E" w14:textId="515A6C47" w:rsidR="00807094" w:rsidRDefault="00807094" w:rsidP="00485EB2">
      <w:pPr>
        <w:pStyle w:val="WLGLevel1"/>
        <w:numPr>
          <w:ilvl w:val="0"/>
          <w:numId w:val="0"/>
        </w:numPr>
        <w:spacing w:before="0" w:after="0" w:line="360" w:lineRule="auto"/>
        <w:rPr>
          <w:i/>
          <w:iCs/>
        </w:rPr>
      </w:pPr>
      <w:r>
        <w:t xml:space="preserve"> </w:t>
      </w:r>
      <w:r w:rsidR="002B75C0">
        <w:t xml:space="preserve">    “</w:t>
      </w:r>
      <w:r>
        <w:t>1</w:t>
      </w:r>
      <w:r w:rsidR="002B75C0">
        <w:t xml:space="preserve">. </w:t>
      </w:r>
      <w:r w:rsidRPr="002B75C0">
        <w:rPr>
          <w:i/>
          <w:iCs/>
        </w:rPr>
        <w:t>the applicant</w:t>
      </w:r>
      <w:r w:rsidR="00014587">
        <w:rPr>
          <w:i/>
          <w:iCs/>
        </w:rPr>
        <w:t>’</w:t>
      </w:r>
      <w:r w:rsidRPr="002B75C0">
        <w:rPr>
          <w:i/>
          <w:iCs/>
        </w:rPr>
        <w:t>s locus standi in respect of US EE 15-20</w:t>
      </w:r>
      <w:r w:rsidR="00C33A06">
        <w:rPr>
          <w:i/>
          <w:iCs/>
        </w:rPr>
        <w:t>1</w:t>
      </w:r>
      <w:r w:rsidR="00EC3598">
        <w:rPr>
          <w:i/>
          <w:iCs/>
        </w:rPr>
        <w:t>8</w:t>
      </w:r>
      <w:r w:rsidRPr="002B75C0">
        <w:rPr>
          <w:i/>
          <w:iCs/>
        </w:rPr>
        <w:t>/</w:t>
      </w:r>
      <w:r w:rsidR="00EC3598">
        <w:rPr>
          <w:i/>
          <w:iCs/>
        </w:rPr>
        <w:t>19</w:t>
      </w:r>
      <w:r w:rsidRPr="002B75C0">
        <w:rPr>
          <w:i/>
          <w:iCs/>
        </w:rPr>
        <w:t>;</w:t>
      </w:r>
    </w:p>
    <w:p w14:paraId="45B46C52" w14:textId="77777777" w:rsidR="002B75C0" w:rsidRPr="002B75C0" w:rsidRDefault="002B75C0" w:rsidP="00485EB2">
      <w:pPr>
        <w:pStyle w:val="WLGLevel1"/>
        <w:numPr>
          <w:ilvl w:val="0"/>
          <w:numId w:val="0"/>
        </w:numPr>
        <w:spacing w:before="0" w:after="0" w:line="360" w:lineRule="auto"/>
        <w:rPr>
          <w:i/>
          <w:iCs/>
        </w:rPr>
      </w:pPr>
    </w:p>
    <w:p w14:paraId="69C2BF6A" w14:textId="195CB93D" w:rsidR="00807094" w:rsidRDefault="00807094" w:rsidP="00485EB2">
      <w:pPr>
        <w:pStyle w:val="WLGLevel1"/>
        <w:numPr>
          <w:ilvl w:val="0"/>
          <w:numId w:val="0"/>
        </w:numPr>
        <w:spacing w:before="0" w:after="0" w:line="360" w:lineRule="auto"/>
        <w:rPr>
          <w:i/>
          <w:iCs/>
        </w:rPr>
      </w:pPr>
      <w:r w:rsidRPr="002B75C0">
        <w:rPr>
          <w:i/>
          <w:iCs/>
        </w:rPr>
        <w:t xml:space="preserve"> </w:t>
      </w:r>
      <w:r w:rsidR="002B75C0" w:rsidRPr="002B75C0">
        <w:rPr>
          <w:i/>
          <w:iCs/>
        </w:rPr>
        <w:t xml:space="preserve">     </w:t>
      </w:r>
      <w:r w:rsidRPr="002B75C0">
        <w:rPr>
          <w:i/>
          <w:iCs/>
        </w:rPr>
        <w:t>2</w:t>
      </w:r>
      <w:r w:rsidR="002B75C0" w:rsidRPr="002B75C0">
        <w:rPr>
          <w:i/>
          <w:iCs/>
        </w:rPr>
        <w:t>.</w:t>
      </w:r>
      <w:r w:rsidRPr="002B75C0">
        <w:rPr>
          <w:i/>
          <w:iCs/>
        </w:rPr>
        <w:t xml:space="preserve"> the failure to exhaust internal remedies;</w:t>
      </w:r>
    </w:p>
    <w:p w14:paraId="2E457309" w14:textId="77777777" w:rsidR="002B75C0" w:rsidRPr="002B75C0" w:rsidRDefault="002B75C0" w:rsidP="00485EB2">
      <w:pPr>
        <w:pStyle w:val="WLGLevel1"/>
        <w:numPr>
          <w:ilvl w:val="0"/>
          <w:numId w:val="0"/>
        </w:numPr>
        <w:spacing w:before="0" w:after="0" w:line="360" w:lineRule="auto"/>
        <w:rPr>
          <w:i/>
          <w:iCs/>
        </w:rPr>
      </w:pPr>
    </w:p>
    <w:p w14:paraId="3C6048EB" w14:textId="098AAE24" w:rsidR="00807094" w:rsidRPr="002B75C0" w:rsidRDefault="00807094" w:rsidP="00485EB2">
      <w:pPr>
        <w:pStyle w:val="WLGLevel1"/>
        <w:numPr>
          <w:ilvl w:val="0"/>
          <w:numId w:val="0"/>
        </w:numPr>
        <w:spacing w:before="0" w:after="0" w:line="360" w:lineRule="auto"/>
        <w:rPr>
          <w:i/>
          <w:iCs/>
        </w:rPr>
      </w:pPr>
      <w:r w:rsidRPr="002B75C0">
        <w:rPr>
          <w:i/>
          <w:iCs/>
        </w:rPr>
        <w:t xml:space="preserve"> </w:t>
      </w:r>
      <w:r w:rsidR="002B75C0" w:rsidRPr="002B75C0">
        <w:rPr>
          <w:i/>
          <w:iCs/>
        </w:rPr>
        <w:t xml:space="preserve">     </w:t>
      </w:r>
      <w:r w:rsidRPr="002B75C0">
        <w:rPr>
          <w:i/>
          <w:iCs/>
        </w:rPr>
        <w:t>3</w:t>
      </w:r>
      <w:r w:rsidR="002B75C0" w:rsidRPr="002B75C0">
        <w:rPr>
          <w:i/>
          <w:iCs/>
        </w:rPr>
        <w:t>.</w:t>
      </w:r>
      <w:r w:rsidRPr="002B75C0">
        <w:rPr>
          <w:i/>
          <w:iCs/>
        </w:rPr>
        <w:t xml:space="preserve"> the delay in launching this application</w:t>
      </w:r>
      <w:r w:rsidR="002B75C0" w:rsidRPr="002B75C0">
        <w:rPr>
          <w:i/>
          <w:iCs/>
        </w:rPr>
        <w:t>”</w:t>
      </w:r>
      <w:r w:rsidRPr="002B75C0">
        <w:rPr>
          <w:i/>
          <w:iCs/>
        </w:rPr>
        <w:t>.</w:t>
      </w:r>
    </w:p>
    <w:p w14:paraId="1AEAF0C0" w14:textId="77777777" w:rsidR="009B307D" w:rsidRPr="002B75C0" w:rsidRDefault="009B307D" w:rsidP="00485EB2">
      <w:pPr>
        <w:pStyle w:val="WLGLevel1"/>
        <w:numPr>
          <w:ilvl w:val="0"/>
          <w:numId w:val="0"/>
        </w:numPr>
        <w:spacing w:before="0" w:after="0" w:line="360" w:lineRule="auto"/>
        <w:rPr>
          <w:i/>
          <w:iCs/>
        </w:rPr>
      </w:pPr>
    </w:p>
    <w:p w14:paraId="237C217B" w14:textId="7C30E115" w:rsidR="009B307D" w:rsidRDefault="009B307D" w:rsidP="00485EB2">
      <w:pPr>
        <w:pStyle w:val="WLGLevel1"/>
        <w:numPr>
          <w:ilvl w:val="0"/>
          <w:numId w:val="0"/>
        </w:numPr>
        <w:spacing w:before="0" w:after="0" w:line="360" w:lineRule="auto"/>
        <w:rPr>
          <w:b/>
          <w:bCs/>
          <w:u w:val="single"/>
        </w:rPr>
      </w:pPr>
    </w:p>
    <w:p w14:paraId="0BD9CBCE" w14:textId="45F9F405" w:rsidR="00485EB2" w:rsidRPr="00D86678" w:rsidRDefault="002B75C0" w:rsidP="00D86678">
      <w:pPr>
        <w:pStyle w:val="WLGLevel1"/>
        <w:numPr>
          <w:ilvl w:val="0"/>
          <w:numId w:val="0"/>
        </w:numPr>
        <w:spacing w:before="0" w:after="0" w:line="360" w:lineRule="auto"/>
      </w:pPr>
      <w:r>
        <w:t xml:space="preserve">[4] </w:t>
      </w:r>
      <w:r w:rsidR="002F741F">
        <w:t xml:space="preserve"> </w:t>
      </w:r>
      <w:r w:rsidR="006A411C">
        <w:t xml:space="preserve"> </w:t>
      </w:r>
      <w:r w:rsidR="00D86678" w:rsidRPr="00D86678">
        <w:t>Issues requiring determination</w:t>
      </w:r>
    </w:p>
    <w:p w14:paraId="15D5147E" w14:textId="77777777" w:rsidR="00D86678" w:rsidRPr="00D86678" w:rsidRDefault="00D86678" w:rsidP="00D86678">
      <w:pPr>
        <w:pStyle w:val="WLGLevel1"/>
        <w:numPr>
          <w:ilvl w:val="0"/>
          <w:numId w:val="0"/>
        </w:numPr>
        <w:spacing w:before="0" w:after="0" w:line="360" w:lineRule="auto"/>
      </w:pPr>
    </w:p>
    <w:p w14:paraId="052E8464" w14:textId="2B06BA54" w:rsidR="00D86678" w:rsidRDefault="002B75C0" w:rsidP="00D86678">
      <w:pPr>
        <w:pStyle w:val="WLGLevel1"/>
        <w:numPr>
          <w:ilvl w:val="0"/>
          <w:numId w:val="0"/>
        </w:numPr>
        <w:spacing w:before="0" w:after="0" w:line="360" w:lineRule="auto"/>
        <w:ind w:left="567" w:hanging="567"/>
      </w:pPr>
      <w:r>
        <w:t xml:space="preserve">    “1.</w:t>
      </w:r>
      <w:r w:rsidR="00D86678" w:rsidRPr="00D86678">
        <w:t xml:space="preserve">  Whether the applicant has made out a case for reviewing and setting aside of the decision of the respondents on the First and Second Tenders.</w:t>
      </w:r>
    </w:p>
    <w:p w14:paraId="0A5419D5" w14:textId="77777777" w:rsidR="002B75C0" w:rsidRPr="00D86678" w:rsidRDefault="002B75C0" w:rsidP="00D86678">
      <w:pPr>
        <w:pStyle w:val="WLGLevel1"/>
        <w:numPr>
          <w:ilvl w:val="0"/>
          <w:numId w:val="0"/>
        </w:numPr>
        <w:spacing w:before="0" w:after="0" w:line="360" w:lineRule="auto"/>
        <w:ind w:left="567" w:hanging="567"/>
      </w:pPr>
    </w:p>
    <w:p w14:paraId="602DDDC4" w14:textId="414F1220" w:rsidR="00D86678" w:rsidRDefault="00D86678" w:rsidP="00D86678">
      <w:pPr>
        <w:pStyle w:val="WLGLevel1"/>
        <w:numPr>
          <w:ilvl w:val="0"/>
          <w:numId w:val="0"/>
        </w:numPr>
        <w:spacing w:before="0" w:after="0" w:line="360" w:lineRule="auto"/>
        <w:rPr>
          <w:i/>
          <w:iCs/>
        </w:rPr>
      </w:pPr>
      <w:r>
        <w:t xml:space="preserve"> </w:t>
      </w:r>
      <w:r w:rsidR="002B75C0">
        <w:t xml:space="preserve">   2.</w:t>
      </w:r>
      <w:r w:rsidRPr="00D86678">
        <w:t xml:space="preserve"> </w:t>
      </w:r>
      <w:r w:rsidRPr="002B75C0">
        <w:rPr>
          <w:i/>
          <w:iCs/>
        </w:rPr>
        <w:t>Whether the applicant is entitled to the relief sought</w:t>
      </w:r>
      <w:r w:rsidR="002B75C0">
        <w:rPr>
          <w:i/>
          <w:iCs/>
        </w:rPr>
        <w:t>.</w:t>
      </w:r>
    </w:p>
    <w:p w14:paraId="78B4B56C" w14:textId="77777777" w:rsidR="002B75C0" w:rsidRPr="002B75C0" w:rsidRDefault="002B75C0" w:rsidP="00D86678">
      <w:pPr>
        <w:pStyle w:val="WLGLevel1"/>
        <w:numPr>
          <w:ilvl w:val="0"/>
          <w:numId w:val="0"/>
        </w:numPr>
        <w:spacing w:before="0" w:after="0" w:line="360" w:lineRule="auto"/>
        <w:rPr>
          <w:i/>
          <w:iCs/>
        </w:rPr>
      </w:pPr>
    </w:p>
    <w:p w14:paraId="1707EEAF" w14:textId="5D7EF9C0" w:rsidR="00D86678" w:rsidRPr="00EF57F5" w:rsidRDefault="00D86678" w:rsidP="00D86678">
      <w:pPr>
        <w:pStyle w:val="WLGLevel1"/>
        <w:numPr>
          <w:ilvl w:val="0"/>
          <w:numId w:val="0"/>
        </w:numPr>
        <w:spacing w:before="0" w:after="0" w:line="360" w:lineRule="auto"/>
        <w:ind w:left="567" w:hanging="567"/>
      </w:pPr>
      <w:r w:rsidRPr="00EF57F5">
        <w:t xml:space="preserve">  </w:t>
      </w:r>
      <w:r w:rsidR="002B75C0" w:rsidRPr="00EF57F5">
        <w:t xml:space="preserve">  3.</w:t>
      </w:r>
      <w:r w:rsidRPr="00EF57F5">
        <w:t xml:space="preserve"> Whether the respondents set out a case for dismissal of the applicant</w:t>
      </w:r>
      <w:r w:rsidR="00014587" w:rsidRPr="00EF57F5">
        <w:t>’</w:t>
      </w:r>
      <w:r w:rsidRPr="00EF57F5">
        <w:t>s review application with regard to the First or Second tenders or both</w:t>
      </w:r>
      <w:r w:rsidR="002B75C0" w:rsidRPr="00EF57F5">
        <w:t>”</w:t>
      </w:r>
      <w:r w:rsidRPr="00EF57F5">
        <w:t>.</w:t>
      </w:r>
    </w:p>
    <w:p w14:paraId="4A0BFD64" w14:textId="77777777" w:rsidR="00064E69" w:rsidRDefault="00064E69" w:rsidP="00D86678">
      <w:pPr>
        <w:pStyle w:val="WLGLevel1"/>
        <w:numPr>
          <w:ilvl w:val="0"/>
          <w:numId w:val="0"/>
        </w:numPr>
        <w:spacing w:before="0" w:after="0" w:line="360" w:lineRule="auto"/>
        <w:ind w:left="567" w:hanging="567"/>
        <w:rPr>
          <w:i/>
          <w:iCs/>
        </w:rPr>
      </w:pPr>
    </w:p>
    <w:p w14:paraId="59400299" w14:textId="44BDF201" w:rsidR="00064E69" w:rsidRDefault="00064E69" w:rsidP="00D86678">
      <w:pPr>
        <w:pStyle w:val="WLGLevel1"/>
        <w:numPr>
          <w:ilvl w:val="0"/>
          <w:numId w:val="0"/>
        </w:numPr>
        <w:spacing w:before="0" w:after="0" w:line="360" w:lineRule="auto"/>
        <w:ind w:left="567" w:hanging="567"/>
      </w:pPr>
      <w:r w:rsidRPr="00064E69">
        <w:t>[5]</w:t>
      </w:r>
      <w:r w:rsidR="002F741F">
        <w:t xml:space="preserve"> </w:t>
      </w:r>
      <w:r w:rsidR="006A411C">
        <w:t xml:space="preserve"> </w:t>
      </w:r>
      <w:r>
        <w:t xml:space="preserve"> In opposing this application, the respondents </w:t>
      </w:r>
      <w:r w:rsidR="00F669D1">
        <w:t xml:space="preserve">raises points </w:t>
      </w:r>
      <w:r w:rsidR="00F669D1" w:rsidRPr="00F669D1">
        <w:rPr>
          <w:i/>
          <w:iCs/>
        </w:rPr>
        <w:t>in limine</w:t>
      </w:r>
      <w:r w:rsidR="00F669D1">
        <w:t xml:space="preserve"> and </w:t>
      </w:r>
      <w:r>
        <w:t>contends that the application should be dismissed on o</w:t>
      </w:r>
      <w:r w:rsidR="00575914">
        <w:t>n</w:t>
      </w:r>
      <w:r>
        <w:t>e, more or all of the three points raised on the following basis;</w:t>
      </w:r>
    </w:p>
    <w:p w14:paraId="30364859" w14:textId="77777777" w:rsidR="009159B2" w:rsidRDefault="009159B2" w:rsidP="00D86678">
      <w:pPr>
        <w:pStyle w:val="WLGLevel1"/>
        <w:numPr>
          <w:ilvl w:val="0"/>
          <w:numId w:val="0"/>
        </w:numPr>
        <w:spacing w:before="0" w:after="0" w:line="360" w:lineRule="auto"/>
        <w:ind w:left="567" w:hanging="567"/>
      </w:pPr>
    </w:p>
    <w:p w14:paraId="781A6F46" w14:textId="2B6FFD6A" w:rsidR="00064E69" w:rsidRDefault="00064E69" w:rsidP="00D86678">
      <w:pPr>
        <w:pStyle w:val="WLGLevel1"/>
        <w:numPr>
          <w:ilvl w:val="0"/>
          <w:numId w:val="0"/>
        </w:numPr>
        <w:spacing w:before="0" w:after="0" w:line="360" w:lineRule="auto"/>
        <w:ind w:left="567" w:hanging="567"/>
      </w:pPr>
      <w:r>
        <w:t xml:space="preserve">     “1. The applicant has no locus standi to apply for the relief sought insofar as it relates to the joint venture;</w:t>
      </w:r>
    </w:p>
    <w:p w14:paraId="77BD785C" w14:textId="77777777" w:rsidR="009159B2" w:rsidRDefault="009159B2" w:rsidP="00D86678">
      <w:pPr>
        <w:pStyle w:val="WLGLevel1"/>
        <w:numPr>
          <w:ilvl w:val="0"/>
          <w:numId w:val="0"/>
        </w:numPr>
        <w:spacing w:before="0" w:after="0" w:line="360" w:lineRule="auto"/>
        <w:ind w:left="567" w:hanging="567"/>
      </w:pPr>
    </w:p>
    <w:p w14:paraId="42E7277D" w14:textId="53BB6593" w:rsidR="00064E69" w:rsidRDefault="00064E69" w:rsidP="00D86678">
      <w:pPr>
        <w:pStyle w:val="WLGLevel1"/>
        <w:numPr>
          <w:ilvl w:val="0"/>
          <w:numId w:val="0"/>
        </w:numPr>
        <w:spacing w:before="0" w:after="0" w:line="360" w:lineRule="auto"/>
        <w:ind w:left="567" w:hanging="567"/>
      </w:pPr>
      <w:r>
        <w:t xml:space="preserve">      2. The applicant has not exhausted all internal remedies before approaching the court, as required in terms of section 7(2)(a) of PAJA and</w:t>
      </w:r>
      <w:r w:rsidR="009159B2">
        <w:t xml:space="preserve">, in the absence of an application </w:t>
      </w:r>
      <w:r w:rsidR="009159B2">
        <w:lastRenderedPageBreak/>
        <w:t>for exemption from this requirement, the court is precluded from hearing the review; and</w:t>
      </w:r>
    </w:p>
    <w:p w14:paraId="57C6CED7" w14:textId="77777777" w:rsidR="009159B2" w:rsidRDefault="009159B2" w:rsidP="00D86678">
      <w:pPr>
        <w:pStyle w:val="WLGLevel1"/>
        <w:numPr>
          <w:ilvl w:val="0"/>
          <w:numId w:val="0"/>
        </w:numPr>
        <w:spacing w:before="0" w:after="0" w:line="360" w:lineRule="auto"/>
        <w:ind w:left="567" w:hanging="567"/>
      </w:pPr>
    </w:p>
    <w:p w14:paraId="08955439" w14:textId="666C2DD8" w:rsidR="009159B2" w:rsidRDefault="009159B2" w:rsidP="00D86678">
      <w:pPr>
        <w:pStyle w:val="WLGLevel1"/>
        <w:numPr>
          <w:ilvl w:val="0"/>
          <w:numId w:val="0"/>
        </w:numPr>
        <w:spacing w:before="0" w:after="0" w:line="360" w:lineRule="auto"/>
        <w:ind w:left="567" w:hanging="567"/>
      </w:pPr>
      <w:r>
        <w:t xml:space="preserve">     3 There has been an unreasonable delay on the part of the applicant in launching the review application and, in the absence of application for the extension of the prescribed time-period, as contemplated in section</w:t>
      </w:r>
      <w:r w:rsidR="00014587">
        <w:t xml:space="preserve"> </w:t>
      </w:r>
      <w:r>
        <w:t>9(1) of PAJA, the court has no power to entertain the review”.</w:t>
      </w:r>
    </w:p>
    <w:p w14:paraId="060FEE06" w14:textId="77777777" w:rsidR="00F669D1" w:rsidRDefault="00F669D1" w:rsidP="00D86678">
      <w:pPr>
        <w:pStyle w:val="WLGLevel1"/>
        <w:numPr>
          <w:ilvl w:val="0"/>
          <w:numId w:val="0"/>
        </w:numPr>
        <w:spacing w:before="0" w:after="0" w:line="360" w:lineRule="auto"/>
        <w:ind w:left="567" w:hanging="567"/>
      </w:pPr>
    </w:p>
    <w:p w14:paraId="0B82867C" w14:textId="6EC7CA52" w:rsidR="009159B2" w:rsidRDefault="009159B2" w:rsidP="00D86678">
      <w:pPr>
        <w:pStyle w:val="WLGLevel1"/>
        <w:numPr>
          <w:ilvl w:val="0"/>
          <w:numId w:val="0"/>
        </w:numPr>
        <w:spacing w:before="0" w:after="0" w:line="360" w:lineRule="auto"/>
        <w:ind w:left="567" w:hanging="567"/>
      </w:pPr>
      <w:r>
        <w:t xml:space="preserve">[6] </w:t>
      </w:r>
      <w:r w:rsidR="002F741F">
        <w:t xml:space="preserve">  </w:t>
      </w:r>
      <w:r>
        <w:t>The respondents contends further that the applicant has fallen far short of making out a case for review of the decisions on any of the grounds upon which it relies and has made out no case for the substitution of these decisions, as contemplated in section 8(1)(c)(ii) of PAJA and that the application stands to be dismissed with costs.</w:t>
      </w:r>
    </w:p>
    <w:p w14:paraId="6B5D6E76" w14:textId="77777777" w:rsidR="00575914" w:rsidRDefault="00575914" w:rsidP="00D86678">
      <w:pPr>
        <w:pStyle w:val="WLGLevel1"/>
        <w:numPr>
          <w:ilvl w:val="0"/>
          <w:numId w:val="0"/>
        </w:numPr>
        <w:spacing w:before="0" w:after="0" w:line="360" w:lineRule="auto"/>
        <w:ind w:left="567" w:hanging="567"/>
      </w:pPr>
    </w:p>
    <w:p w14:paraId="75D66DDA" w14:textId="54C09DA0" w:rsidR="00575914" w:rsidRDefault="00575914" w:rsidP="00D86678">
      <w:pPr>
        <w:pStyle w:val="WLGLevel1"/>
        <w:numPr>
          <w:ilvl w:val="0"/>
          <w:numId w:val="0"/>
        </w:numPr>
        <w:spacing w:before="0" w:after="0" w:line="360" w:lineRule="auto"/>
        <w:ind w:left="567" w:hanging="567"/>
      </w:pPr>
      <w:r>
        <w:t xml:space="preserve">[7] </w:t>
      </w:r>
      <w:r w:rsidR="002F741F">
        <w:t xml:space="preserve">  </w:t>
      </w:r>
      <w:r>
        <w:t xml:space="preserve">At the commencement of the hearing of this application it was contended by the respondent’s counsel  and agreed to by the applicant’s counsel that the points </w:t>
      </w:r>
      <w:r w:rsidRPr="00014587">
        <w:rPr>
          <w:i/>
          <w:iCs/>
        </w:rPr>
        <w:t>in limine</w:t>
      </w:r>
      <w:r>
        <w:t xml:space="preserve"> raised should first be argued and adjudicated by the court prior to the consideration of the merits </w:t>
      </w:r>
      <w:r w:rsidR="00014587">
        <w:t>in</w:t>
      </w:r>
      <w:r>
        <w:t xml:space="preserve"> the main application .</w:t>
      </w:r>
    </w:p>
    <w:p w14:paraId="702CB4D2" w14:textId="77777777" w:rsidR="009159B2" w:rsidRDefault="009159B2" w:rsidP="00D86678">
      <w:pPr>
        <w:pStyle w:val="WLGLevel1"/>
        <w:numPr>
          <w:ilvl w:val="0"/>
          <w:numId w:val="0"/>
        </w:numPr>
        <w:spacing w:before="0" w:after="0" w:line="360" w:lineRule="auto"/>
        <w:ind w:left="567" w:hanging="567"/>
      </w:pPr>
    </w:p>
    <w:p w14:paraId="30AB9C9D" w14:textId="77777777" w:rsidR="009159B2" w:rsidRPr="00064E69" w:rsidRDefault="009159B2" w:rsidP="00D86678">
      <w:pPr>
        <w:pStyle w:val="WLGLevel1"/>
        <w:numPr>
          <w:ilvl w:val="0"/>
          <w:numId w:val="0"/>
        </w:numPr>
        <w:spacing w:before="0" w:after="0" w:line="360" w:lineRule="auto"/>
        <w:ind w:left="567" w:hanging="567"/>
      </w:pPr>
    </w:p>
    <w:p w14:paraId="6BB24619" w14:textId="77777777" w:rsidR="002B75C0" w:rsidRDefault="002B75C0" w:rsidP="002B75C0">
      <w:pPr>
        <w:pStyle w:val="WLGLevel1"/>
        <w:numPr>
          <w:ilvl w:val="0"/>
          <w:numId w:val="0"/>
        </w:numPr>
        <w:spacing w:line="360" w:lineRule="auto"/>
        <w:rPr>
          <w:b/>
          <w:bCs/>
        </w:rPr>
      </w:pPr>
      <w:r>
        <w:rPr>
          <w:b/>
          <w:bCs/>
        </w:rPr>
        <w:t>EPHEMERAL</w:t>
      </w:r>
      <w:r w:rsidRPr="005F3E19">
        <w:rPr>
          <w:b/>
          <w:bCs/>
        </w:rPr>
        <w:t xml:space="preserve"> FACTUAL MATRIX </w:t>
      </w:r>
    </w:p>
    <w:p w14:paraId="158ACC34" w14:textId="77777777" w:rsidR="009B4621" w:rsidRDefault="009B4621" w:rsidP="002B75C0">
      <w:pPr>
        <w:pStyle w:val="WLGLevel1"/>
        <w:numPr>
          <w:ilvl w:val="0"/>
          <w:numId w:val="0"/>
        </w:numPr>
        <w:spacing w:line="360" w:lineRule="auto"/>
        <w:rPr>
          <w:b/>
          <w:bCs/>
        </w:rPr>
      </w:pPr>
    </w:p>
    <w:p w14:paraId="40F5FD7A" w14:textId="7C6BF2C4" w:rsidR="00575914" w:rsidRDefault="00485EB2" w:rsidP="00485EB2">
      <w:pPr>
        <w:pStyle w:val="WLGLevel1"/>
        <w:numPr>
          <w:ilvl w:val="0"/>
          <w:numId w:val="0"/>
        </w:numPr>
        <w:spacing w:line="360" w:lineRule="auto"/>
      </w:pPr>
      <w:r w:rsidRPr="008047F7">
        <w:t>[</w:t>
      </w:r>
      <w:r w:rsidR="009B4621">
        <w:t>8</w:t>
      </w:r>
      <w:r w:rsidRPr="008047F7">
        <w:t>]</w:t>
      </w:r>
      <w:r>
        <w:t xml:space="preserve"> </w:t>
      </w:r>
      <w:r w:rsidR="00575914">
        <w:t>The respondent</w:t>
      </w:r>
      <w:r w:rsidR="00014587">
        <w:t>s</w:t>
      </w:r>
      <w:r w:rsidR="00575914">
        <w:t xml:space="preserve"> had issued two tenders  namely ;</w:t>
      </w:r>
    </w:p>
    <w:p w14:paraId="0D80E5A8" w14:textId="1A27882B" w:rsidR="00C06228" w:rsidRDefault="00C06228" w:rsidP="002F741F">
      <w:pPr>
        <w:pStyle w:val="WLGLevel1"/>
        <w:numPr>
          <w:ilvl w:val="0"/>
          <w:numId w:val="0"/>
        </w:numPr>
        <w:spacing w:line="360" w:lineRule="auto"/>
        <w:ind w:left="567" w:hanging="567"/>
      </w:pPr>
      <w:r>
        <w:t>[</w:t>
      </w:r>
      <w:r w:rsidR="009B4621">
        <w:t>8</w:t>
      </w:r>
      <w:r>
        <w:t xml:space="preserve">.1] </w:t>
      </w:r>
      <w:r w:rsidR="00575914" w:rsidRPr="00C06228">
        <w:rPr>
          <w:sz w:val="22"/>
          <w:szCs w:val="22"/>
        </w:rPr>
        <w:t>USD EE 15-2018/19 - TO APPOINT VARIOUS CONTRACTORS TO PROVIDE CONSTRUCTION WORKS ON LOW VOLTAGE (LV) AND MEDIUM VOLTAGE (MV) ELECTRICAL NETWORK INFRASTRUCTURE AND CONSUMER CONNECTIONS ON AS AND WHEN REQUIRED BASIS FOR A THREE-YEAR PERIOD</w:t>
      </w:r>
      <w:r w:rsidR="00575914">
        <w:t xml:space="preserve">, hereafter “the first tender”. </w:t>
      </w:r>
    </w:p>
    <w:p w14:paraId="2EE80A4E" w14:textId="78E66A66" w:rsidR="00485EB2" w:rsidRDefault="00C06228" w:rsidP="002F741F">
      <w:pPr>
        <w:pStyle w:val="WLGLevel1"/>
        <w:numPr>
          <w:ilvl w:val="0"/>
          <w:numId w:val="0"/>
        </w:numPr>
        <w:spacing w:line="360" w:lineRule="auto"/>
        <w:ind w:left="567" w:hanging="567"/>
      </w:pPr>
      <w:r>
        <w:lastRenderedPageBreak/>
        <w:t>[</w:t>
      </w:r>
      <w:r w:rsidR="009B4621">
        <w:t>8</w:t>
      </w:r>
      <w:r>
        <w:t xml:space="preserve">.2]  </w:t>
      </w:r>
      <w:r w:rsidRPr="00C06228">
        <w:rPr>
          <w:sz w:val="22"/>
          <w:szCs w:val="22"/>
        </w:rPr>
        <w:t>USD EE 06-2019/20 AND USD EE O7-2019/20- TENDERS TO APPOINT VARIOUS CONTRACTORS TO PROVIDE MAINTENANCE WORKS ON PUBLIC LIGHTING ELECTRIC NETWORK INFRASTRUCTURE ON AS AND WHEN REQUIRED BASES, FOR A THREE-YEAR PERIOD</w:t>
      </w:r>
      <w:r>
        <w:t xml:space="preserve"> hereafter “the second  and third tenders”.</w:t>
      </w:r>
    </w:p>
    <w:p w14:paraId="7AC92B8A" w14:textId="69415CB5" w:rsidR="00C06228" w:rsidRDefault="00C06228" w:rsidP="002F741F">
      <w:pPr>
        <w:pStyle w:val="WLGLevel1"/>
        <w:numPr>
          <w:ilvl w:val="0"/>
          <w:numId w:val="0"/>
        </w:numPr>
        <w:spacing w:line="360" w:lineRule="auto"/>
        <w:ind w:left="567" w:hanging="567"/>
      </w:pPr>
      <w:r>
        <w:t>[8</w:t>
      </w:r>
      <w:r w:rsidR="009B4621">
        <w:t>.3</w:t>
      </w:r>
      <w:r>
        <w:t xml:space="preserve">] The applicant submitted its bid in respect of the “first tender” in a joint venture with Phumelela Dlomo Construction (Pty) Ltd, relating to the provision of certain construction works on low voltage and medium voltage electrical network infrastructure and consumer connections. With regards to the </w:t>
      </w:r>
      <w:r w:rsidR="00FC0323">
        <w:t>“second and third tender” the applicant submitted its solo bid relating to the provision of maintenance works on certain electrical network infrastructure. All three tenders are on an ‘as and when required’ basis for a three year period.</w:t>
      </w:r>
    </w:p>
    <w:p w14:paraId="545600C4" w14:textId="2FE915A9" w:rsidR="00C06228" w:rsidRDefault="00C06228" w:rsidP="002F741F">
      <w:pPr>
        <w:pStyle w:val="WLGLevel1"/>
        <w:numPr>
          <w:ilvl w:val="0"/>
          <w:numId w:val="0"/>
        </w:numPr>
        <w:spacing w:line="360" w:lineRule="auto"/>
        <w:ind w:left="567" w:hanging="567"/>
      </w:pPr>
      <w:r>
        <w:t xml:space="preserve">[9] </w:t>
      </w:r>
      <w:r w:rsidR="006A411C">
        <w:t xml:space="preserve"> </w:t>
      </w:r>
      <w:r w:rsidR="000E664D">
        <w:t>On 4</w:t>
      </w:r>
      <w:r w:rsidR="000E664D" w:rsidRPr="000E664D">
        <w:rPr>
          <w:vertAlign w:val="superscript"/>
        </w:rPr>
        <w:t>th</w:t>
      </w:r>
      <w:r w:rsidR="000E664D">
        <w:t xml:space="preserve"> March 2020 a letter was addressed to applicant and JV Phumelela Dlomo Construction (Pty) Ltd that t</w:t>
      </w:r>
      <w:r w:rsidR="00955EAE">
        <w:t>he joint venture, as regards bid USD EE15-2018/2019 and the applicant, as regards bid USD EE 06-2019/2020 and bid USD EE 07-2020, were disqualified in the tender evaluation process as follows;</w:t>
      </w:r>
    </w:p>
    <w:p w14:paraId="660DC792" w14:textId="2A1E43DA" w:rsidR="00955EAE" w:rsidRDefault="005972E5" w:rsidP="005972E5">
      <w:pPr>
        <w:pStyle w:val="WLGLevel1"/>
        <w:numPr>
          <w:ilvl w:val="0"/>
          <w:numId w:val="0"/>
        </w:numPr>
        <w:spacing w:line="360" w:lineRule="auto"/>
        <w:ind w:left="567" w:hanging="567"/>
      </w:pPr>
      <w:r>
        <w:t xml:space="preserve">    “</w:t>
      </w:r>
      <w:r w:rsidR="00955EAE">
        <w:t>1</w:t>
      </w:r>
      <w:r>
        <w:t xml:space="preserve"> The joint venture (bid USD EE 15-2018/2019 in phase one because it did not complete the local content declaration”;</w:t>
      </w:r>
    </w:p>
    <w:p w14:paraId="29921DC3" w14:textId="3E239BC8" w:rsidR="005972E5" w:rsidRDefault="005972E5" w:rsidP="005972E5">
      <w:pPr>
        <w:pStyle w:val="WLGLevel1"/>
        <w:numPr>
          <w:ilvl w:val="0"/>
          <w:numId w:val="0"/>
        </w:numPr>
        <w:spacing w:line="360" w:lineRule="auto"/>
        <w:ind w:left="567" w:hanging="567"/>
      </w:pPr>
      <w:r>
        <w:t xml:space="preserve">   “ 2 The applicant (bid USD EE 06-2019/2020 and bid USD EE 07-2020), also in phase one as it was found at the time the decision was taken, that the applicant had a state employee in its employ”.</w:t>
      </w:r>
    </w:p>
    <w:p w14:paraId="0A0A9BAC" w14:textId="110DFC8C" w:rsidR="005972E5" w:rsidRDefault="005972E5" w:rsidP="009B4621">
      <w:pPr>
        <w:pStyle w:val="WLGLevel1"/>
        <w:numPr>
          <w:ilvl w:val="0"/>
          <w:numId w:val="0"/>
        </w:numPr>
        <w:spacing w:line="360" w:lineRule="auto"/>
        <w:ind w:left="567" w:hanging="567"/>
      </w:pPr>
      <w:r>
        <w:t xml:space="preserve">[10]  </w:t>
      </w:r>
      <w:r w:rsidR="000E664D">
        <w:t xml:space="preserve">On 7 March 2020 successful tenderers  were appointed in respect of all three </w:t>
      </w:r>
      <w:r w:rsidR="00C04B29">
        <w:t>tenders and</w:t>
      </w:r>
      <w:r w:rsidR="000E664D">
        <w:t xml:space="preserve"> have been rendering the required</w:t>
      </w:r>
      <w:r w:rsidR="00C04B29">
        <w:t xml:space="preserve"> services since the tender was awarded. Accordingly, the applicant have been aware of this fact since at least 7 March 2020.</w:t>
      </w:r>
    </w:p>
    <w:p w14:paraId="0DA23393" w14:textId="22A1404F" w:rsidR="00F669D1" w:rsidRPr="00843817" w:rsidRDefault="00C04B29" w:rsidP="00485EB2">
      <w:pPr>
        <w:pStyle w:val="WLGLevel1"/>
        <w:numPr>
          <w:ilvl w:val="0"/>
          <w:numId w:val="0"/>
        </w:numPr>
        <w:spacing w:line="360" w:lineRule="auto"/>
        <w:rPr>
          <w:b/>
          <w:bCs/>
        </w:rPr>
      </w:pPr>
      <w:r>
        <w:rPr>
          <w:b/>
          <w:bCs/>
        </w:rPr>
        <w:t>APPLICA</w:t>
      </w:r>
      <w:r w:rsidR="00485EB2" w:rsidRPr="00843817">
        <w:rPr>
          <w:b/>
          <w:bCs/>
        </w:rPr>
        <w:t>NT’S CASE.</w:t>
      </w:r>
    </w:p>
    <w:p w14:paraId="5482DA6A" w14:textId="5711891C" w:rsidR="00282A18" w:rsidRDefault="00485EB2" w:rsidP="002F741F">
      <w:pPr>
        <w:pStyle w:val="WLGLevel1"/>
        <w:numPr>
          <w:ilvl w:val="0"/>
          <w:numId w:val="0"/>
        </w:numPr>
        <w:spacing w:line="360" w:lineRule="auto"/>
        <w:ind w:left="567" w:hanging="567"/>
      </w:pPr>
      <w:r>
        <w:t>[</w:t>
      </w:r>
      <w:r w:rsidR="009B4621">
        <w:t>11</w:t>
      </w:r>
      <w:r>
        <w:t xml:space="preserve">]  The </w:t>
      </w:r>
      <w:r w:rsidR="00282A18">
        <w:t xml:space="preserve">relevant applicant’s pleaded facts are herein under restated. </w:t>
      </w:r>
      <w:r w:rsidR="007728D7">
        <w:t xml:space="preserve">In respect of tender under reference USD EE 15-2018/19 (the first tender). </w:t>
      </w:r>
      <w:r w:rsidR="00282A18">
        <w:t xml:space="preserve">The applicant averred that </w:t>
      </w:r>
      <w:r w:rsidR="00282A18">
        <w:lastRenderedPageBreak/>
        <w:t xml:space="preserve">the reasons for disqualification by official letter of the respondent dated 4 March 2020 and directed to the applicant was that “the bidder did not complete </w:t>
      </w:r>
      <w:r w:rsidR="00282A18" w:rsidRPr="007728D7">
        <w:rPr>
          <w:b/>
          <w:bCs/>
        </w:rPr>
        <w:t>Annexure C Local Content Declaration</w:t>
      </w:r>
      <w:r w:rsidR="00282A18">
        <w:t xml:space="preserve">” (see par 18.1 to 18.1.3 of the Founding Affidavit as read with the letter dated 4 March 2020 marked as Annexure “SC5” (see page 002-49 to 002-51 on Caselines).  The applicant maintains that it actually completed the relevant section by marking it “N/A” (Not Applicable) on the relevant sections (see Annexure “SC5” specifically pages 002-52 to 002-54 on </w:t>
      </w:r>
      <w:r w:rsidR="00282A18" w:rsidRPr="000755DA">
        <w:t>Caselines</w:t>
      </w:r>
      <w:r w:rsidR="000755DA" w:rsidRPr="000755DA">
        <w:t>.</w:t>
      </w:r>
    </w:p>
    <w:p w14:paraId="71B4D7FF" w14:textId="3D1AA0D8" w:rsidR="00282A18" w:rsidRDefault="00282A18" w:rsidP="002F741F">
      <w:pPr>
        <w:pStyle w:val="WLGLevel1"/>
        <w:numPr>
          <w:ilvl w:val="0"/>
          <w:numId w:val="0"/>
        </w:numPr>
        <w:spacing w:line="360" w:lineRule="auto"/>
        <w:ind w:left="567" w:hanging="567"/>
      </w:pPr>
      <w:r>
        <w:t>[1</w:t>
      </w:r>
      <w:r w:rsidR="009B4621">
        <w:t>2</w:t>
      </w:r>
      <w:r>
        <w:t xml:space="preserve">] The applicant argues that this was not necessary as the tender specifications specifically provided that “the appointee contractor will only be required to provide </w:t>
      </w:r>
      <w:r w:rsidRPr="006A411C">
        <w:rPr>
          <w:color w:val="000000" w:themeColor="text1"/>
        </w:rPr>
        <w:t>labour</w:t>
      </w:r>
      <w:r w:rsidR="006A411C" w:rsidRPr="006A411C">
        <w:rPr>
          <w:color w:val="000000" w:themeColor="text1"/>
        </w:rPr>
        <w:t>.</w:t>
      </w:r>
      <w:r w:rsidR="008A1AB3" w:rsidRPr="006A411C">
        <w:rPr>
          <w:color w:val="000000" w:themeColor="text1"/>
        </w:rPr>
        <w:t xml:space="preserve"> </w:t>
      </w:r>
      <w:r w:rsidR="006A411C" w:rsidRPr="006A411C">
        <w:rPr>
          <w:color w:val="000000" w:themeColor="text1"/>
        </w:rPr>
        <w:t>M</w:t>
      </w:r>
      <w:r w:rsidRPr="006A411C">
        <w:rPr>
          <w:color w:val="000000" w:themeColor="text1"/>
        </w:rPr>
        <w:t xml:space="preserve">aterials </w:t>
      </w:r>
      <w:r>
        <w:t>for the works shall be provided by the “CoT”.” According to the applicant a tender for both labour and supply of materials would specifically provide a list of the materials to be supplied and for each tenderer to provide a quote of their prices in each line item. No such list was provided.</w:t>
      </w:r>
      <w:r w:rsidR="007728D7">
        <w:t xml:space="preserve"> Consequently, argues the applicant that the grounds for disqualification are reviewable and should be set aside as they are in contravention of the Constitution and the PAJA Act in all aspects as cited in clause 2.1 and its </w:t>
      </w:r>
      <w:r w:rsidR="007728D7" w:rsidRPr="000755DA">
        <w:t>subparagraphs.</w:t>
      </w:r>
    </w:p>
    <w:p w14:paraId="32DC0383" w14:textId="1A22B6E1" w:rsidR="007728D7" w:rsidRDefault="007728D7" w:rsidP="002F741F">
      <w:pPr>
        <w:pStyle w:val="WLGLevel1"/>
        <w:numPr>
          <w:ilvl w:val="0"/>
          <w:numId w:val="0"/>
        </w:numPr>
        <w:spacing w:line="360" w:lineRule="auto"/>
        <w:ind w:left="567" w:hanging="567"/>
        <w:rPr>
          <w:color w:val="C00000"/>
        </w:rPr>
      </w:pPr>
      <w:r>
        <w:t>[1</w:t>
      </w:r>
      <w:r w:rsidR="009B4621">
        <w:t>3</w:t>
      </w:r>
      <w:r>
        <w:t xml:space="preserve">] In respect of tender under reference USD EE 06-2019/20 and USD EE 07-2019/20 (the second tenders). The applicant contends that the reasons for disqualification by official letter of the respondent dated 4 March 2020 and directed to the applicant was that “the applicant had a director in its employ who was a state employee in contravention of the relevant act.” According to the applicant this was incorrect as the relevant director had resigned way before the tenders. The applicant avers further that this point was conceded by the respondent who </w:t>
      </w:r>
      <w:r w:rsidR="00E55D6C">
        <w:t xml:space="preserve">advised the applicant that its bids would be send to their bids evaluation committee to be re-evaluated and </w:t>
      </w:r>
      <w:r w:rsidR="00E55D6C">
        <w:lastRenderedPageBreak/>
        <w:t>that the applicants would be informed of the outcome of the further evaluation process once that has been concluded</w:t>
      </w:r>
      <w:r w:rsidR="008A1AB3">
        <w:rPr>
          <w:rStyle w:val="FootnoteReference"/>
        </w:rPr>
        <w:footnoteReference w:id="1"/>
      </w:r>
      <w:r w:rsidR="008A1AB3">
        <w:t>.</w:t>
      </w:r>
      <w:r w:rsidR="00E55D6C">
        <w:t xml:space="preserve"> </w:t>
      </w:r>
    </w:p>
    <w:p w14:paraId="2C23E3AE" w14:textId="77777777" w:rsidR="006B70FD" w:rsidRPr="006D0806" w:rsidRDefault="006B70FD" w:rsidP="00485EB2">
      <w:pPr>
        <w:pStyle w:val="WLGLevel1"/>
        <w:numPr>
          <w:ilvl w:val="0"/>
          <w:numId w:val="0"/>
        </w:numPr>
        <w:spacing w:line="360" w:lineRule="auto"/>
        <w:rPr>
          <w:b/>
          <w:bCs/>
        </w:rPr>
      </w:pPr>
      <w:r w:rsidRPr="006D0806">
        <w:rPr>
          <w:b/>
          <w:bCs/>
        </w:rPr>
        <w:t xml:space="preserve">Ground of review </w:t>
      </w:r>
    </w:p>
    <w:p w14:paraId="3176E95D" w14:textId="5EFA0264" w:rsidR="006B70FD" w:rsidRDefault="006B70FD" w:rsidP="002F741F">
      <w:pPr>
        <w:pStyle w:val="WLGLevel1"/>
        <w:numPr>
          <w:ilvl w:val="0"/>
          <w:numId w:val="0"/>
        </w:numPr>
        <w:spacing w:line="360" w:lineRule="auto"/>
        <w:ind w:left="567" w:hanging="567"/>
      </w:pPr>
      <w:r>
        <w:t>[1</w:t>
      </w:r>
      <w:r w:rsidR="009B4621">
        <w:t>4</w:t>
      </w:r>
      <w:r>
        <w:t>] The applicant contends that this application</w:t>
      </w:r>
      <w:r w:rsidR="008A1AB3">
        <w:t xml:space="preserve"> </w:t>
      </w:r>
      <w:r>
        <w:t xml:space="preserve">is based on the grounds for review provided for in the following sub-sections of section 6(2) of the (‘PAJA’) cited herein, mainly: </w:t>
      </w:r>
    </w:p>
    <w:p w14:paraId="5C20A53C" w14:textId="3D82248D" w:rsidR="00E37D73" w:rsidRDefault="009B4621" w:rsidP="009B4621">
      <w:pPr>
        <w:pStyle w:val="WLGLevel1"/>
        <w:numPr>
          <w:ilvl w:val="0"/>
          <w:numId w:val="0"/>
        </w:numPr>
        <w:spacing w:line="360" w:lineRule="auto"/>
        <w:ind w:left="567" w:hanging="567"/>
      </w:pPr>
      <w:r>
        <w:t xml:space="preserve">      </w:t>
      </w:r>
      <w:r w:rsidR="00E37D73">
        <w:t>“</w:t>
      </w:r>
      <w:r w:rsidR="006B70FD">
        <w:t xml:space="preserve">1 section 6(2)(c) - procedural unfairness; </w:t>
      </w:r>
    </w:p>
    <w:p w14:paraId="17F70268" w14:textId="4199535D" w:rsidR="00E37D73" w:rsidRDefault="002F741F" w:rsidP="002F741F">
      <w:pPr>
        <w:pStyle w:val="WLGLevel1"/>
        <w:numPr>
          <w:ilvl w:val="0"/>
          <w:numId w:val="0"/>
        </w:numPr>
        <w:spacing w:line="360" w:lineRule="auto"/>
        <w:ind w:left="567" w:hanging="567"/>
      </w:pPr>
      <w:r>
        <w:t xml:space="preserve">      </w:t>
      </w:r>
      <w:r w:rsidR="006B70FD">
        <w:t>2 section 6(2)(e)(iii) - irrelevant considerations taken into account or relevant considerations not considered;</w:t>
      </w:r>
    </w:p>
    <w:p w14:paraId="3EAA5A98" w14:textId="30FBB283" w:rsidR="00E37D73" w:rsidRDefault="002F741F" w:rsidP="002F741F">
      <w:pPr>
        <w:pStyle w:val="WLGLevel1"/>
        <w:numPr>
          <w:ilvl w:val="0"/>
          <w:numId w:val="0"/>
        </w:numPr>
        <w:spacing w:line="360" w:lineRule="auto"/>
        <w:ind w:left="567" w:hanging="567"/>
      </w:pPr>
      <w:r>
        <w:t xml:space="preserve">      </w:t>
      </w:r>
      <w:r w:rsidR="006B70FD">
        <w:t xml:space="preserve">3 section 6(2)(e)(vi) – arbitrary or capricious actions; </w:t>
      </w:r>
    </w:p>
    <w:p w14:paraId="45CC573D" w14:textId="5026A14E" w:rsidR="00E37D73" w:rsidRDefault="002F741F" w:rsidP="002F741F">
      <w:pPr>
        <w:pStyle w:val="WLGLevel1"/>
        <w:numPr>
          <w:ilvl w:val="0"/>
          <w:numId w:val="0"/>
        </w:numPr>
        <w:spacing w:line="360" w:lineRule="auto"/>
        <w:ind w:left="567" w:hanging="567"/>
      </w:pPr>
      <w:r>
        <w:t xml:space="preserve">      </w:t>
      </w:r>
      <w:r w:rsidR="006B70FD">
        <w:t xml:space="preserve">4 section 6(2)(f)(ii) – actions not rationally connected; </w:t>
      </w:r>
    </w:p>
    <w:p w14:paraId="7CAB3528" w14:textId="01EE9F15" w:rsidR="00E37D73" w:rsidRDefault="002F741F" w:rsidP="002F741F">
      <w:pPr>
        <w:pStyle w:val="WLGLevel1"/>
        <w:numPr>
          <w:ilvl w:val="0"/>
          <w:numId w:val="0"/>
        </w:numPr>
        <w:spacing w:line="360" w:lineRule="auto"/>
        <w:ind w:left="567" w:hanging="567"/>
      </w:pPr>
      <w:r>
        <w:t xml:space="preserve">     </w:t>
      </w:r>
      <w:r w:rsidR="00E37D73">
        <w:t>5 section 6(2)(g) read with section 6(3)– failure to take a decision and unreasonable delay in making a decision;</w:t>
      </w:r>
    </w:p>
    <w:p w14:paraId="63E24432" w14:textId="44656F1F" w:rsidR="00E55D6C" w:rsidRDefault="00E37D73" w:rsidP="00E55D6C">
      <w:pPr>
        <w:pStyle w:val="WLGLevel1"/>
        <w:numPr>
          <w:ilvl w:val="0"/>
          <w:numId w:val="0"/>
        </w:numPr>
        <w:spacing w:line="360" w:lineRule="auto"/>
      </w:pPr>
      <w:r>
        <w:t xml:space="preserve"> </w:t>
      </w:r>
      <w:r w:rsidR="002F741F">
        <w:t xml:space="preserve">    </w:t>
      </w:r>
      <w:r>
        <w:t>6 section 6(2)(h) – unreasonable actions”.</w:t>
      </w:r>
    </w:p>
    <w:p w14:paraId="6F8C73F1" w14:textId="77777777" w:rsidR="000755DA" w:rsidRPr="000755DA" w:rsidRDefault="000755DA" w:rsidP="00E55D6C">
      <w:pPr>
        <w:pStyle w:val="WLGLevel1"/>
        <w:numPr>
          <w:ilvl w:val="0"/>
          <w:numId w:val="0"/>
        </w:numPr>
        <w:spacing w:line="360" w:lineRule="auto"/>
      </w:pPr>
    </w:p>
    <w:p w14:paraId="57E46439" w14:textId="2B01E39F" w:rsidR="000755DA" w:rsidRPr="000755DA" w:rsidRDefault="00E55D6C" w:rsidP="00485EB2">
      <w:pPr>
        <w:pStyle w:val="WLGLevel1"/>
        <w:numPr>
          <w:ilvl w:val="0"/>
          <w:numId w:val="0"/>
        </w:numPr>
        <w:spacing w:line="360" w:lineRule="auto"/>
        <w:rPr>
          <w:b/>
          <w:bCs/>
        </w:rPr>
      </w:pPr>
      <w:r>
        <w:rPr>
          <w:b/>
          <w:bCs/>
        </w:rPr>
        <w:t>RESPONDE</w:t>
      </w:r>
      <w:r w:rsidRPr="00843817">
        <w:rPr>
          <w:b/>
          <w:bCs/>
        </w:rPr>
        <w:t>NTS CASE.</w:t>
      </w:r>
    </w:p>
    <w:p w14:paraId="76264CCB" w14:textId="2F95024F" w:rsidR="00E55D6C" w:rsidRDefault="00E55D6C" w:rsidP="002F741F">
      <w:pPr>
        <w:pStyle w:val="WLGLevel1"/>
        <w:numPr>
          <w:ilvl w:val="0"/>
          <w:numId w:val="0"/>
        </w:numPr>
        <w:spacing w:line="360" w:lineRule="auto"/>
        <w:ind w:left="567" w:hanging="567"/>
      </w:pPr>
      <w:r w:rsidRPr="00E55D6C">
        <w:lastRenderedPageBreak/>
        <w:t>[1</w:t>
      </w:r>
      <w:r w:rsidR="009B4621">
        <w:t>5</w:t>
      </w:r>
      <w:r w:rsidRPr="00E55D6C">
        <w:t>]</w:t>
      </w:r>
      <w:r w:rsidR="006D0806">
        <w:t xml:space="preserve"> The respondents contends that the application </w:t>
      </w:r>
      <w:r w:rsidR="00BF3550">
        <w:t>is</w:t>
      </w:r>
      <w:r w:rsidR="008A1AB3">
        <w:t xml:space="preserve"> legally flawed,</w:t>
      </w:r>
      <w:r w:rsidR="00BF3550">
        <w:t xml:space="preserve"> unmeritorious</w:t>
      </w:r>
      <w:r w:rsidR="006D0806">
        <w:t xml:space="preserve"> and should be dismissed on one, more or all of the three points </w:t>
      </w:r>
      <w:r w:rsidR="006D0806" w:rsidRPr="006D0806">
        <w:rPr>
          <w:i/>
          <w:iCs/>
        </w:rPr>
        <w:t>in limine</w:t>
      </w:r>
      <w:r w:rsidR="006D0806">
        <w:t xml:space="preserve"> herein below mentioned.</w:t>
      </w:r>
    </w:p>
    <w:p w14:paraId="01E3EE98" w14:textId="373C9A8D" w:rsidR="006D0806" w:rsidRDefault="00ED6121" w:rsidP="002F741F">
      <w:pPr>
        <w:pStyle w:val="WLGLevel1"/>
        <w:numPr>
          <w:ilvl w:val="0"/>
          <w:numId w:val="0"/>
        </w:numPr>
        <w:spacing w:line="360" w:lineRule="auto"/>
        <w:ind w:left="567" w:hanging="567"/>
      </w:pPr>
      <w:r>
        <w:t>[1</w:t>
      </w:r>
      <w:r w:rsidR="009B4621">
        <w:t>6</w:t>
      </w:r>
      <w:r>
        <w:t>]</w:t>
      </w:r>
      <w:r w:rsidR="00662EFF">
        <w:t xml:space="preserve">  </w:t>
      </w:r>
      <w:r w:rsidR="006D0806">
        <w:t xml:space="preserve">That the applicant has no </w:t>
      </w:r>
      <w:r w:rsidR="006D0806" w:rsidRPr="006D0806">
        <w:rPr>
          <w:i/>
          <w:iCs/>
        </w:rPr>
        <w:t>locus standi</w:t>
      </w:r>
      <w:r w:rsidR="006D0806">
        <w:t xml:space="preserve"> to apply for the relief sought insofar as it relates to the joint </w:t>
      </w:r>
      <w:r w:rsidR="0098138B">
        <w:t>venture</w:t>
      </w:r>
      <w:r w:rsidR="006D0806">
        <w:t>.</w:t>
      </w:r>
      <w:r w:rsidR="0098138B">
        <w:t xml:space="preserve"> The respondent</w:t>
      </w:r>
      <w:r w:rsidR="008F7EC2">
        <w:t>s</w:t>
      </w:r>
      <w:r w:rsidR="0098138B">
        <w:t xml:space="preserve"> avers that the issue of </w:t>
      </w:r>
      <w:r w:rsidR="0098138B" w:rsidRPr="0098138B">
        <w:rPr>
          <w:i/>
          <w:iCs/>
        </w:rPr>
        <w:t>locus standi</w:t>
      </w:r>
      <w:r w:rsidR="0098138B">
        <w:t xml:space="preserve"> is core divorced from the substance of the case and must indeed be determined  before the merits </w:t>
      </w:r>
      <w:r w:rsidR="008F7EC2">
        <w:t xml:space="preserve"> of the main application </w:t>
      </w:r>
      <w:r w:rsidR="0098138B">
        <w:t>are considered.</w:t>
      </w:r>
      <w:r w:rsidR="0098138B">
        <w:rPr>
          <w:rStyle w:val="FootnoteReference"/>
        </w:rPr>
        <w:footnoteReference w:id="2"/>
      </w:r>
      <w:r w:rsidR="008A1AB3">
        <w:t xml:space="preserve"> </w:t>
      </w:r>
    </w:p>
    <w:p w14:paraId="1C5F4891" w14:textId="321FE8E8" w:rsidR="0098138B" w:rsidRDefault="00ED6121" w:rsidP="002F741F">
      <w:pPr>
        <w:pStyle w:val="WLGLevel1"/>
        <w:numPr>
          <w:ilvl w:val="0"/>
          <w:numId w:val="0"/>
        </w:numPr>
        <w:spacing w:line="360" w:lineRule="auto"/>
        <w:ind w:left="567" w:hanging="567"/>
      </w:pPr>
      <w:r>
        <w:t>[1</w:t>
      </w:r>
      <w:r w:rsidR="009B4621">
        <w:t>6</w:t>
      </w:r>
      <w:r>
        <w:t>.1]</w:t>
      </w:r>
      <w:r w:rsidR="0098138B">
        <w:t xml:space="preserve"> </w:t>
      </w:r>
      <w:r w:rsidR="006A411C">
        <w:t xml:space="preserve"> </w:t>
      </w:r>
      <w:r w:rsidR="0098138B">
        <w:t xml:space="preserve">The bidder in respect of tender USD EE 15-2018/19 (the first tender) was a joint </w:t>
      </w:r>
      <w:r w:rsidR="002F741F">
        <w:t>venture</w:t>
      </w:r>
      <w:r w:rsidR="0098138B">
        <w:t xml:space="preserve"> consisting of the applicant and one Phumel</w:t>
      </w:r>
      <w:r w:rsidR="00EC2E2F">
        <w:t xml:space="preserve">ela Dlomo Construction(Pty) Ltd. The joint venture is not a party to this application, nor is Phumelela Dlomo Construction (Pty) Ltd, the other partner to the joint venture. The applicant has not pleaded the conclusion and the terms of cession, whether it was verbal or in writing, nor has it annexed a copy of the </w:t>
      </w:r>
      <w:r w:rsidR="008F7EC2">
        <w:t xml:space="preserve">duly concluded </w:t>
      </w:r>
      <w:r w:rsidR="00EC2E2F">
        <w:t>agreement of cession.</w:t>
      </w:r>
    </w:p>
    <w:p w14:paraId="142FF792" w14:textId="3F3D8C4F" w:rsidR="00ED6121" w:rsidRDefault="00ED6121" w:rsidP="002F741F">
      <w:pPr>
        <w:pStyle w:val="WLGLevel1"/>
        <w:numPr>
          <w:ilvl w:val="0"/>
          <w:numId w:val="0"/>
        </w:numPr>
        <w:spacing w:line="360" w:lineRule="auto"/>
        <w:ind w:left="567" w:hanging="567"/>
      </w:pPr>
      <w:r>
        <w:t>[1</w:t>
      </w:r>
      <w:r w:rsidR="009B4621">
        <w:t>6</w:t>
      </w:r>
      <w:r>
        <w:t>.2]</w:t>
      </w:r>
      <w:r w:rsidR="00EC2E2F">
        <w:t xml:space="preserve"> The respondent</w:t>
      </w:r>
      <w:r w:rsidR="008F7EC2">
        <w:t>s</w:t>
      </w:r>
      <w:r w:rsidR="00EC2E2F">
        <w:t xml:space="preserve"> argues that the allegation that Ms. Lethatha is a director of Phu</w:t>
      </w:r>
      <w:r>
        <w:t>melela Dlomo Construction (Pty) Ltd, is the only nexus between her and the company. Furthermore, she</w:t>
      </w:r>
      <w:r w:rsidR="008F7EC2">
        <w:t xml:space="preserve"> has</w:t>
      </w:r>
      <w:r>
        <w:t xml:space="preserve"> failed to annexe a resolution by Phumelela Dlomo Construction (Pty) Ltd, confirming her authority to act on behalf of by Phumelela Dlomo Construction (Pty) Ltd herein. In addition to the above, no confirmation of her alleged directorship in Phumelela Dlomo Construction (Pty) Ltd from the Companies and Intellectual Property Commission (“ CIPC”) has been provided and / or attached to the founding affidavit.</w:t>
      </w:r>
    </w:p>
    <w:p w14:paraId="5B7B8BAA" w14:textId="0E99FFC4" w:rsidR="00ED6121" w:rsidRDefault="00ED6121" w:rsidP="002F741F">
      <w:pPr>
        <w:pStyle w:val="WLGLevel1"/>
        <w:numPr>
          <w:ilvl w:val="0"/>
          <w:numId w:val="0"/>
        </w:numPr>
        <w:spacing w:line="360" w:lineRule="auto"/>
        <w:ind w:left="567" w:hanging="567"/>
      </w:pPr>
      <w:r>
        <w:t>[1</w:t>
      </w:r>
      <w:r w:rsidR="009B4621">
        <w:t>6</w:t>
      </w:r>
      <w:r>
        <w:t>.</w:t>
      </w:r>
      <w:r w:rsidR="006A411C">
        <w:t>3</w:t>
      </w:r>
      <w:r>
        <w:t>] The respondent</w:t>
      </w:r>
      <w:r w:rsidR="00A03E9B">
        <w:t>s</w:t>
      </w:r>
      <w:r>
        <w:t xml:space="preserve"> had disputed the applicant’s </w:t>
      </w:r>
      <w:r w:rsidRPr="00ED6121">
        <w:rPr>
          <w:i/>
          <w:iCs/>
        </w:rPr>
        <w:t>locus standi</w:t>
      </w:r>
      <w:r>
        <w:t xml:space="preserve"> in their answering affidavit and despite having every opportunity to do so, the applicants has still failed to produce the necessary proof in support of its locus standi in its replying affidavit .</w:t>
      </w:r>
    </w:p>
    <w:p w14:paraId="2E16C714" w14:textId="1B36F15D" w:rsidR="00ED6121" w:rsidRDefault="00ED6121" w:rsidP="002F741F">
      <w:pPr>
        <w:pStyle w:val="WLGLevel1"/>
        <w:numPr>
          <w:ilvl w:val="0"/>
          <w:numId w:val="0"/>
        </w:numPr>
        <w:spacing w:line="360" w:lineRule="auto"/>
        <w:ind w:left="567" w:hanging="567"/>
      </w:pPr>
      <w:r>
        <w:lastRenderedPageBreak/>
        <w:t>[1</w:t>
      </w:r>
      <w:r w:rsidR="009B4621">
        <w:t>7</w:t>
      </w:r>
      <w:r>
        <w:t xml:space="preserve">] </w:t>
      </w:r>
      <w:r w:rsidR="00BF3550">
        <w:t xml:space="preserve">The second point </w:t>
      </w:r>
      <w:r w:rsidR="00BF3550" w:rsidRPr="006A411C">
        <w:rPr>
          <w:i/>
          <w:iCs/>
        </w:rPr>
        <w:t>in limine</w:t>
      </w:r>
      <w:r w:rsidR="00BF3550">
        <w:t xml:space="preserve"> raised by the respondents is that the applicant has failed to exhaust internal remedies. The respondent</w:t>
      </w:r>
      <w:r w:rsidR="008F7EC2">
        <w:t>s</w:t>
      </w:r>
      <w:r w:rsidR="00BF3550">
        <w:t xml:space="preserve"> contends that a review under the Promotion of Administrative Justice Act,3 of 2000 (“ PAJA”) may only be instituted once all internal remedies have been exhausted and the applicant has failed to demonstrate to the court either by way of the pleaded facts that it has either  exhausted all internal </w:t>
      </w:r>
      <w:r w:rsidR="00A03E9B">
        <w:t>remedies,</w:t>
      </w:r>
      <w:r w:rsidR="00BF3550">
        <w:t xml:space="preserve"> nor has it applied for exemption from this requirement. </w:t>
      </w:r>
    </w:p>
    <w:p w14:paraId="3D25C895" w14:textId="453E4DC4" w:rsidR="00BF3550" w:rsidRDefault="00BF3550" w:rsidP="002F741F">
      <w:pPr>
        <w:pStyle w:val="WLGLevel1"/>
        <w:numPr>
          <w:ilvl w:val="0"/>
          <w:numId w:val="0"/>
        </w:numPr>
        <w:spacing w:line="360" w:lineRule="auto"/>
        <w:ind w:left="567" w:hanging="567"/>
      </w:pPr>
      <w:r>
        <w:t>[1</w:t>
      </w:r>
      <w:r w:rsidR="009B4621">
        <w:t>7</w:t>
      </w:r>
      <w:r>
        <w:t>.1] The respondent</w:t>
      </w:r>
      <w:r w:rsidR="00A03E9B">
        <w:t>s</w:t>
      </w:r>
      <w:r>
        <w:t xml:space="preserve"> </w:t>
      </w:r>
      <w:r w:rsidR="00A03E9B">
        <w:t xml:space="preserve">avers that in law the applicant ought to have availed itself of the internal appeal process before approaching the court </w:t>
      </w:r>
      <w:r w:rsidR="008F7EC2">
        <w:t>to</w:t>
      </w:r>
      <w:r w:rsidR="00A03E9B">
        <w:t xml:space="preserve"> review the </w:t>
      </w:r>
      <w:r w:rsidR="008F7EC2">
        <w:t>alleged</w:t>
      </w:r>
      <w:r w:rsidR="00A03E9B">
        <w:t xml:space="preserve"> impugned decision and </w:t>
      </w:r>
      <w:r w:rsidR="00A03E9B" w:rsidRPr="00A03E9B">
        <w:rPr>
          <w:i/>
          <w:iCs/>
        </w:rPr>
        <w:t>in casu</w:t>
      </w:r>
      <w:r w:rsidR="006A411C">
        <w:t xml:space="preserve">, </w:t>
      </w:r>
      <w:r w:rsidR="00A03E9B">
        <w:t>it has failed do so. Accordingly, the first respondent’s evidence is that no appeal was lodged that complies with section 62 of the Local Government :Municipal Systems Act, 32 of 2000 ( “the MSA”). The only document that purp</w:t>
      </w:r>
      <w:r w:rsidR="004F0134">
        <w:t xml:space="preserve">orts to be the “appeal” is not directed  to the first respondent’s municipal manager, as provided for in section 62 of the “MSA” and it is therefore invalid. </w:t>
      </w:r>
    </w:p>
    <w:p w14:paraId="2B4AE4F6" w14:textId="023A37F7" w:rsidR="004F0134" w:rsidRDefault="004F0134" w:rsidP="002F741F">
      <w:pPr>
        <w:pStyle w:val="WLGLevel1"/>
        <w:numPr>
          <w:ilvl w:val="0"/>
          <w:numId w:val="0"/>
        </w:numPr>
        <w:spacing w:line="360" w:lineRule="auto"/>
        <w:ind w:left="567" w:hanging="567"/>
      </w:pPr>
      <w:r>
        <w:t>[1</w:t>
      </w:r>
      <w:r w:rsidR="009B4621">
        <w:t>7</w:t>
      </w:r>
      <w:r>
        <w:t>.2] The respondents further contend that the even if the court were to accept that the applicants appeal was validly lodged, there had been no decision taken and/or made in respect of that appeal thus, the internal remedy has not yet been exhausted.</w:t>
      </w:r>
    </w:p>
    <w:p w14:paraId="6F6E1027" w14:textId="69D8D60F" w:rsidR="004F0134" w:rsidRDefault="004F0134" w:rsidP="002F741F">
      <w:pPr>
        <w:pStyle w:val="WLGLevel1"/>
        <w:numPr>
          <w:ilvl w:val="0"/>
          <w:numId w:val="0"/>
        </w:numPr>
        <w:spacing w:line="360" w:lineRule="auto"/>
        <w:ind w:left="567" w:hanging="567"/>
      </w:pPr>
      <w:r>
        <w:t>[1</w:t>
      </w:r>
      <w:r w:rsidR="009B4621">
        <w:t>8</w:t>
      </w:r>
      <w:r>
        <w:t xml:space="preserve">] The respondents further raised the point </w:t>
      </w:r>
      <w:r w:rsidRPr="006A411C">
        <w:rPr>
          <w:i/>
          <w:iCs/>
        </w:rPr>
        <w:t>in limine</w:t>
      </w:r>
      <w:r>
        <w:t xml:space="preserve">  with regards to unreasonable delay in launching the current application.</w:t>
      </w:r>
    </w:p>
    <w:p w14:paraId="21BAA9F8" w14:textId="0D95895D" w:rsidR="004F0134" w:rsidRDefault="004F0134" w:rsidP="002F741F">
      <w:pPr>
        <w:pStyle w:val="WLGLevel1"/>
        <w:numPr>
          <w:ilvl w:val="0"/>
          <w:numId w:val="0"/>
        </w:numPr>
        <w:spacing w:line="360" w:lineRule="auto"/>
        <w:ind w:left="567" w:hanging="567"/>
        <w:rPr>
          <w:color w:val="C00000"/>
        </w:rPr>
      </w:pPr>
      <w:r>
        <w:t>[1</w:t>
      </w:r>
      <w:r w:rsidR="009B4621">
        <w:t>8</w:t>
      </w:r>
      <w:r>
        <w:t>.1] The respondents contend that it is fundamental principle in review proceedings that such proceedings must be instituted as soon as possible, as administrative decisions stand and are given effect to until set aside.</w:t>
      </w:r>
      <w:r w:rsidR="00AD074F">
        <w:t xml:space="preserve"> The administrative actions that the applicant claims must be reviewed and set aside, were taken during December to February 2020.  The applicant was, at the very latest, informed of the decisions and the reasons therefore on 4 March 2020, when the first respondent communicated same to the applicant by way of its letter dated the 4 March 2020. </w:t>
      </w:r>
      <w:r w:rsidR="00AD074F">
        <w:lastRenderedPageBreak/>
        <w:t xml:space="preserve">This communication has been accepted by the applicant and annexed as annexure “SC5” to the applicants founding </w:t>
      </w:r>
      <w:r w:rsidR="00AD074F" w:rsidRPr="006A411C">
        <w:rPr>
          <w:color w:val="000000" w:themeColor="text1"/>
        </w:rPr>
        <w:t>affidavit.</w:t>
      </w:r>
    </w:p>
    <w:p w14:paraId="543DE3F9" w14:textId="2D7E3B4B" w:rsidR="00AD074F" w:rsidRDefault="00AD074F" w:rsidP="002F741F">
      <w:pPr>
        <w:pStyle w:val="WLGLevel1"/>
        <w:numPr>
          <w:ilvl w:val="0"/>
          <w:numId w:val="0"/>
        </w:numPr>
        <w:spacing w:line="360" w:lineRule="auto"/>
        <w:ind w:left="567" w:hanging="567"/>
        <w:rPr>
          <w:color w:val="000000" w:themeColor="text1"/>
        </w:rPr>
      </w:pPr>
      <w:r w:rsidRPr="00AD074F">
        <w:rPr>
          <w:color w:val="000000" w:themeColor="text1"/>
        </w:rPr>
        <w:t>[1</w:t>
      </w:r>
      <w:r w:rsidR="009B4621">
        <w:rPr>
          <w:color w:val="000000" w:themeColor="text1"/>
        </w:rPr>
        <w:t>8</w:t>
      </w:r>
      <w:r w:rsidRPr="00AD074F">
        <w:rPr>
          <w:color w:val="000000" w:themeColor="text1"/>
        </w:rPr>
        <w:t>.2]</w:t>
      </w:r>
      <w:r>
        <w:rPr>
          <w:color w:val="000000" w:themeColor="text1"/>
        </w:rPr>
        <w:t xml:space="preserve"> The respondents argued that this application for review was only launched in January 2021, about 300 days after the applicant became aware of the decision and the reasons thereof ad therefore far beyond the 180 day period prescribed by statute.</w:t>
      </w:r>
    </w:p>
    <w:p w14:paraId="3A40FBBC" w14:textId="2006A4D7" w:rsidR="007822F5" w:rsidRDefault="00AD074F" w:rsidP="002F741F">
      <w:pPr>
        <w:pStyle w:val="WLGLevel1"/>
        <w:numPr>
          <w:ilvl w:val="0"/>
          <w:numId w:val="0"/>
        </w:numPr>
        <w:spacing w:line="360" w:lineRule="auto"/>
        <w:ind w:left="567" w:hanging="567"/>
        <w:rPr>
          <w:color w:val="000000" w:themeColor="text1"/>
        </w:rPr>
      </w:pPr>
      <w:r>
        <w:rPr>
          <w:color w:val="000000" w:themeColor="text1"/>
        </w:rPr>
        <w:t>[1</w:t>
      </w:r>
      <w:r w:rsidR="009B4621">
        <w:rPr>
          <w:color w:val="000000" w:themeColor="text1"/>
        </w:rPr>
        <w:t>8</w:t>
      </w:r>
      <w:r>
        <w:rPr>
          <w:color w:val="000000" w:themeColor="text1"/>
        </w:rPr>
        <w:t>.3] The respondents contends further that the applicant has not sought an extension of the 180</w:t>
      </w:r>
      <w:r w:rsidR="00DE416D">
        <w:rPr>
          <w:color w:val="000000" w:themeColor="text1"/>
        </w:rPr>
        <w:t>- day period, as provided for in section 9</w:t>
      </w:r>
      <w:r w:rsidR="006A411C">
        <w:rPr>
          <w:color w:val="000000" w:themeColor="text1"/>
        </w:rPr>
        <w:t xml:space="preserve"> </w:t>
      </w:r>
      <w:r w:rsidR="00DE416D">
        <w:rPr>
          <w:color w:val="000000" w:themeColor="text1"/>
        </w:rPr>
        <w:t>(1) of PAJA, that in the absence of an application for the extension of the time-period, the Court has no power to entertain the review</w:t>
      </w:r>
      <w:r w:rsidR="00DE416D">
        <w:rPr>
          <w:rStyle w:val="FootnoteReference"/>
          <w:color w:val="000000" w:themeColor="text1"/>
        </w:rPr>
        <w:footnoteReference w:id="3"/>
      </w:r>
      <w:r w:rsidR="00DE416D">
        <w:rPr>
          <w:color w:val="000000" w:themeColor="text1"/>
        </w:rPr>
        <w:t xml:space="preserve">. </w:t>
      </w:r>
    </w:p>
    <w:p w14:paraId="7181F48A" w14:textId="4DA27161" w:rsidR="00485EB2" w:rsidRDefault="00485EB2" w:rsidP="00485EB2">
      <w:pPr>
        <w:pStyle w:val="WLGLevel1"/>
        <w:numPr>
          <w:ilvl w:val="0"/>
          <w:numId w:val="0"/>
        </w:numPr>
        <w:spacing w:line="360" w:lineRule="auto"/>
        <w:rPr>
          <w:b/>
          <w:bCs/>
        </w:rPr>
      </w:pPr>
      <w:r w:rsidRPr="00700D90">
        <w:rPr>
          <w:b/>
          <w:bCs/>
        </w:rPr>
        <w:t>L</w:t>
      </w:r>
      <w:r w:rsidR="002F741F">
        <w:rPr>
          <w:b/>
          <w:bCs/>
        </w:rPr>
        <w:t>e</w:t>
      </w:r>
      <w:r w:rsidRPr="00700D90">
        <w:rPr>
          <w:b/>
          <w:bCs/>
        </w:rPr>
        <w:t xml:space="preserve">gal framework </w:t>
      </w:r>
      <w:r>
        <w:rPr>
          <w:b/>
          <w:bCs/>
        </w:rPr>
        <w:t>.</w:t>
      </w:r>
      <w:r w:rsidRPr="00700D90">
        <w:rPr>
          <w:b/>
          <w:bCs/>
        </w:rPr>
        <w:t xml:space="preserve"> </w:t>
      </w:r>
    </w:p>
    <w:p w14:paraId="369CEDD7" w14:textId="1777A3F3" w:rsidR="00602676" w:rsidRPr="00602676" w:rsidRDefault="00602676" w:rsidP="002F741F">
      <w:pPr>
        <w:pStyle w:val="WLGLevel1"/>
        <w:numPr>
          <w:ilvl w:val="0"/>
          <w:numId w:val="0"/>
        </w:numPr>
        <w:spacing w:line="360" w:lineRule="auto"/>
        <w:ind w:left="567" w:hanging="567"/>
      </w:pPr>
      <w:r w:rsidRPr="00602676">
        <w:t>[1</w:t>
      </w:r>
      <w:r w:rsidR="009B4621">
        <w:t>9</w:t>
      </w:r>
      <w:r w:rsidRPr="00602676">
        <w:t>]</w:t>
      </w:r>
      <w:r>
        <w:t xml:space="preserve"> </w:t>
      </w:r>
      <w:r w:rsidR="0071180A">
        <w:t xml:space="preserve"> A preliminary procedural question that has to be considered </w:t>
      </w:r>
      <w:r w:rsidR="00001A2D">
        <w:t>in</w:t>
      </w:r>
      <w:r w:rsidR="0071180A">
        <w:t xml:space="preserve"> the judicial process is whether the parties to the litigation have the necessary </w:t>
      </w:r>
      <w:r w:rsidR="0071180A" w:rsidRPr="006A411C">
        <w:rPr>
          <w:i/>
          <w:iCs/>
        </w:rPr>
        <w:t>locus standi in iudicio</w:t>
      </w:r>
      <w:r w:rsidR="0071180A">
        <w:t xml:space="preserve"> or the legal capacity to litigate.</w:t>
      </w:r>
      <w:r w:rsidR="00001A2D">
        <w:rPr>
          <w:rStyle w:val="FootnoteReference"/>
        </w:rPr>
        <w:footnoteReference w:id="4"/>
      </w:r>
    </w:p>
    <w:p w14:paraId="376D3F97" w14:textId="39EE8520" w:rsidR="00001A2D" w:rsidRDefault="00485EB2" w:rsidP="002F741F">
      <w:pPr>
        <w:pStyle w:val="WLGLevel1"/>
        <w:numPr>
          <w:ilvl w:val="0"/>
          <w:numId w:val="0"/>
        </w:numPr>
        <w:spacing w:before="240" w:line="360" w:lineRule="auto"/>
        <w:ind w:left="567" w:hanging="567"/>
      </w:pPr>
      <w:r>
        <w:t>[</w:t>
      </w:r>
      <w:r w:rsidR="009B4621">
        <w:t>20</w:t>
      </w:r>
      <w:r>
        <w:t>]</w:t>
      </w:r>
      <w:r w:rsidR="006A411C">
        <w:t xml:space="preserve"> </w:t>
      </w:r>
      <w:r>
        <w:t xml:space="preserve"> </w:t>
      </w:r>
      <w:r w:rsidR="00602676">
        <w:t xml:space="preserve">It must appear </w:t>
      </w:r>
      <w:r w:rsidR="00602676" w:rsidRPr="00602676">
        <w:rPr>
          <w:i/>
          <w:iCs/>
        </w:rPr>
        <w:t>ex facie</w:t>
      </w:r>
      <w:r w:rsidR="00602676">
        <w:t xml:space="preserve"> </w:t>
      </w:r>
      <w:r>
        <w:t xml:space="preserve"> </w:t>
      </w:r>
      <w:r w:rsidR="00602676">
        <w:t xml:space="preserve">the founding papers that the parties have the necessary legal standing ( </w:t>
      </w:r>
      <w:r w:rsidR="00602676" w:rsidRPr="00602676">
        <w:rPr>
          <w:i/>
          <w:iCs/>
        </w:rPr>
        <w:t>locus standi in iudicio</w:t>
      </w:r>
      <w:r w:rsidR="00602676">
        <w:rPr>
          <w:i/>
          <w:iCs/>
        </w:rPr>
        <w:t>)</w:t>
      </w:r>
      <w:r w:rsidR="00602676">
        <w:rPr>
          <w:rStyle w:val="FootnoteReference"/>
          <w:i/>
          <w:iCs/>
        </w:rPr>
        <w:footnoteReference w:id="5"/>
      </w:r>
      <w:r w:rsidR="00602676">
        <w:rPr>
          <w:i/>
          <w:iCs/>
        </w:rPr>
        <w:t>.</w:t>
      </w:r>
      <w:r w:rsidR="0071180A">
        <w:rPr>
          <w:i/>
          <w:iCs/>
        </w:rPr>
        <w:t xml:space="preserve">  </w:t>
      </w:r>
      <w:r w:rsidR="0071180A" w:rsidRPr="0071180A">
        <w:t>This is closely connected to the question of whether practical effect can be given to the order made</w:t>
      </w:r>
      <w:r w:rsidR="0071180A">
        <w:t xml:space="preserve">. </w:t>
      </w:r>
    </w:p>
    <w:p w14:paraId="2F94FEEE" w14:textId="1EAED506" w:rsidR="0071180A" w:rsidRDefault="00001A2D" w:rsidP="002F741F">
      <w:pPr>
        <w:pStyle w:val="WLGLevel1"/>
        <w:numPr>
          <w:ilvl w:val="0"/>
          <w:numId w:val="0"/>
        </w:numPr>
        <w:spacing w:before="240" w:line="360" w:lineRule="auto"/>
        <w:ind w:left="567" w:hanging="567"/>
        <w:rPr>
          <w:i/>
          <w:iCs/>
        </w:rPr>
      </w:pPr>
      <w:r>
        <w:t>[</w:t>
      </w:r>
      <w:r w:rsidR="009B4621">
        <w:t>21</w:t>
      </w:r>
      <w:r>
        <w:t>]</w:t>
      </w:r>
      <w:r w:rsidR="006A411C">
        <w:t xml:space="preserve"> </w:t>
      </w:r>
      <w:r>
        <w:t xml:space="preserve"> It is trite that a party relying on a cession must allege and prove the contract of cession</w:t>
      </w:r>
      <w:r>
        <w:rPr>
          <w:rStyle w:val="FootnoteReference"/>
        </w:rPr>
        <w:footnoteReference w:id="6"/>
      </w:r>
      <w:r>
        <w:t>.</w:t>
      </w:r>
      <w:r w:rsidR="0071180A">
        <w:rPr>
          <w:i/>
          <w:iCs/>
        </w:rPr>
        <w:t xml:space="preserve"> </w:t>
      </w:r>
      <w:r w:rsidR="00CE16D0" w:rsidRPr="00CE16D0">
        <w:t>In Gaint Concerts CC and Rinaldo Investments &amp; others,</w:t>
      </w:r>
      <w:r w:rsidR="006A411C">
        <w:t xml:space="preserve"> </w:t>
      </w:r>
      <w:r w:rsidR="00CE16D0" w:rsidRPr="00CE16D0">
        <w:t xml:space="preserve">the court </w:t>
      </w:r>
      <w:r w:rsidR="00CE16D0" w:rsidRPr="00CE16D0">
        <w:lastRenderedPageBreak/>
        <w:t>explained that a successful challenge to a public decision can be brought only</w:t>
      </w:r>
      <w:r w:rsidR="00CE16D0">
        <w:rPr>
          <w:i/>
          <w:iCs/>
        </w:rPr>
        <w:t xml:space="preserve"> if “the right remedy is sought by the right person in the right proceedings</w:t>
      </w:r>
      <w:r w:rsidR="00D272E9">
        <w:rPr>
          <w:rStyle w:val="FootnoteReference"/>
          <w:i/>
          <w:iCs/>
        </w:rPr>
        <w:footnoteReference w:id="7"/>
      </w:r>
      <w:r w:rsidR="00CE16D0">
        <w:rPr>
          <w:i/>
          <w:iCs/>
        </w:rPr>
        <w:t>.”</w:t>
      </w:r>
      <w:r w:rsidR="0071180A">
        <w:rPr>
          <w:i/>
          <w:iCs/>
        </w:rPr>
        <w:t xml:space="preserve">       </w:t>
      </w:r>
    </w:p>
    <w:p w14:paraId="3DEB3512" w14:textId="79E2EF28" w:rsidR="00485EB2" w:rsidRDefault="00CE16D0" w:rsidP="002F741F">
      <w:pPr>
        <w:pStyle w:val="WLGLevel1"/>
        <w:numPr>
          <w:ilvl w:val="0"/>
          <w:numId w:val="0"/>
        </w:numPr>
        <w:spacing w:before="240" w:line="360" w:lineRule="auto"/>
        <w:ind w:left="720" w:hanging="720"/>
      </w:pPr>
      <w:r w:rsidRPr="00CE16D0">
        <w:t>[2</w:t>
      </w:r>
      <w:r w:rsidR="009B4621">
        <w:t>2</w:t>
      </w:r>
      <w:r w:rsidRPr="00CE16D0">
        <w:t>]</w:t>
      </w:r>
      <w:r>
        <w:t xml:space="preserve"> A</w:t>
      </w:r>
      <w:r>
        <w:tab/>
      </w:r>
      <w:r>
        <w:rPr>
          <w:i/>
          <w:iCs/>
        </w:rPr>
        <w:t xml:space="preserve"> </w:t>
      </w:r>
      <w:r w:rsidR="00A3447F">
        <w:t>review under the Promotion of Administrative Justice Act,3 of 2000 may only be instituted once all the internal remedies have been exhausted. Section 7(2)(a) of Act No 3 of 2003 (</w:t>
      </w:r>
      <w:r w:rsidR="00710B29">
        <w:t>“PAJA”) provides as follows:</w:t>
      </w:r>
    </w:p>
    <w:p w14:paraId="314DB22B" w14:textId="326EBDE6" w:rsidR="00710B29" w:rsidRDefault="00710B29" w:rsidP="002F741F">
      <w:pPr>
        <w:pStyle w:val="WLGLevel1"/>
        <w:numPr>
          <w:ilvl w:val="0"/>
          <w:numId w:val="0"/>
        </w:numPr>
        <w:spacing w:line="360" w:lineRule="auto"/>
        <w:ind w:left="720"/>
      </w:pPr>
      <w:r>
        <w:t>“ Subject to paragraph (c), no court or tribunal shall review an administrative action in terms of this Act u</w:t>
      </w:r>
      <w:r w:rsidR="00CE16D0">
        <w:t>n</w:t>
      </w:r>
      <w:r>
        <w:t>less any internal remedy provided for in any other law has first been exhausted</w:t>
      </w:r>
      <w:r w:rsidR="00BC2856">
        <w:rPr>
          <w:rStyle w:val="FootnoteReference"/>
        </w:rPr>
        <w:footnoteReference w:id="8"/>
      </w:r>
      <w:r w:rsidR="00CE16D0">
        <w:t>.</w:t>
      </w:r>
      <w:r>
        <w:t>”</w:t>
      </w:r>
    </w:p>
    <w:p w14:paraId="48D9D775" w14:textId="5166E1EB" w:rsidR="00CE16D0" w:rsidRDefault="00CE16D0" w:rsidP="00D31986">
      <w:pPr>
        <w:pStyle w:val="WLGLevel1"/>
        <w:numPr>
          <w:ilvl w:val="0"/>
          <w:numId w:val="0"/>
        </w:numPr>
        <w:spacing w:line="360" w:lineRule="auto"/>
      </w:pPr>
      <w:r>
        <w:t>[2</w:t>
      </w:r>
      <w:r w:rsidR="009B4621">
        <w:t>3</w:t>
      </w:r>
      <w:r>
        <w:t>] Paragraph (c) provides that:</w:t>
      </w:r>
    </w:p>
    <w:p w14:paraId="65C69FE1" w14:textId="72C1E0FE" w:rsidR="00CE16D0" w:rsidRDefault="00CE16D0" w:rsidP="002F741F">
      <w:pPr>
        <w:pStyle w:val="WLGLevel1"/>
        <w:numPr>
          <w:ilvl w:val="0"/>
          <w:numId w:val="0"/>
        </w:numPr>
        <w:spacing w:line="360" w:lineRule="auto"/>
        <w:ind w:left="567"/>
      </w:pPr>
      <w:r>
        <w:t>“ A court or tribunal may, in exceptional circumstances and on application by the person concerned, exempt such a person from the obligation to exhaust any internal remedy if the court or tribunal deems it in the interest of justice”.</w:t>
      </w:r>
    </w:p>
    <w:p w14:paraId="7A5585DE" w14:textId="59F4EACC" w:rsidR="007133A8" w:rsidRDefault="007133A8" w:rsidP="002F741F">
      <w:pPr>
        <w:pStyle w:val="WLGLevel1"/>
        <w:numPr>
          <w:ilvl w:val="0"/>
          <w:numId w:val="0"/>
        </w:numPr>
        <w:spacing w:line="360" w:lineRule="auto"/>
        <w:ind w:left="567" w:hanging="567"/>
      </w:pPr>
      <w:r>
        <w:t>[2</w:t>
      </w:r>
      <w:r w:rsidR="009B4621">
        <w:t>4</w:t>
      </w:r>
      <w:r>
        <w:t xml:space="preserve">] The legislative framework mentioned supra provides for an internal remedy, as contemplated in section 7(2)(a) of Act No 3 of 2000. In the same vein section 62 of the Local Government: Municipal Systems Act, 32 of 2000 mentioned </w:t>
      </w:r>
      <w:r w:rsidRPr="007133A8">
        <w:rPr>
          <w:i/>
          <w:iCs/>
        </w:rPr>
        <w:t>supra</w:t>
      </w:r>
      <w:r>
        <w:t xml:space="preserve"> in this judgment  provides as follows:</w:t>
      </w:r>
    </w:p>
    <w:p w14:paraId="77E430D1" w14:textId="275EEC3A" w:rsidR="007133A8" w:rsidRDefault="007133A8" w:rsidP="002F741F">
      <w:pPr>
        <w:pStyle w:val="WLGLevel1"/>
        <w:numPr>
          <w:ilvl w:val="0"/>
          <w:numId w:val="0"/>
        </w:numPr>
        <w:spacing w:line="360" w:lineRule="auto"/>
        <w:ind w:left="567"/>
      </w:pPr>
      <w:r>
        <w:t xml:space="preserve">“A person whose rights  are effected by a decision taken by a political structure, political office bearer, councillor or staff member of a municipality, in terms of a power or duty delegated or sub-delegated by a delegating authority to the political structure, political office bearer, councillor or staff member, </w:t>
      </w:r>
      <w:r w:rsidRPr="00D5173B">
        <w:rPr>
          <w:b/>
          <w:bCs/>
          <w:i/>
          <w:iCs/>
        </w:rPr>
        <w:t xml:space="preserve">may </w:t>
      </w:r>
      <w:r w:rsidR="00D5173B" w:rsidRPr="00D5173B">
        <w:rPr>
          <w:b/>
          <w:bCs/>
          <w:i/>
          <w:iCs/>
        </w:rPr>
        <w:t>appeal against that decision</w:t>
      </w:r>
      <w:r w:rsidR="00D5173B">
        <w:t xml:space="preserve"> by giving written notice of the appeal and reasons to the municipal manager within 21 days of the date of the notification of the decision”.</w:t>
      </w:r>
    </w:p>
    <w:p w14:paraId="3539B637" w14:textId="7711707A" w:rsidR="00D5173B" w:rsidRDefault="00D5173B" w:rsidP="002F741F">
      <w:pPr>
        <w:pStyle w:val="WLGLevel1"/>
        <w:numPr>
          <w:ilvl w:val="0"/>
          <w:numId w:val="0"/>
        </w:numPr>
        <w:spacing w:line="360" w:lineRule="auto"/>
        <w:ind w:left="567" w:hanging="567"/>
      </w:pPr>
      <w:r>
        <w:lastRenderedPageBreak/>
        <w:t>[2</w:t>
      </w:r>
      <w:r w:rsidR="009B4621">
        <w:t>5</w:t>
      </w:r>
      <w:r>
        <w:t xml:space="preserve">] The Supreme court of Appeal held in Nichol and Another v Registrar of Pension Funds and Others </w:t>
      </w:r>
      <w:r>
        <w:rPr>
          <w:rStyle w:val="FootnoteReference"/>
        </w:rPr>
        <w:footnoteReference w:id="9"/>
      </w:r>
      <w:r>
        <w:t xml:space="preserve">that PAJA made it </w:t>
      </w:r>
      <w:r w:rsidRPr="005B00AA">
        <w:rPr>
          <w:u w:val="single"/>
        </w:rPr>
        <w:t>compulsory</w:t>
      </w:r>
      <w:r>
        <w:t xml:space="preserve"> for an aggrieved party always to exhaust internal remedies unless exempted therefrom by way of a successful application under section 7(2)(c).</w:t>
      </w:r>
    </w:p>
    <w:p w14:paraId="61F4FAF5" w14:textId="04CE929B" w:rsidR="00E919FD" w:rsidRDefault="00E919FD" w:rsidP="002F741F">
      <w:pPr>
        <w:pStyle w:val="WLGLevel1"/>
        <w:numPr>
          <w:ilvl w:val="0"/>
          <w:numId w:val="0"/>
        </w:numPr>
        <w:spacing w:line="360" w:lineRule="auto"/>
        <w:ind w:left="567" w:hanging="567"/>
      </w:pPr>
      <w:r>
        <w:t>[2</w:t>
      </w:r>
      <w:r w:rsidR="009B4621">
        <w:t>6</w:t>
      </w:r>
      <w:r>
        <w:t>] Section 7(2)(a) of PAJA provides, in peremptory terms, subject to paragraph (c), that no court or tribunal shall review an administrative action in terms of this Act unless any internal remedy provided for in ant other law has first been exhausted.</w:t>
      </w:r>
    </w:p>
    <w:p w14:paraId="7F0823D0" w14:textId="3839974C" w:rsidR="00CE16D0" w:rsidRDefault="00E919FD" w:rsidP="002F741F">
      <w:pPr>
        <w:pStyle w:val="WLGLevel1"/>
        <w:numPr>
          <w:ilvl w:val="0"/>
          <w:numId w:val="0"/>
        </w:numPr>
        <w:spacing w:line="360" w:lineRule="auto"/>
        <w:ind w:left="567" w:hanging="567"/>
      </w:pPr>
      <w:r>
        <w:t>[2</w:t>
      </w:r>
      <w:r w:rsidR="009B4621">
        <w:t>7</w:t>
      </w:r>
      <w:r>
        <w:t>] Section 7(1) of PAJA provides, in peremptory terms, that proceedings for a judicial review must be instituted without unreasonable delay and not later than 180 days after the date on which internal remedies were concluded or, where no such remedies exist, when the person was informed or might reasonably be expected to have become aware of the decision</w:t>
      </w:r>
      <w:r w:rsidR="003E321A">
        <w:rPr>
          <w:rStyle w:val="FootnoteReference"/>
        </w:rPr>
        <w:footnoteReference w:id="10"/>
      </w:r>
      <w:r>
        <w:t>.</w:t>
      </w:r>
    </w:p>
    <w:p w14:paraId="7D893DDC" w14:textId="77777777" w:rsidR="00710B29" w:rsidRDefault="00710B29" w:rsidP="00D31986">
      <w:pPr>
        <w:pStyle w:val="WLGLevel1"/>
        <w:numPr>
          <w:ilvl w:val="0"/>
          <w:numId w:val="0"/>
        </w:numPr>
        <w:spacing w:line="360" w:lineRule="auto"/>
      </w:pPr>
    </w:p>
    <w:p w14:paraId="035FC763" w14:textId="0B81CDC5" w:rsidR="00485EB2" w:rsidRDefault="00485EB2" w:rsidP="00485EB2">
      <w:pPr>
        <w:pStyle w:val="WLGLevel1"/>
        <w:numPr>
          <w:ilvl w:val="0"/>
          <w:numId w:val="0"/>
        </w:numPr>
        <w:spacing w:line="360" w:lineRule="auto"/>
      </w:pPr>
      <w:r>
        <w:rPr>
          <w:b/>
          <w:bCs/>
        </w:rPr>
        <w:t>A</w:t>
      </w:r>
      <w:r w:rsidRPr="00700D90">
        <w:rPr>
          <w:b/>
          <w:bCs/>
        </w:rPr>
        <w:t>pplication of the law</w:t>
      </w:r>
      <w:r w:rsidR="007822F5">
        <w:rPr>
          <w:b/>
          <w:bCs/>
        </w:rPr>
        <w:t>.</w:t>
      </w:r>
    </w:p>
    <w:p w14:paraId="60FD9807" w14:textId="2AF8D33B" w:rsidR="003C76BD" w:rsidRDefault="00485EB2" w:rsidP="003C76BD">
      <w:pPr>
        <w:pStyle w:val="WLGLevel1"/>
        <w:numPr>
          <w:ilvl w:val="0"/>
          <w:numId w:val="0"/>
        </w:numPr>
        <w:spacing w:before="0" w:after="0" w:line="360" w:lineRule="auto"/>
        <w:ind w:left="567" w:hanging="567"/>
      </w:pPr>
      <w:r>
        <w:t>[</w:t>
      </w:r>
      <w:r w:rsidR="009C6704">
        <w:t>2</w:t>
      </w:r>
      <w:r w:rsidR="009B4621">
        <w:t>8</w:t>
      </w:r>
      <w:r w:rsidR="007822F5">
        <w:t>]</w:t>
      </w:r>
      <w:r>
        <w:t xml:space="preserve"> </w:t>
      </w:r>
      <w:r w:rsidR="007822F5">
        <w:t xml:space="preserve">As adumbrated </w:t>
      </w:r>
      <w:r w:rsidR="007822F5" w:rsidRPr="007822F5">
        <w:rPr>
          <w:i/>
          <w:iCs/>
        </w:rPr>
        <w:t xml:space="preserve">supra </w:t>
      </w:r>
      <w:r w:rsidR="007822F5" w:rsidRPr="007822F5">
        <w:t>it is apposite to mention that</w:t>
      </w:r>
      <w:r w:rsidR="007822F5">
        <w:rPr>
          <w:i/>
          <w:iCs/>
        </w:rPr>
        <w:t xml:space="preserve"> </w:t>
      </w:r>
      <w:r w:rsidR="007822F5" w:rsidRPr="007822F5">
        <w:t xml:space="preserve"> the </w:t>
      </w:r>
      <w:r w:rsidR="007822F5">
        <w:t>bidder in respect of tender USD EE 15-2018/19 (the first tender) was a joint venture consisting of the applicant and one Phumelela Dlomo Construction(Pty) Ltd. The joint venture is not a party to this application, nor is Phumelela Dlomo Construction (Pty) Ltd, the other partner to the joint venture.</w:t>
      </w:r>
      <w:r w:rsidR="000A59AE">
        <w:t xml:space="preserve"> As far as the joint venture is concerned, the Court cannot make an order that the applicant, who was not the bidder in relation to bid USD EE 15-2018/19, can be approved as successful bidder.</w:t>
      </w:r>
      <w:r w:rsidR="00C33A06">
        <w:t xml:space="preserve"> The applicant has no </w:t>
      </w:r>
      <w:r w:rsidR="00C33A06" w:rsidRPr="00C33A06">
        <w:rPr>
          <w:i/>
          <w:iCs/>
        </w:rPr>
        <w:t>locus standi</w:t>
      </w:r>
      <w:r w:rsidR="00C33A06">
        <w:t xml:space="preserve"> </w:t>
      </w:r>
      <w:r w:rsidR="00C33A06">
        <w:lastRenderedPageBreak/>
        <w:t xml:space="preserve">to bring this review application on behalf of the Joint venture </w:t>
      </w:r>
      <w:r w:rsidR="00EC3598">
        <w:t xml:space="preserve">by virtue of this Point </w:t>
      </w:r>
      <w:r w:rsidR="00EC3598" w:rsidRPr="00EC3598">
        <w:rPr>
          <w:i/>
          <w:iCs/>
        </w:rPr>
        <w:t>in limine</w:t>
      </w:r>
      <w:r w:rsidR="00EC3598">
        <w:t xml:space="preserve"> alone the applicant’s sought relief that this court must </w:t>
      </w:r>
      <w:r w:rsidR="00EC3598" w:rsidRPr="00EC3598">
        <w:rPr>
          <w:i/>
          <w:iCs/>
        </w:rPr>
        <w:t>review and set aside the decision take by the respondents with regard to tender number USD EE 15-2018/19 (“The First Tender”) and; order approving the applicant as a valid tender. Ordering the applicant as the successful bidder for the First Tender</w:t>
      </w:r>
      <w:r w:rsidR="00EC3598" w:rsidRPr="00EC3598">
        <w:t xml:space="preserve"> is impractical and legally flawed.</w:t>
      </w:r>
      <w:r w:rsidR="003C76BD">
        <w:t xml:space="preserve"> The ineluctable conclusion is that the applicant has no </w:t>
      </w:r>
      <w:r w:rsidR="003C76BD" w:rsidRPr="00F403A2">
        <w:rPr>
          <w:i/>
          <w:iCs/>
        </w:rPr>
        <w:t>locus standi</w:t>
      </w:r>
      <w:r w:rsidR="003C76BD">
        <w:t xml:space="preserve"> whatsoever to initiate theses proceedings in connection with the relief sought relating to the joint venture.</w:t>
      </w:r>
      <w:r w:rsidR="00D272E9">
        <w:t xml:space="preserve"> A successful challenge to a public decision can be brought only if “</w:t>
      </w:r>
      <w:r w:rsidR="00D272E9" w:rsidRPr="002F741F">
        <w:rPr>
          <w:i/>
          <w:iCs/>
        </w:rPr>
        <w:t>the right remedy is sought by the right person in the right proceedings</w:t>
      </w:r>
      <w:r w:rsidR="00D272E9">
        <w:t>”</w:t>
      </w:r>
      <w:r w:rsidR="00D272E9">
        <w:rPr>
          <w:rStyle w:val="FootnoteReference"/>
        </w:rPr>
        <w:footnoteReference w:id="11"/>
      </w:r>
      <w:r w:rsidR="00D272E9">
        <w:t xml:space="preserve">. </w:t>
      </w:r>
    </w:p>
    <w:p w14:paraId="485B3EDE" w14:textId="77777777" w:rsidR="003C76BD" w:rsidRDefault="003C76BD" w:rsidP="003C76BD">
      <w:pPr>
        <w:pStyle w:val="WLGLevel1"/>
        <w:numPr>
          <w:ilvl w:val="0"/>
          <w:numId w:val="0"/>
        </w:numPr>
        <w:spacing w:before="0" w:after="0" w:line="360" w:lineRule="auto"/>
        <w:ind w:left="567" w:hanging="567"/>
      </w:pPr>
    </w:p>
    <w:p w14:paraId="7673527A" w14:textId="08F03DF8" w:rsidR="000A59AE" w:rsidRDefault="000A59AE" w:rsidP="003C76BD">
      <w:pPr>
        <w:pStyle w:val="WLGLevel1"/>
        <w:numPr>
          <w:ilvl w:val="0"/>
          <w:numId w:val="0"/>
        </w:numPr>
        <w:spacing w:before="0" w:after="0" w:line="360" w:lineRule="auto"/>
        <w:ind w:left="567" w:hanging="567"/>
      </w:pPr>
      <w:r>
        <w:t>[</w:t>
      </w:r>
      <w:r w:rsidR="009C6704">
        <w:t>2</w:t>
      </w:r>
      <w:r w:rsidR="009B4621">
        <w:t>9</w:t>
      </w:r>
      <w:r>
        <w:t>] The applicant alleges</w:t>
      </w:r>
      <w:r>
        <w:rPr>
          <w:rStyle w:val="FootnoteReference"/>
        </w:rPr>
        <w:footnoteReference w:id="12"/>
      </w:r>
      <w:r>
        <w:t xml:space="preserve"> </w:t>
      </w:r>
      <w:r w:rsidRPr="000A59AE">
        <w:rPr>
          <w:i/>
          <w:iCs/>
        </w:rPr>
        <w:t xml:space="preserve">that </w:t>
      </w:r>
      <w:r>
        <w:rPr>
          <w:i/>
          <w:iCs/>
        </w:rPr>
        <w:t>“…the joint venture partner has ceded all rights and permission to litigate against the City of T</w:t>
      </w:r>
      <w:r w:rsidR="00C33A06">
        <w:rPr>
          <w:i/>
          <w:iCs/>
        </w:rPr>
        <w:t>shwane Metropolitan  Municipality, as regards the dispute on this tender, as annexed hereto annexure ‘SC4’</w:t>
      </w:r>
      <w:r w:rsidR="00F403A2">
        <w:t>”</w:t>
      </w:r>
      <w:r w:rsidR="00C33A06" w:rsidRPr="003C76BD">
        <w:t>.</w:t>
      </w:r>
      <w:r w:rsidR="00F403A2">
        <w:t xml:space="preserve"> </w:t>
      </w:r>
      <w:r w:rsidR="003C76BD" w:rsidRPr="003C76BD">
        <w:t>The applicant by these pleaded facts seeks to enforce the rights of the joint venture by acting as cessionary of the joint venture but fails to plead the conclusion and terms of the cession. The applicant has failed to</w:t>
      </w:r>
      <w:r w:rsidR="00D90313">
        <w:t xml:space="preserve"> plead a contract of cession with the joint venture nor </w:t>
      </w:r>
      <w:r w:rsidR="003C76BD" w:rsidRPr="003C76BD">
        <w:t xml:space="preserve"> produce </w:t>
      </w:r>
      <w:r w:rsidR="003C76BD" w:rsidRPr="00F403A2">
        <w:rPr>
          <w:i/>
          <w:iCs/>
        </w:rPr>
        <w:t>prima facie</w:t>
      </w:r>
      <w:r w:rsidR="003C76BD" w:rsidRPr="003C76BD">
        <w:t xml:space="preserve"> proof </w:t>
      </w:r>
      <w:r w:rsidR="003C76BD">
        <w:t>thereof, since the contract of cession is the contract in terms of which the joint venture’s rights would have been transferred to the applicant.</w:t>
      </w:r>
      <w:r w:rsidR="00D90313">
        <w:t xml:space="preserve"> The production in evidence of an apparently regular and valid cession provides </w:t>
      </w:r>
      <w:r w:rsidR="00D90313" w:rsidRPr="00F403A2">
        <w:rPr>
          <w:i/>
          <w:iCs/>
        </w:rPr>
        <w:t>prima facie</w:t>
      </w:r>
      <w:r w:rsidR="00D90313">
        <w:t xml:space="preserve"> proof of cession </w:t>
      </w:r>
      <w:r w:rsidR="00D90313">
        <w:rPr>
          <w:rStyle w:val="FootnoteReference"/>
        </w:rPr>
        <w:footnoteReference w:id="13"/>
      </w:r>
    </w:p>
    <w:p w14:paraId="7F8AC75D" w14:textId="77777777" w:rsidR="00D90313" w:rsidRDefault="00D90313" w:rsidP="003C76BD">
      <w:pPr>
        <w:pStyle w:val="WLGLevel1"/>
        <w:numPr>
          <w:ilvl w:val="0"/>
          <w:numId w:val="0"/>
        </w:numPr>
        <w:spacing w:before="0" w:after="0" w:line="360" w:lineRule="auto"/>
        <w:ind w:left="567" w:hanging="567"/>
      </w:pPr>
    </w:p>
    <w:p w14:paraId="032926C0" w14:textId="55321F88" w:rsidR="00D90313" w:rsidRDefault="00D90313" w:rsidP="003C76BD">
      <w:pPr>
        <w:pStyle w:val="WLGLevel1"/>
        <w:numPr>
          <w:ilvl w:val="0"/>
          <w:numId w:val="0"/>
        </w:numPr>
        <w:spacing w:before="0" w:after="0" w:line="360" w:lineRule="auto"/>
        <w:ind w:left="567" w:hanging="567"/>
      </w:pPr>
      <w:r>
        <w:t>[</w:t>
      </w:r>
      <w:r w:rsidR="009B4621">
        <w:t>30</w:t>
      </w:r>
      <w:r>
        <w:t>] The reliance by the applicant on the confirmatory affidavit deposed to by one Sibongile Portia Lethatha</w:t>
      </w:r>
      <w:r>
        <w:rPr>
          <w:rStyle w:val="FootnoteReference"/>
        </w:rPr>
        <w:footnoteReference w:id="14"/>
      </w:r>
      <w:r w:rsidR="002F741F">
        <w:t xml:space="preserve"> </w:t>
      </w:r>
      <w:r w:rsidR="00E73D12">
        <w:t xml:space="preserve">is of no assistance to this Court moreover, the allegations made by Sibongile Portia Lethatha is hearsay evidence, which is inadmissible, and it therefore falls to be struck out.  I found no evidence of annexed </w:t>
      </w:r>
      <w:r w:rsidR="00E73D12">
        <w:lastRenderedPageBreak/>
        <w:t xml:space="preserve">resolution by Phumelela Dlomo Construction(Pty) Ltd, confirming her authority to act on its behalf from the documents filed of records. In addition to the above, no confirmation of her alleged directorship in Phumelela Dlomo Construction(Pty) Ltd from the Companies and Intellectual Property Commission (“CIPC”) had been annexed to the </w:t>
      </w:r>
      <w:r w:rsidR="00F403A2">
        <w:t xml:space="preserve">applicants </w:t>
      </w:r>
      <w:r w:rsidR="00E73D12">
        <w:t>founding affidavit.</w:t>
      </w:r>
    </w:p>
    <w:p w14:paraId="1D05464E" w14:textId="77777777" w:rsidR="0096347B" w:rsidRDefault="0096347B" w:rsidP="003C76BD">
      <w:pPr>
        <w:pStyle w:val="WLGLevel1"/>
        <w:numPr>
          <w:ilvl w:val="0"/>
          <w:numId w:val="0"/>
        </w:numPr>
        <w:spacing w:before="0" w:after="0" w:line="360" w:lineRule="auto"/>
        <w:ind w:left="567" w:hanging="567"/>
      </w:pPr>
    </w:p>
    <w:p w14:paraId="177F0A5A" w14:textId="3E1E4096" w:rsidR="0096347B" w:rsidRDefault="0096347B" w:rsidP="003C76BD">
      <w:pPr>
        <w:pStyle w:val="WLGLevel1"/>
        <w:numPr>
          <w:ilvl w:val="0"/>
          <w:numId w:val="0"/>
        </w:numPr>
        <w:spacing w:before="0" w:after="0" w:line="360" w:lineRule="auto"/>
        <w:ind w:left="567" w:hanging="567"/>
      </w:pPr>
      <w:r>
        <w:t>[</w:t>
      </w:r>
      <w:r w:rsidR="009B4621">
        <w:t>31</w:t>
      </w:r>
      <w:r>
        <w:t xml:space="preserve">] As regards the </w:t>
      </w:r>
      <w:r w:rsidR="00F403A2">
        <w:t>(“</w:t>
      </w:r>
      <w:r>
        <w:t>PAJA</w:t>
      </w:r>
      <w:r w:rsidR="00F403A2">
        <w:t>”)</w:t>
      </w:r>
      <w:r>
        <w:t xml:space="preserve"> legislative framework adumbrated </w:t>
      </w:r>
      <w:r w:rsidRPr="0096347B">
        <w:rPr>
          <w:i/>
          <w:iCs/>
        </w:rPr>
        <w:t>supra</w:t>
      </w:r>
      <w:r>
        <w:t xml:space="preserve">, the applicant ought to have availed itself of the internal appeal process before approaching this court for the review of the allegedly  impugned decision, but it failed to do so. A perfunctory read of the </w:t>
      </w:r>
      <w:r w:rsidR="00F403A2">
        <w:t>applicant’s</w:t>
      </w:r>
      <w:r>
        <w:t xml:space="preserve"> founding affidavit  is evident that no appeal was lodged that complies with section 62 of the Local Government :Municipal Systems Act, 32 of 2000 ( “the MSA”). In </w:t>
      </w:r>
      <w:r w:rsidR="00DD714D">
        <w:t>fact,</w:t>
      </w:r>
      <w:r>
        <w:t xml:space="preserve"> the </w:t>
      </w:r>
      <w:r w:rsidR="00DD714D">
        <w:t>document purportedly constituting the “appeal” was not directed to the first respondent’s municipal manager, as provided for in section 62 of the Municipal Systems Act and, on this basis, it is therefore invalid. Even if the Court were to accept the contention of the applicant that the “appeal” was validly lodge, but in the main there is no decision in respect of such an appeal that has been pleaded nor annexed to the applicant’s founding affidavit. It follows from the above that the applicant has not exhausted the internal remedies provided in terms of section 62 as mentioned above.</w:t>
      </w:r>
    </w:p>
    <w:p w14:paraId="19792B60" w14:textId="77777777" w:rsidR="00DD714D" w:rsidRDefault="00DD714D" w:rsidP="003C76BD">
      <w:pPr>
        <w:pStyle w:val="WLGLevel1"/>
        <w:numPr>
          <w:ilvl w:val="0"/>
          <w:numId w:val="0"/>
        </w:numPr>
        <w:spacing w:before="0" w:after="0" w:line="360" w:lineRule="auto"/>
        <w:ind w:left="567" w:hanging="567"/>
      </w:pPr>
    </w:p>
    <w:p w14:paraId="6E5D746E" w14:textId="2825B30F" w:rsidR="00212F07" w:rsidRDefault="00DD714D" w:rsidP="00212F07">
      <w:pPr>
        <w:pStyle w:val="WLGLevel1"/>
        <w:numPr>
          <w:ilvl w:val="0"/>
          <w:numId w:val="0"/>
        </w:numPr>
        <w:spacing w:before="0" w:after="0" w:line="360" w:lineRule="auto"/>
        <w:ind w:left="567" w:hanging="567"/>
      </w:pPr>
      <w:r>
        <w:t>[3</w:t>
      </w:r>
      <w:r w:rsidR="009B4621">
        <w:t>2</w:t>
      </w:r>
      <w:r>
        <w:t>]</w:t>
      </w:r>
      <w:r w:rsidR="00212F07">
        <w:t xml:space="preserve">  The applicant has also failed to comply with the </w:t>
      </w:r>
      <w:r w:rsidR="0021002E">
        <w:t>peremptory</w:t>
      </w:r>
      <w:r w:rsidR="00212F07">
        <w:t xml:space="preserve"> provisions of section 7(2)(c) of PAJA </w:t>
      </w:r>
      <w:r w:rsidR="0021002E">
        <w:t xml:space="preserve">which make it compulsory for an aggrieved party to always exhaust internal remedies unless exempted therefrom by way of a successful application under section 7(2)(c). The applicant has further not sought exemption from its obligation to exhaust all internal remedies in terms of the provisions of section 7(2)(c)  of PAJA. </w:t>
      </w:r>
    </w:p>
    <w:p w14:paraId="2DDB6DB2" w14:textId="77777777" w:rsidR="009C6704" w:rsidRDefault="009C6704" w:rsidP="00212F07">
      <w:pPr>
        <w:pStyle w:val="WLGLevel1"/>
        <w:numPr>
          <w:ilvl w:val="0"/>
          <w:numId w:val="0"/>
        </w:numPr>
        <w:spacing w:before="0" w:after="0" w:line="360" w:lineRule="auto"/>
        <w:ind w:left="567" w:hanging="567"/>
      </w:pPr>
    </w:p>
    <w:p w14:paraId="15ECB031" w14:textId="12168A92" w:rsidR="0021002E" w:rsidRDefault="0021002E" w:rsidP="002F741F">
      <w:pPr>
        <w:pStyle w:val="WLGLevel1"/>
        <w:numPr>
          <w:ilvl w:val="0"/>
          <w:numId w:val="0"/>
        </w:numPr>
        <w:spacing w:before="0" w:after="0" w:line="360" w:lineRule="auto"/>
        <w:ind w:left="567" w:hanging="567"/>
      </w:pPr>
      <w:r>
        <w:t>[3</w:t>
      </w:r>
      <w:r w:rsidR="009B4621">
        <w:t>3</w:t>
      </w:r>
      <w:r>
        <w:t xml:space="preserve">] </w:t>
      </w:r>
      <w:r w:rsidR="002F741F">
        <w:t xml:space="preserve"> </w:t>
      </w:r>
      <w:r>
        <w:t xml:space="preserve">As adumbrated </w:t>
      </w:r>
      <w:r w:rsidRPr="002D7800">
        <w:rPr>
          <w:i/>
          <w:iCs/>
        </w:rPr>
        <w:t>supra,</w:t>
      </w:r>
      <w:r>
        <w:t xml:space="preserve"> section 7(2)(a) of PAJA provides, in peremptory terms, subject to paragraph (c), that no court or tribunal shall review an administrative action in terms of this Act unless any internal remedy provided for in any other law has first been exhausted.</w:t>
      </w:r>
    </w:p>
    <w:p w14:paraId="27628A9F" w14:textId="77777777" w:rsidR="00662EFF" w:rsidRDefault="00662EFF" w:rsidP="00212F07">
      <w:pPr>
        <w:pStyle w:val="WLGLevel1"/>
        <w:numPr>
          <w:ilvl w:val="0"/>
          <w:numId w:val="0"/>
        </w:numPr>
        <w:spacing w:before="0" w:after="0" w:line="360" w:lineRule="auto"/>
        <w:ind w:left="567" w:hanging="567"/>
      </w:pPr>
    </w:p>
    <w:p w14:paraId="2755D90D" w14:textId="24E35C0D" w:rsidR="00D9759F" w:rsidRDefault="00D9759F" w:rsidP="00212F07">
      <w:pPr>
        <w:pStyle w:val="WLGLevel1"/>
        <w:numPr>
          <w:ilvl w:val="0"/>
          <w:numId w:val="0"/>
        </w:numPr>
        <w:spacing w:before="0" w:after="0" w:line="360" w:lineRule="auto"/>
        <w:ind w:left="567" w:hanging="567"/>
      </w:pPr>
      <w:r>
        <w:t>[3</w:t>
      </w:r>
      <w:r w:rsidR="009B4621">
        <w:t>4</w:t>
      </w:r>
      <w:r>
        <w:t xml:space="preserve">]  Given the fact that the applicant has neither establish that it has exhausted all internal </w:t>
      </w:r>
      <w:r w:rsidR="007C11EE">
        <w:t>remedies,</w:t>
      </w:r>
      <w:r>
        <w:t xml:space="preserve"> nor has it applied for exemption from this requirement, this court is precluded, by virtue of the peremptory provisions of section 7(2)(a) of PAJA to review the administrative action  in terms of PAJA.</w:t>
      </w:r>
    </w:p>
    <w:p w14:paraId="7C4E3151" w14:textId="77777777" w:rsidR="00D9759F" w:rsidRDefault="00D9759F" w:rsidP="00212F07">
      <w:pPr>
        <w:pStyle w:val="WLGLevel1"/>
        <w:numPr>
          <w:ilvl w:val="0"/>
          <w:numId w:val="0"/>
        </w:numPr>
        <w:spacing w:before="0" w:after="0" w:line="360" w:lineRule="auto"/>
        <w:ind w:left="567" w:hanging="567"/>
      </w:pPr>
    </w:p>
    <w:p w14:paraId="47F26B0B" w14:textId="0DF9028C" w:rsidR="00D9759F" w:rsidRDefault="00D9759F" w:rsidP="00212F07">
      <w:pPr>
        <w:pStyle w:val="WLGLevel1"/>
        <w:numPr>
          <w:ilvl w:val="0"/>
          <w:numId w:val="0"/>
        </w:numPr>
        <w:spacing w:before="0" w:after="0" w:line="360" w:lineRule="auto"/>
        <w:ind w:left="567" w:hanging="567"/>
      </w:pPr>
      <w:r>
        <w:t>[3</w:t>
      </w:r>
      <w:r w:rsidR="009B4621">
        <w:t>5</w:t>
      </w:r>
      <w:r>
        <w:t>] Consequently</w:t>
      </w:r>
      <w:r w:rsidR="00EF57F5">
        <w:t>,</w:t>
      </w:r>
      <w:r>
        <w:t xml:space="preserve"> I make the following order ;</w:t>
      </w:r>
    </w:p>
    <w:p w14:paraId="117B16EA" w14:textId="78F32F87" w:rsidR="00D9759F" w:rsidRDefault="00D9759F" w:rsidP="009C6704">
      <w:pPr>
        <w:pStyle w:val="WLGLevel1"/>
        <w:numPr>
          <w:ilvl w:val="0"/>
          <w:numId w:val="0"/>
        </w:numPr>
        <w:spacing w:before="0" w:after="0" w:line="360" w:lineRule="auto"/>
        <w:rPr>
          <w:b/>
          <w:bCs/>
        </w:rPr>
      </w:pPr>
    </w:p>
    <w:p w14:paraId="6E8CB370" w14:textId="77777777" w:rsidR="00662EFF" w:rsidRPr="00662EFF" w:rsidRDefault="00662EFF" w:rsidP="00212F07">
      <w:pPr>
        <w:pStyle w:val="WLGLevel1"/>
        <w:numPr>
          <w:ilvl w:val="0"/>
          <w:numId w:val="0"/>
        </w:numPr>
        <w:spacing w:before="0" w:after="0" w:line="360" w:lineRule="auto"/>
        <w:ind w:left="567" w:hanging="567"/>
        <w:rPr>
          <w:b/>
          <w:bCs/>
        </w:rPr>
      </w:pPr>
    </w:p>
    <w:p w14:paraId="14F2868B" w14:textId="0DBE591F" w:rsidR="00D9759F" w:rsidRDefault="007C11EE" w:rsidP="00212F07">
      <w:pPr>
        <w:pStyle w:val="WLGLevel1"/>
        <w:numPr>
          <w:ilvl w:val="0"/>
          <w:numId w:val="0"/>
        </w:numPr>
        <w:spacing w:before="0" w:after="0" w:line="360" w:lineRule="auto"/>
        <w:ind w:left="567" w:hanging="567"/>
      </w:pPr>
      <w:r>
        <w:t>1.</w:t>
      </w:r>
      <w:r w:rsidR="00D9759F">
        <w:t xml:space="preserve">The </w:t>
      </w:r>
      <w:r w:rsidR="00662EFF">
        <w:t xml:space="preserve"> three </w:t>
      </w:r>
      <w:r w:rsidR="00D9759F">
        <w:t xml:space="preserve">Points </w:t>
      </w:r>
      <w:r w:rsidR="00D9759F" w:rsidRPr="00EF57F5">
        <w:rPr>
          <w:i/>
          <w:iCs/>
        </w:rPr>
        <w:t>in limine</w:t>
      </w:r>
      <w:r w:rsidR="00D9759F">
        <w:t xml:space="preserve"> raised by the respondent</w:t>
      </w:r>
      <w:r w:rsidR="004B51D0">
        <w:t>s</w:t>
      </w:r>
      <w:r w:rsidR="00D9759F">
        <w:t xml:space="preserve"> are </w:t>
      </w:r>
      <w:r>
        <w:t>upheld.</w:t>
      </w:r>
    </w:p>
    <w:p w14:paraId="41B84B7D" w14:textId="77777777" w:rsidR="007C11EE" w:rsidRDefault="007C11EE" w:rsidP="00212F07">
      <w:pPr>
        <w:pStyle w:val="WLGLevel1"/>
        <w:numPr>
          <w:ilvl w:val="0"/>
          <w:numId w:val="0"/>
        </w:numPr>
        <w:spacing w:before="0" w:after="0" w:line="360" w:lineRule="auto"/>
        <w:ind w:left="567" w:hanging="567"/>
      </w:pPr>
    </w:p>
    <w:p w14:paraId="436C10AC" w14:textId="24029908" w:rsidR="007C11EE" w:rsidRDefault="007C11EE" w:rsidP="00212F07">
      <w:pPr>
        <w:pStyle w:val="WLGLevel1"/>
        <w:numPr>
          <w:ilvl w:val="0"/>
          <w:numId w:val="0"/>
        </w:numPr>
        <w:spacing w:before="0" w:after="0" w:line="360" w:lineRule="auto"/>
        <w:ind w:left="567" w:hanging="567"/>
      </w:pPr>
      <w:r>
        <w:t>2. The applicant has failed to make out a case for the all the relief sought.</w:t>
      </w:r>
    </w:p>
    <w:p w14:paraId="04894240" w14:textId="77777777" w:rsidR="004B51D0" w:rsidRDefault="004B51D0" w:rsidP="00212F07">
      <w:pPr>
        <w:pStyle w:val="WLGLevel1"/>
        <w:numPr>
          <w:ilvl w:val="0"/>
          <w:numId w:val="0"/>
        </w:numPr>
        <w:spacing w:before="0" w:after="0" w:line="360" w:lineRule="auto"/>
        <w:ind w:left="567" w:hanging="567"/>
      </w:pPr>
    </w:p>
    <w:p w14:paraId="64748879" w14:textId="06BEB807" w:rsidR="004B51D0" w:rsidRDefault="004B51D0" w:rsidP="00212F07">
      <w:pPr>
        <w:pStyle w:val="WLGLevel1"/>
        <w:numPr>
          <w:ilvl w:val="0"/>
          <w:numId w:val="0"/>
        </w:numPr>
        <w:spacing w:before="0" w:after="0" w:line="360" w:lineRule="auto"/>
        <w:ind w:left="567" w:hanging="567"/>
      </w:pPr>
      <w:r>
        <w:t>4. The applicant is directed to exhaust its internal remedies.</w:t>
      </w:r>
    </w:p>
    <w:p w14:paraId="5CB4C053" w14:textId="77777777" w:rsidR="007C11EE" w:rsidRDefault="007C11EE" w:rsidP="00212F07">
      <w:pPr>
        <w:pStyle w:val="WLGLevel1"/>
        <w:numPr>
          <w:ilvl w:val="0"/>
          <w:numId w:val="0"/>
        </w:numPr>
        <w:spacing w:before="0" w:after="0" w:line="360" w:lineRule="auto"/>
        <w:ind w:left="567" w:hanging="567"/>
      </w:pPr>
    </w:p>
    <w:p w14:paraId="3061A142" w14:textId="6AD3A41F" w:rsidR="007C11EE" w:rsidRPr="003C76BD" w:rsidRDefault="007C11EE" w:rsidP="00212F07">
      <w:pPr>
        <w:pStyle w:val="WLGLevel1"/>
        <w:numPr>
          <w:ilvl w:val="0"/>
          <w:numId w:val="0"/>
        </w:numPr>
        <w:spacing w:before="0" w:after="0" w:line="360" w:lineRule="auto"/>
        <w:ind w:left="567" w:hanging="567"/>
      </w:pPr>
      <w:r>
        <w:t>3.The applicant’s application for review is dismissed with costs.</w:t>
      </w:r>
    </w:p>
    <w:p w14:paraId="75C6EB96" w14:textId="02DE211F" w:rsidR="00485EB2" w:rsidRPr="00F403A2" w:rsidRDefault="00485EB2" w:rsidP="00485EB2">
      <w:pPr>
        <w:pStyle w:val="WLGLevel1"/>
        <w:numPr>
          <w:ilvl w:val="0"/>
          <w:numId w:val="0"/>
        </w:numPr>
        <w:spacing w:line="360" w:lineRule="auto"/>
        <w:rPr>
          <w:b/>
          <w:bCs/>
          <w:i/>
          <w:iCs/>
        </w:rPr>
      </w:pPr>
      <w:r>
        <w:t>.</w:t>
      </w:r>
    </w:p>
    <w:p w14:paraId="6B48D678" w14:textId="23FB903C" w:rsidR="00485EB2" w:rsidRPr="00DC4B26" w:rsidRDefault="00F403A2" w:rsidP="00F403A2">
      <w:pPr>
        <w:pStyle w:val="WLGLevel1"/>
        <w:numPr>
          <w:ilvl w:val="0"/>
          <w:numId w:val="0"/>
        </w:numPr>
        <w:spacing w:before="0" w:after="0" w:line="360" w:lineRule="auto"/>
        <w:jc w:val="right"/>
      </w:pPr>
      <w:r>
        <w:rPr>
          <w:b/>
          <w:bCs/>
          <w:u w:val="thick"/>
        </w:rPr>
        <w:t>______</w:t>
      </w:r>
      <w:r w:rsidRPr="00F403A2">
        <w:rPr>
          <w:b/>
          <w:bCs/>
          <w:u w:val="thick"/>
        </w:rPr>
        <w:t>JULIAN YENDE</w:t>
      </w:r>
      <w:r>
        <w:rPr>
          <w:b/>
          <w:bCs/>
          <w:u w:val="thick"/>
        </w:rPr>
        <w:t>__</w:t>
      </w:r>
    </w:p>
    <w:p w14:paraId="6458B8E5" w14:textId="77777777" w:rsidR="00485EB2" w:rsidRDefault="00485EB2" w:rsidP="00485EB2">
      <w:pPr>
        <w:widowControl w:val="0"/>
        <w:autoSpaceDE w:val="0"/>
        <w:autoSpaceDN w:val="0"/>
        <w:jc w:val="right"/>
        <w:rPr>
          <w:rFonts w:eastAsia="Arial" w:cs="Arial"/>
          <w:b/>
          <w:color w:val="000000" w:themeColor="text1"/>
          <w:szCs w:val="22"/>
          <w:lang w:val="en-US"/>
        </w:rPr>
      </w:pPr>
      <w:r>
        <w:rPr>
          <w:rFonts w:eastAsia="Arial" w:cs="Arial"/>
          <w:b/>
          <w:color w:val="000000" w:themeColor="text1"/>
          <w:szCs w:val="22"/>
          <w:lang w:val="en-US"/>
        </w:rPr>
        <w:t xml:space="preserve">J  YENDE </w:t>
      </w:r>
    </w:p>
    <w:p w14:paraId="3ABA1A69" w14:textId="77777777" w:rsidR="00485EB2" w:rsidRPr="00E16471" w:rsidRDefault="00485EB2" w:rsidP="00485EB2">
      <w:pPr>
        <w:widowControl w:val="0"/>
        <w:autoSpaceDE w:val="0"/>
        <w:autoSpaceDN w:val="0"/>
        <w:jc w:val="right"/>
        <w:rPr>
          <w:rFonts w:eastAsia="Arial" w:cs="Arial"/>
          <w:b/>
          <w:color w:val="000000" w:themeColor="text1"/>
          <w:spacing w:val="-2"/>
          <w:szCs w:val="22"/>
          <w:lang w:val="en-US"/>
        </w:rPr>
      </w:pPr>
      <w:r>
        <w:rPr>
          <w:rFonts w:eastAsia="Arial" w:cs="Arial"/>
          <w:b/>
          <w:color w:val="000000" w:themeColor="text1"/>
          <w:szCs w:val="22"/>
          <w:lang w:val="en-US"/>
        </w:rPr>
        <w:t xml:space="preserve">ACTING JUDGE OF THE </w:t>
      </w:r>
      <w:r w:rsidRPr="00E16471">
        <w:rPr>
          <w:rFonts w:eastAsia="Arial" w:cs="Arial"/>
          <w:b/>
          <w:color w:val="000000" w:themeColor="text1"/>
          <w:szCs w:val="22"/>
          <w:lang w:val="en-US"/>
        </w:rPr>
        <w:t>HIGH</w:t>
      </w:r>
      <w:r w:rsidRPr="00E16471">
        <w:rPr>
          <w:rFonts w:eastAsia="Arial" w:cs="Arial"/>
          <w:b/>
          <w:color w:val="000000" w:themeColor="text1"/>
          <w:spacing w:val="-4"/>
          <w:szCs w:val="22"/>
          <w:lang w:val="en-US"/>
        </w:rPr>
        <w:t xml:space="preserve"> </w:t>
      </w:r>
      <w:r w:rsidRPr="00E16471">
        <w:rPr>
          <w:rFonts w:eastAsia="Arial" w:cs="Arial"/>
          <w:b/>
          <w:color w:val="000000" w:themeColor="text1"/>
          <w:szCs w:val="22"/>
          <w:lang w:val="en-US"/>
        </w:rPr>
        <w:t>COURT</w:t>
      </w:r>
    </w:p>
    <w:p w14:paraId="1093F33B" w14:textId="77777777" w:rsidR="00485EB2" w:rsidRDefault="00485EB2" w:rsidP="00485EB2">
      <w:pPr>
        <w:ind w:left="720" w:hanging="720"/>
        <w:jc w:val="right"/>
        <w:rPr>
          <w:rFonts w:eastAsia="Arial Unicode MS" w:cs="Arial"/>
          <w:b/>
          <w:u w:val="single"/>
        </w:rPr>
      </w:pPr>
      <w:r w:rsidRPr="00E16471">
        <w:rPr>
          <w:rFonts w:eastAsia="Arial" w:cs="Arial"/>
          <w:b/>
          <w:color w:val="000000" w:themeColor="text1"/>
          <w:spacing w:val="-2"/>
          <w:szCs w:val="22"/>
          <w:lang w:val="en-US"/>
        </w:rPr>
        <w:t xml:space="preserve">  GAUTENG DIVISION, </w:t>
      </w:r>
      <w:r>
        <w:rPr>
          <w:rFonts w:eastAsia="Arial" w:cs="Arial"/>
          <w:b/>
          <w:color w:val="000000" w:themeColor="text1"/>
          <w:spacing w:val="-2"/>
          <w:szCs w:val="22"/>
          <w:lang w:val="en-US"/>
        </w:rPr>
        <w:t xml:space="preserve">PRETORIA </w:t>
      </w:r>
    </w:p>
    <w:p w14:paraId="16E6E40B" w14:textId="77777777" w:rsidR="00485EB2" w:rsidRPr="002F13AF" w:rsidRDefault="00485EB2" w:rsidP="00485EB2">
      <w:pPr>
        <w:pBdr>
          <w:top w:val="nil"/>
          <w:left w:val="nil"/>
          <w:bottom w:val="nil"/>
          <w:right w:val="nil"/>
          <w:between w:val="nil"/>
        </w:pBdr>
        <w:jc w:val="both"/>
        <w:rPr>
          <w:color w:val="000000"/>
        </w:rPr>
      </w:pPr>
    </w:p>
    <w:p w14:paraId="32C74A05" w14:textId="77777777" w:rsidR="00485EB2" w:rsidRPr="002F13AF" w:rsidRDefault="00485EB2" w:rsidP="00485EB2">
      <w:pPr>
        <w:rPr>
          <w:b/>
          <w:color w:val="000000"/>
          <w:u w:val="single"/>
        </w:rPr>
      </w:pPr>
    </w:p>
    <w:p w14:paraId="226F7B5C" w14:textId="77777777" w:rsidR="00485EB2" w:rsidRPr="009B4621" w:rsidRDefault="00485EB2" w:rsidP="009B4621">
      <w:pPr>
        <w:pBdr>
          <w:top w:val="nil"/>
          <w:left w:val="nil"/>
          <w:bottom w:val="nil"/>
          <w:right w:val="nil"/>
          <w:between w:val="nil"/>
        </w:pBdr>
        <w:spacing w:after="0"/>
        <w:jc w:val="both"/>
        <w:rPr>
          <w:b/>
          <w:color w:val="000000"/>
          <w:sz w:val="22"/>
          <w:szCs w:val="22"/>
          <w:u w:val="single"/>
        </w:rPr>
      </w:pPr>
      <w:r w:rsidRPr="009B4621">
        <w:rPr>
          <w:b/>
          <w:color w:val="000000"/>
          <w:sz w:val="22"/>
          <w:szCs w:val="22"/>
          <w:u w:val="single"/>
        </w:rPr>
        <w:t>APPEARANCES:</w:t>
      </w:r>
    </w:p>
    <w:p w14:paraId="29DC2E39" w14:textId="77777777" w:rsidR="00485EB2" w:rsidRPr="009B4621" w:rsidRDefault="00485EB2" w:rsidP="009B4621">
      <w:pPr>
        <w:pBdr>
          <w:top w:val="nil"/>
          <w:left w:val="nil"/>
          <w:bottom w:val="nil"/>
          <w:right w:val="nil"/>
          <w:between w:val="nil"/>
        </w:pBdr>
        <w:spacing w:after="0"/>
        <w:jc w:val="both"/>
        <w:rPr>
          <w:b/>
          <w:color w:val="000000"/>
          <w:sz w:val="22"/>
          <w:szCs w:val="22"/>
        </w:rPr>
      </w:pPr>
    </w:p>
    <w:p w14:paraId="7EE60437" w14:textId="26B12298" w:rsidR="00485EB2" w:rsidRPr="009B4621" w:rsidRDefault="00485EB2" w:rsidP="009B4621">
      <w:pPr>
        <w:pBdr>
          <w:top w:val="nil"/>
          <w:left w:val="nil"/>
          <w:bottom w:val="nil"/>
          <w:right w:val="nil"/>
          <w:between w:val="nil"/>
        </w:pBdr>
        <w:spacing w:after="0"/>
        <w:jc w:val="both"/>
        <w:rPr>
          <w:b/>
          <w:color w:val="000000"/>
          <w:sz w:val="22"/>
          <w:szCs w:val="22"/>
        </w:rPr>
      </w:pPr>
      <w:r w:rsidRPr="009B4621">
        <w:rPr>
          <w:b/>
          <w:color w:val="000000"/>
          <w:sz w:val="22"/>
          <w:szCs w:val="22"/>
          <w:u w:val="single"/>
        </w:rPr>
        <w:t>Advocate for Applicant</w:t>
      </w:r>
      <w:r w:rsidRPr="009B4621">
        <w:rPr>
          <w:b/>
          <w:color w:val="000000"/>
          <w:sz w:val="22"/>
          <w:szCs w:val="22"/>
        </w:rPr>
        <w:t xml:space="preserve">:                                 </w:t>
      </w:r>
      <w:r w:rsidR="00662EFF" w:rsidRPr="009B4621">
        <w:rPr>
          <w:b/>
          <w:color w:val="000000"/>
          <w:sz w:val="22"/>
          <w:szCs w:val="22"/>
        </w:rPr>
        <w:t>De Wet Keet</w:t>
      </w:r>
    </w:p>
    <w:p w14:paraId="593CA512" w14:textId="3CEFD775" w:rsidR="00485EB2" w:rsidRPr="009B4621" w:rsidRDefault="00485EB2" w:rsidP="009B4621">
      <w:pPr>
        <w:pBdr>
          <w:top w:val="nil"/>
          <w:left w:val="nil"/>
          <w:bottom w:val="nil"/>
          <w:right w:val="nil"/>
          <w:between w:val="nil"/>
        </w:pBdr>
        <w:spacing w:after="0"/>
        <w:jc w:val="both"/>
        <w:rPr>
          <w:b/>
          <w:color w:val="000000"/>
          <w:sz w:val="22"/>
          <w:szCs w:val="22"/>
        </w:rPr>
      </w:pPr>
      <w:r w:rsidRPr="009B4621">
        <w:rPr>
          <w:b/>
          <w:color w:val="000000"/>
          <w:sz w:val="22"/>
          <w:szCs w:val="22"/>
        </w:rPr>
        <w:t xml:space="preserve"> </w:t>
      </w:r>
      <w:r w:rsidR="009C6704" w:rsidRPr="009B4621">
        <w:rPr>
          <w:b/>
          <w:color w:val="000000"/>
          <w:sz w:val="22"/>
          <w:szCs w:val="22"/>
        </w:rPr>
        <w:t>Email</w:t>
      </w:r>
      <w:r w:rsidRPr="009B4621">
        <w:rPr>
          <w:b/>
          <w:color w:val="000000"/>
          <w:sz w:val="22"/>
          <w:szCs w:val="22"/>
        </w:rPr>
        <w:t xml:space="preserve">                                                               </w:t>
      </w:r>
      <w:r w:rsidR="00662EFF" w:rsidRPr="009B4621">
        <w:rPr>
          <w:b/>
          <w:sz w:val="22"/>
          <w:szCs w:val="22"/>
        </w:rPr>
        <w:t>dewetkeet@gmail.com</w:t>
      </w:r>
    </w:p>
    <w:p w14:paraId="06957D62" w14:textId="77777777" w:rsidR="00485EB2" w:rsidRPr="009B4621" w:rsidRDefault="00485EB2" w:rsidP="009B4621">
      <w:pPr>
        <w:pBdr>
          <w:top w:val="nil"/>
          <w:left w:val="nil"/>
          <w:bottom w:val="nil"/>
          <w:right w:val="nil"/>
          <w:between w:val="nil"/>
        </w:pBdr>
        <w:spacing w:after="0"/>
        <w:jc w:val="both"/>
        <w:rPr>
          <w:b/>
          <w:color w:val="000000"/>
          <w:sz w:val="22"/>
          <w:szCs w:val="22"/>
        </w:rPr>
      </w:pPr>
    </w:p>
    <w:p w14:paraId="2FF7C3E9" w14:textId="77777777" w:rsidR="00485EB2" w:rsidRPr="009B4621" w:rsidRDefault="00485EB2" w:rsidP="009B4621">
      <w:pPr>
        <w:pBdr>
          <w:top w:val="nil"/>
          <w:left w:val="nil"/>
          <w:bottom w:val="nil"/>
          <w:right w:val="nil"/>
          <w:between w:val="nil"/>
        </w:pBdr>
        <w:spacing w:after="0"/>
        <w:jc w:val="both"/>
        <w:rPr>
          <w:b/>
          <w:color w:val="000000"/>
          <w:sz w:val="22"/>
          <w:szCs w:val="22"/>
        </w:rPr>
      </w:pPr>
    </w:p>
    <w:p w14:paraId="4F239B09" w14:textId="11A84416" w:rsidR="00485EB2" w:rsidRPr="009B4621" w:rsidRDefault="00485EB2" w:rsidP="009B4621">
      <w:pPr>
        <w:pBdr>
          <w:top w:val="nil"/>
          <w:left w:val="nil"/>
          <w:bottom w:val="nil"/>
          <w:right w:val="nil"/>
          <w:between w:val="nil"/>
        </w:pBdr>
        <w:spacing w:after="0"/>
        <w:jc w:val="both"/>
        <w:rPr>
          <w:b/>
          <w:color w:val="000000"/>
          <w:sz w:val="22"/>
          <w:szCs w:val="22"/>
        </w:rPr>
      </w:pPr>
      <w:r w:rsidRPr="009B4621">
        <w:rPr>
          <w:b/>
          <w:color w:val="000000"/>
          <w:sz w:val="22"/>
          <w:szCs w:val="22"/>
          <w:u w:val="single"/>
        </w:rPr>
        <w:t>Instructed by</w:t>
      </w:r>
      <w:r w:rsidRPr="009B4621">
        <w:rPr>
          <w:b/>
          <w:color w:val="000000"/>
          <w:sz w:val="22"/>
          <w:szCs w:val="22"/>
        </w:rPr>
        <w:t xml:space="preserve">:                                                  </w:t>
      </w:r>
      <w:r w:rsidR="007C11EE" w:rsidRPr="009B4621">
        <w:rPr>
          <w:b/>
          <w:color w:val="000000"/>
          <w:sz w:val="22"/>
          <w:szCs w:val="22"/>
        </w:rPr>
        <w:t>SJ VAN DEN BERG ATTORNEYS</w:t>
      </w:r>
    </w:p>
    <w:p w14:paraId="23FF767F" w14:textId="14B92D71" w:rsidR="00485EB2" w:rsidRPr="009B4621" w:rsidRDefault="00485EB2" w:rsidP="009B4621">
      <w:pPr>
        <w:pBdr>
          <w:top w:val="nil"/>
          <w:left w:val="nil"/>
          <w:bottom w:val="nil"/>
          <w:right w:val="nil"/>
          <w:between w:val="nil"/>
        </w:pBdr>
        <w:spacing w:after="0"/>
        <w:jc w:val="both"/>
        <w:rPr>
          <w:b/>
          <w:color w:val="000000"/>
          <w:sz w:val="22"/>
          <w:szCs w:val="22"/>
        </w:rPr>
      </w:pPr>
      <w:r w:rsidRPr="009B4621">
        <w:rPr>
          <w:b/>
          <w:color w:val="000000"/>
          <w:sz w:val="22"/>
          <w:szCs w:val="22"/>
        </w:rPr>
        <w:t xml:space="preserve">  </w:t>
      </w:r>
      <w:r w:rsidR="00662EFF" w:rsidRPr="009B4621">
        <w:rPr>
          <w:b/>
          <w:sz w:val="22"/>
          <w:szCs w:val="22"/>
        </w:rPr>
        <w:t>Email</w:t>
      </w:r>
      <w:r w:rsidRPr="009B4621">
        <w:rPr>
          <w:b/>
          <w:sz w:val="22"/>
          <w:szCs w:val="22"/>
        </w:rPr>
        <w:t xml:space="preserve">                                                              </w:t>
      </w:r>
      <w:hyperlink r:id="rId9" w:history="1">
        <w:r w:rsidR="00662EFF" w:rsidRPr="009B4621">
          <w:rPr>
            <w:rStyle w:val="Hyperlink"/>
            <w:b/>
            <w:color w:val="auto"/>
            <w:sz w:val="22"/>
            <w:szCs w:val="22"/>
          </w:rPr>
          <w:t>jtham@vdberglaw.co.za</w:t>
        </w:r>
      </w:hyperlink>
    </w:p>
    <w:p w14:paraId="3728F819" w14:textId="56D61D93" w:rsidR="007C11EE" w:rsidRPr="009B4621" w:rsidRDefault="007C11EE" w:rsidP="009B4621">
      <w:pPr>
        <w:pBdr>
          <w:top w:val="nil"/>
          <w:left w:val="nil"/>
          <w:bottom w:val="nil"/>
          <w:right w:val="nil"/>
          <w:between w:val="nil"/>
        </w:pBdr>
        <w:spacing w:after="0"/>
        <w:jc w:val="both"/>
        <w:rPr>
          <w:b/>
          <w:color w:val="000000"/>
          <w:sz w:val="22"/>
          <w:szCs w:val="22"/>
        </w:rPr>
      </w:pPr>
      <w:r w:rsidRPr="009B4621">
        <w:rPr>
          <w:b/>
          <w:color w:val="000000"/>
          <w:sz w:val="22"/>
          <w:szCs w:val="22"/>
        </w:rPr>
        <w:t xml:space="preserve">                                                                          Ref: MrVD Berg/jn/C00212</w:t>
      </w:r>
    </w:p>
    <w:p w14:paraId="4BABDFC7" w14:textId="77777777" w:rsidR="009C6704" w:rsidRPr="009B4621" w:rsidRDefault="009C6704" w:rsidP="009B4621">
      <w:pPr>
        <w:pBdr>
          <w:top w:val="nil"/>
          <w:left w:val="nil"/>
          <w:bottom w:val="nil"/>
          <w:right w:val="nil"/>
          <w:between w:val="nil"/>
        </w:pBdr>
        <w:spacing w:after="0"/>
        <w:jc w:val="both"/>
        <w:rPr>
          <w:b/>
          <w:color w:val="000000"/>
          <w:sz w:val="22"/>
          <w:szCs w:val="22"/>
        </w:rPr>
      </w:pPr>
    </w:p>
    <w:p w14:paraId="1A71B1E4" w14:textId="77777777" w:rsidR="00485EB2" w:rsidRPr="009B4621" w:rsidRDefault="00485EB2" w:rsidP="009B4621">
      <w:pPr>
        <w:pBdr>
          <w:top w:val="nil"/>
          <w:left w:val="nil"/>
          <w:bottom w:val="nil"/>
          <w:right w:val="nil"/>
          <w:between w:val="nil"/>
        </w:pBdr>
        <w:spacing w:after="0"/>
        <w:jc w:val="both"/>
        <w:rPr>
          <w:b/>
          <w:color w:val="000000"/>
          <w:sz w:val="22"/>
          <w:szCs w:val="22"/>
        </w:rPr>
      </w:pPr>
    </w:p>
    <w:p w14:paraId="1AD43839" w14:textId="01884BA4" w:rsidR="007C11EE" w:rsidRPr="009B4621" w:rsidRDefault="00485EB2" w:rsidP="009B4621">
      <w:pPr>
        <w:pBdr>
          <w:top w:val="nil"/>
          <w:left w:val="nil"/>
          <w:bottom w:val="nil"/>
          <w:right w:val="nil"/>
          <w:between w:val="nil"/>
        </w:pBdr>
        <w:spacing w:after="0"/>
        <w:jc w:val="both"/>
        <w:rPr>
          <w:b/>
          <w:color w:val="000000"/>
          <w:sz w:val="22"/>
          <w:szCs w:val="22"/>
        </w:rPr>
      </w:pPr>
      <w:r w:rsidRPr="009B4621">
        <w:rPr>
          <w:b/>
          <w:color w:val="000000"/>
          <w:sz w:val="22"/>
          <w:szCs w:val="22"/>
          <w:u w:val="single"/>
        </w:rPr>
        <w:t>Advocate for Respondent</w:t>
      </w:r>
      <w:r w:rsidRPr="009B4621">
        <w:rPr>
          <w:b/>
          <w:color w:val="000000"/>
          <w:sz w:val="22"/>
          <w:szCs w:val="22"/>
        </w:rPr>
        <w:t xml:space="preserve">: </w:t>
      </w:r>
      <w:r w:rsidRPr="009B4621">
        <w:rPr>
          <w:b/>
          <w:color w:val="000000"/>
          <w:sz w:val="22"/>
          <w:szCs w:val="22"/>
        </w:rPr>
        <w:tab/>
      </w:r>
      <w:r w:rsidRPr="009B4621">
        <w:rPr>
          <w:b/>
          <w:color w:val="000000"/>
          <w:sz w:val="22"/>
          <w:szCs w:val="22"/>
        </w:rPr>
        <w:tab/>
        <w:t xml:space="preserve">      </w:t>
      </w:r>
      <w:r w:rsidR="009B4621">
        <w:rPr>
          <w:b/>
          <w:color w:val="000000"/>
          <w:sz w:val="22"/>
          <w:szCs w:val="22"/>
        </w:rPr>
        <w:t xml:space="preserve">     </w:t>
      </w:r>
      <w:r w:rsidRPr="009B4621">
        <w:rPr>
          <w:b/>
          <w:color w:val="000000"/>
          <w:sz w:val="22"/>
          <w:szCs w:val="22"/>
        </w:rPr>
        <w:t xml:space="preserve">  </w:t>
      </w:r>
      <w:r w:rsidR="00662EFF" w:rsidRPr="009B4621">
        <w:rPr>
          <w:b/>
          <w:color w:val="000000"/>
          <w:sz w:val="22"/>
          <w:szCs w:val="22"/>
        </w:rPr>
        <w:t>H J Snyman</w:t>
      </w:r>
    </w:p>
    <w:p w14:paraId="16C243CF" w14:textId="08DDCDB7" w:rsidR="00485EB2" w:rsidRPr="009B4621" w:rsidRDefault="007C11EE" w:rsidP="009B4621">
      <w:pPr>
        <w:pBdr>
          <w:top w:val="nil"/>
          <w:left w:val="nil"/>
          <w:bottom w:val="nil"/>
          <w:right w:val="nil"/>
          <w:between w:val="nil"/>
        </w:pBdr>
        <w:spacing w:after="0"/>
        <w:jc w:val="both"/>
        <w:rPr>
          <w:b/>
          <w:color w:val="000000"/>
          <w:sz w:val="22"/>
          <w:szCs w:val="22"/>
        </w:rPr>
      </w:pPr>
      <w:r w:rsidRPr="009B4621">
        <w:rPr>
          <w:b/>
          <w:color w:val="000000"/>
          <w:sz w:val="22"/>
          <w:szCs w:val="22"/>
        </w:rPr>
        <w:t xml:space="preserve">  </w:t>
      </w:r>
      <w:r w:rsidR="00662EFF" w:rsidRPr="009B4621">
        <w:rPr>
          <w:b/>
          <w:color w:val="000000"/>
          <w:sz w:val="22"/>
          <w:szCs w:val="22"/>
        </w:rPr>
        <w:t>Email</w:t>
      </w:r>
      <w:r w:rsidRPr="009B4621">
        <w:rPr>
          <w:b/>
          <w:color w:val="000000"/>
          <w:sz w:val="22"/>
          <w:szCs w:val="22"/>
        </w:rPr>
        <w:t xml:space="preserve">                                                            </w:t>
      </w:r>
      <w:r w:rsidR="00662EFF" w:rsidRPr="009B4621">
        <w:rPr>
          <w:b/>
          <w:color w:val="000000"/>
          <w:sz w:val="22"/>
          <w:szCs w:val="22"/>
        </w:rPr>
        <w:t>hsnyman@clubadvocates</w:t>
      </w:r>
      <w:r w:rsidRPr="009B4621">
        <w:rPr>
          <w:b/>
          <w:color w:val="000000"/>
          <w:sz w:val="22"/>
          <w:szCs w:val="22"/>
        </w:rPr>
        <w:t>.co.za</w:t>
      </w:r>
      <w:r w:rsidR="00485EB2" w:rsidRPr="009B4621">
        <w:rPr>
          <w:b/>
          <w:color w:val="000000"/>
          <w:sz w:val="22"/>
          <w:szCs w:val="22"/>
        </w:rPr>
        <w:tab/>
      </w:r>
    </w:p>
    <w:p w14:paraId="35B016B8" w14:textId="416666E6" w:rsidR="00485EB2" w:rsidRPr="009B4621" w:rsidRDefault="00485EB2" w:rsidP="009B4621">
      <w:pPr>
        <w:pBdr>
          <w:top w:val="nil"/>
          <w:left w:val="nil"/>
          <w:bottom w:val="nil"/>
          <w:right w:val="nil"/>
          <w:between w:val="nil"/>
        </w:pBdr>
        <w:spacing w:after="0"/>
        <w:jc w:val="both"/>
        <w:rPr>
          <w:b/>
          <w:color w:val="000000"/>
          <w:sz w:val="22"/>
          <w:szCs w:val="22"/>
        </w:rPr>
      </w:pPr>
      <w:r w:rsidRPr="009B4621">
        <w:rPr>
          <w:b/>
          <w:color w:val="000000"/>
          <w:sz w:val="22"/>
          <w:szCs w:val="22"/>
        </w:rPr>
        <w:t xml:space="preserve">                                                                         </w:t>
      </w:r>
    </w:p>
    <w:p w14:paraId="3F64655D" w14:textId="77777777" w:rsidR="00485EB2" w:rsidRPr="009B4621" w:rsidRDefault="00485EB2" w:rsidP="009B4621">
      <w:pPr>
        <w:pBdr>
          <w:top w:val="nil"/>
          <w:left w:val="nil"/>
          <w:bottom w:val="nil"/>
          <w:right w:val="nil"/>
          <w:between w:val="nil"/>
        </w:pBdr>
        <w:spacing w:after="0"/>
        <w:jc w:val="both"/>
        <w:rPr>
          <w:b/>
          <w:color w:val="000000"/>
          <w:sz w:val="22"/>
          <w:szCs w:val="22"/>
        </w:rPr>
      </w:pPr>
    </w:p>
    <w:p w14:paraId="0991766F" w14:textId="77777777" w:rsidR="00485EB2" w:rsidRPr="009B4621" w:rsidRDefault="00485EB2" w:rsidP="009B4621">
      <w:pPr>
        <w:pBdr>
          <w:top w:val="nil"/>
          <w:left w:val="nil"/>
          <w:bottom w:val="nil"/>
          <w:right w:val="nil"/>
          <w:between w:val="nil"/>
        </w:pBdr>
        <w:spacing w:after="0"/>
        <w:jc w:val="both"/>
        <w:rPr>
          <w:b/>
          <w:color w:val="000000"/>
          <w:sz w:val="22"/>
          <w:szCs w:val="22"/>
        </w:rPr>
      </w:pPr>
    </w:p>
    <w:p w14:paraId="0EFD35A2" w14:textId="77777777" w:rsidR="007C11EE" w:rsidRPr="009B4621" w:rsidRDefault="00485EB2" w:rsidP="009B4621">
      <w:pPr>
        <w:pBdr>
          <w:top w:val="nil"/>
          <w:left w:val="nil"/>
          <w:bottom w:val="nil"/>
          <w:right w:val="nil"/>
          <w:between w:val="nil"/>
        </w:pBdr>
        <w:spacing w:after="0"/>
        <w:jc w:val="both"/>
        <w:rPr>
          <w:b/>
          <w:color w:val="000000"/>
          <w:sz w:val="22"/>
          <w:szCs w:val="22"/>
        </w:rPr>
      </w:pPr>
      <w:r w:rsidRPr="009B4621">
        <w:rPr>
          <w:b/>
          <w:color w:val="000000"/>
          <w:sz w:val="22"/>
          <w:szCs w:val="22"/>
        </w:rPr>
        <w:t xml:space="preserve"> Instructed by:                                              </w:t>
      </w:r>
      <w:r w:rsidR="007C11EE" w:rsidRPr="009B4621">
        <w:rPr>
          <w:b/>
          <w:color w:val="000000"/>
          <w:sz w:val="22"/>
          <w:szCs w:val="22"/>
        </w:rPr>
        <w:t>MOTHLE JOOMA SABDIA INC</w:t>
      </w:r>
    </w:p>
    <w:p w14:paraId="22FF4C0A" w14:textId="68F2B820" w:rsidR="007C11EE" w:rsidRPr="009B4621" w:rsidRDefault="007C11EE" w:rsidP="009B4621">
      <w:pPr>
        <w:pBdr>
          <w:top w:val="nil"/>
          <w:left w:val="nil"/>
          <w:bottom w:val="nil"/>
          <w:right w:val="nil"/>
          <w:between w:val="nil"/>
        </w:pBdr>
        <w:spacing w:after="0"/>
        <w:jc w:val="both"/>
        <w:rPr>
          <w:b/>
          <w:color w:val="000000"/>
          <w:sz w:val="22"/>
          <w:szCs w:val="22"/>
        </w:rPr>
      </w:pPr>
      <w:r w:rsidRPr="009B4621">
        <w:rPr>
          <w:b/>
          <w:color w:val="000000"/>
          <w:sz w:val="22"/>
          <w:szCs w:val="22"/>
        </w:rPr>
        <w:t xml:space="preserve">  </w:t>
      </w:r>
      <w:r w:rsidR="00662EFF" w:rsidRPr="009B4621">
        <w:rPr>
          <w:b/>
          <w:color w:val="000000"/>
          <w:sz w:val="22"/>
          <w:szCs w:val="22"/>
        </w:rPr>
        <w:t>Email</w:t>
      </w:r>
      <w:r w:rsidRPr="009B4621">
        <w:rPr>
          <w:b/>
          <w:color w:val="000000"/>
          <w:sz w:val="22"/>
          <w:szCs w:val="22"/>
        </w:rPr>
        <w:t xml:space="preserve">                                                           ebrahimj@mjs-inc.co.za</w:t>
      </w:r>
      <w:r w:rsidRPr="009B4621">
        <w:rPr>
          <w:b/>
          <w:color w:val="000000"/>
          <w:sz w:val="22"/>
          <w:szCs w:val="22"/>
        </w:rPr>
        <w:tab/>
      </w:r>
    </w:p>
    <w:p w14:paraId="3714DA59" w14:textId="34DEF892" w:rsidR="007C11EE" w:rsidRPr="009B4621" w:rsidRDefault="007C11EE" w:rsidP="009B4621">
      <w:pPr>
        <w:pBdr>
          <w:top w:val="nil"/>
          <w:left w:val="nil"/>
          <w:bottom w:val="nil"/>
          <w:right w:val="nil"/>
          <w:between w:val="nil"/>
        </w:pBdr>
        <w:spacing w:after="0"/>
        <w:jc w:val="both"/>
        <w:rPr>
          <w:b/>
          <w:color w:val="000000"/>
          <w:sz w:val="22"/>
          <w:szCs w:val="22"/>
        </w:rPr>
      </w:pPr>
      <w:r w:rsidRPr="009B4621">
        <w:rPr>
          <w:b/>
          <w:color w:val="000000"/>
          <w:sz w:val="22"/>
          <w:szCs w:val="22"/>
        </w:rPr>
        <w:t xml:space="preserve">                                                                       </w:t>
      </w:r>
      <w:r w:rsidRPr="009B4621">
        <w:rPr>
          <w:b/>
          <w:sz w:val="22"/>
          <w:szCs w:val="22"/>
        </w:rPr>
        <w:t>Ref: Mr E Jooma/ lvb/CIT1.0153</w:t>
      </w:r>
    </w:p>
    <w:p w14:paraId="3E8ECA9F" w14:textId="36096372" w:rsidR="00485EB2" w:rsidRPr="009B4621" w:rsidRDefault="00485EB2" w:rsidP="009B4621">
      <w:pPr>
        <w:pBdr>
          <w:top w:val="nil"/>
          <w:left w:val="nil"/>
          <w:bottom w:val="nil"/>
          <w:right w:val="nil"/>
          <w:between w:val="nil"/>
        </w:pBdr>
        <w:spacing w:after="0"/>
        <w:jc w:val="both"/>
        <w:rPr>
          <w:b/>
          <w:color w:val="000000"/>
          <w:sz w:val="22"/>
          <w:szCs w:val="22"/>
        </w:rPr>
      </w:pPr>
      <w:r w:rsidRPr="009B4621">
        <w:rPr>
          <w:b/>
          <w:color w:val="000000"/>
          <w:sz w:val="22"/>
          <w:szCs w:val="22"/>
        </w:rPr>
        <w:t xml:space="preserve">  </w:t>
      </w:r>
    </w:p>
    <w:p w14:paraId="2940AEA9" w14:textId="77777777" w:rsidR="00485EB2" w:rsidRPr="009B4621" w:rsidRDefault="00485EB2" w:rsidP="009B4621">
      <w:pPr>
        <w:pBdr>
          <w:top w:val="nil"/>
          <w:left w:val="nil"/>
          <w:bottom w:val="nil"/>
          <w:right w:val="nil"/>
          <w:between w:val="nil"/>
        </w:pBdr>
        <w:spacing w:after="0"/>
        <w:jc w:val="both"/>
        <w:rPr>
          <w:b/>
          <w:color w:val="000000"/>
          <w:sz w:val="22"/>
          <w:szCs w:val="22"/>
        </w:rPr>
      </w:pPr>
      <w:r w:rsidRPr="009B4621">
        <w:rPr>
          <w:b/>
          <w:color w:val="000000"/>
          <w:sz w:val="22"/>
          <w:szCs w:val="22"/>
        </w:rPr>
        <w:t xml:space="preserve">                                                                         </w:t>
      </w:r>
    </w:p>
    <w:p w14:paraId="3179585F" w14:textId="77777777" w:rsidR="00485EB2" w:rsidRPr="009B4621" w:rsidRDefault="00485EB2" w:rsidP="009B4621">
      <w:pPr>
        <w:pBdr>
          <w:top w:val="nil"/>
          <w:left w:val="nil"/>
          <w:bottom w:val="nil"/>
          <w:right w:val="nil"/>
          <w:between w:val="nil"/>
        </w:pBdr>
        <w:spacing w:after="0"/>
        <w:jc w:val="both"/>
        <w:rPr>
          <w:b/>
          <w:color w:val="000000"/>
          <w:sz w:val="22"/>
          <w:szCs w:val="22"/>
        </w:rPr>
      </w:pPr>
    </w:p>
    <w:p w14:paraId="173FF939" w14:textId="77777777" w:rsidR="00485EB2" w:rsidRPr="009B4621" w:rsidRDefault="00485EB2" w:rsidP="009B4621">
      <w:pPr>
        <w:pBdr>
          <w:top w:val="nil"/>
          <w:left w:val="nil"/>
          <w:bottom w:val="nil"/>
          <w:right w:val="nil"/>
          <w:between w:val="nil"/>
        </w:pBdr>
        <w:spacing w:after="0"/>
        <w:jc w:val="both"/>
        <w:rPr>
          <w:b/>
          <w:color w:val="000000"/>
          <w:sz w:val="22"/>
          <w:szCs w:val="22"/>
        </w:rPr>
      </w:pPr>
    </w:p>
    <w:p w14:paraId="0C48C8D7" w14:textId="0112375B" w:rsidR="00485EB2" w:rsidRPr="009B4621" w:rsidRDefault="00485EB2" w:rsidP="009B4621">
      <w:pPr>
        <w:pBdr>
          <w:top w:val="nil"/>
          <w:left w:val="nil"/>
          <w:bottom w:val="nil"/>
          <w:right w:val="nil"/>
          <w:between w:val="nil"/>
        </w:pBdr>
        <w:spacing w:after="0"/>
        <w:jc w:val="both"/>
        <w:rPr>
          <w:b/>
          <w:bCs/>
          <w:color w:val="000000"/>
          <w:sz w:val="22"/>
          <w:szCs w:val="22"/>
        </w:rPr>
      </w:pPr>
      <w:r w:rsidRPr="009B4621">
        <w:rPr>
          <w:b/>
          <w:bCs/>
          <w:color w:val="000000"/>
          <w:sz w:val="22"/>
          <w:szCs w:val="22"/>
        </w:rPr>
        <w:t xml:space="preserve">Heard: </w:t>
      </w:r>
      <w:r w:rsidRPr="009B4621">
        <w:rPr>
          <w:b/>
          <w:bCs/>
          <w:color w:val="000000"/>
          <w:sz w:val="22"/>
          <w:szCs w:val="22"/>
        </w:rPr>
        <w:tab/>
      </w:r>
      <w:r w:rsidRPr="009B4621">
        <w:rPr>
          <w:b/>
          <w:bCs/>
          <w:color w:val="000000"/>
          <w:sz w:val="22"/>
          <w:szCs w:val="22"/>
        </w:rPr>
        <w:tab/>
      </w:r>
      <w:r w:rsidRPr="009B4621">
        <w:rPr>
          <w:b/>
          <w:bCs/>
          <w:color w:val="000000"/>
          <w:sz w:val="22"/>
          <w:szCs w:val="22"/>
        </w:rPr>
        <w:tab/>
      </w:r>
      <w:r w:rsidRPr="009B4621">
        <w:rPr>
          <w:b/>
          <w:bCs/>
          <w:color w:val="000000"/>
          <w:sz w:val="22"/>
          <w:szCs w:val="22"/>
        </w:rPr>
        <w:tab/>
      </w:r>
      <w:r w:rsidR="009C6704" w:rsidRPr="009B4621">
        <w:rPr>
          <w:b/>
          <w:bCs/>
          <w:color w:val="000000"/>
          <w:sz w:val="22"/>
          <w:szCs w:val="22"/>
        </w:rPr>
        <w:t xml:space="preserve">            </w:t>
      </w:r>
      <w:r w:rsidRPr="009B4621">
        <w:rPr>
          <w:b/>
          <w:bCs/>
          <w:color w:val="000000"/>
          <w:sz w:val="22"/>
          <w:szCs w:val="22"/>
        </w:rPr>
        <w:t xml:space="preserve">  </w:t>
      </w:r>
      <w:r w:rsidR="007C11EE" w:rsidRPr="009B4621">
        <w:rPr>
          <w:b/>
          <w:bCs/>
          <w:color w:val="000000"/>
          <w:sz w:val="22"/>
          <w:szCs w:val="22"/>
        </w:rPr>
        <w:t>31</w:t>
      </w:r>
      <w:r w:rsidRPr="009B4621">
        <w:rPr>
          <w:b/>
          <w:bCs/>
          <w:color w:val="000000"/>
          <w:sz w:val="22"/>
          <w:szCs w:val="22"/>
        </w:rPr>
        <w:t xml:space="preserve"> May 2023</w:t>
      </w:r>
    </w:p>
    <w:p w14:paraId="5F4D9E5F" w14:textId="77777777" w:rsidR="00485EB2" w:rsidRPr="009B4621" w:rsidRDefault="00485EB2" w:rsidP="009B4621">
      <w:pPr>
        <w:pBdr>
          <w:top w:val="nil"/>
          <w:left w:val="nil"/>
          <w:bottom w:val="nil"/>
          <w:right w:val="nil"/>
          <w:between w:val="nil"/>
        </w:pBdr>
        <w:spacing w:after="0"/>
        <w:jc w:val="both"/>
        <w:rPr>
          <w:b/>
          <w:bCs/>
          <w:color w:val="000000"/>
          <w:sz w:val="22"/>
          <w:szCs w:val="22"/>
        </w:rPr>
      </w:pPr>
      <w:r w:rsidRPr="009B4621">
        <w:rPr>
          <w:b/>
          <w:bCs/>
          <w:color w:val="000000"/>
          <w:sz w:val="22"/>
          <w:szCs w:val="22"/>
        </w:rPr>
        <w:tab/>
      </w:r>
    </w:p>
    <w:p w14:paraId="3FC17A2E" w14:textId="5FC34551" w:rsidR="00485EB2" w:rsidRPr="009B4621" w:rsidRDefault="00485EB2" w:rsidP="009B4621">
      <w:pPr>
        <w:pBdr>
          <w:top w:val="nil"/>
          <w:left w:val="nil"/>
          <w:bottom w:val="nil"/>
          <w:right w:val="nil"/>
          <w:between w:val="nil"/>
        </w:pBdr>
        <w:spacing w:after="0"/>
        <w:jc w:val="both"/>
        <w:rPr>
          <w:b/>
          <w:bCs/>
          <w:color w:val="000000"/>
          <w:sz w:val="22"/>
          <w:szCs w:val="22"/>
        </w:rPr>
      </w:pPr>
      <w:r w:rsidRPr="009B4621">
        <w:rPr>
          <w:b/>
          <w:bCs/>
          <w:color w:val="000000"/>
          <w:sz w:val="22"/>
          <w:szCs w:val="22"/>
        </w:rPr>
        <w:t xml:space="preserve">Judgment: </w:t>
      </w:r>
      <w:r w:rsidRPr="009B4621">
        <w:rPr>
          <w:b/>
          <w:bCs/>
          <w:color w:val="000000"/>
          <w:sz w:val="22"/>
          <w:szCs w:val="22"/>
        </w:rPr>
        <w:tab/>
      </w:r>
      <w:r w:rsidRPr="009B4621">
        <w:rPr>
          <w:b/>
          <w:bCs/>
          <w:color w:val="000000"/>
          <w:sz w:val="22"/>
          <w:szCs w:val="22"/>
        </w:rPr>
        <w:tab/>
      </w:r>
      <w:r w:rsidRPr="009B4621">
        <w:rPr>
          <w:b/>
          <w:bCs/>
          <w:color w:val="000000"/>
          <w:sz w:val="22"/>
          <w:szCs w:val="22"/>
        </w:rPr>
        <w:tab/>
      </w:r>
      <w:r w:rsidRPr="009B4621">
        <w:rPr>
          <w:b/>
          <w:bCs/>
          <w:sz w:val="22"/>
          <w:szCs w:val="22"/>
        </w:rPr>
        <w:t xml:space="preserve">            </w:t>
      </w:r>
      <w:r w:rsidR="009C6704" w:rsidRPr="009B4621">
        <w:rPr>
          <w:b/>
          <w:bCs/>
          <w:sz w:val="22"/>
          <w:szCs w:val="22"/>
        </w:rPr>
        <w:t xml:space="preserve">           </w:t>
      </w:r>
      <w:r w:rsidRPr="009B4621">
        <w:rPr>
          <w:b/>
          <w:bCs/>
          <w:sz w:val="22"/>
          <w:szCs w:val="22"/>
        </w:rPr>
        <w:t xml:space="preserve"> </w:t>
      </w:r>
      <w:r w:rsidR="005912D9">
        <w:rPr>
          <w:b/>
          <w:bCs/>
          <w:sz w:val="22"/>
          <w:szCs w:val="22"/>
        </w:rPr>
        <w:t xml:space="preserve"> </w:t>
      </w:r>
      <w:r w:rsidR="007C11EE" w:rsidRPr="009B4621">
        <w:rPr>
          <w:b/>
          <w:bCs/>
          <w:sz w:val="22"/>
          <w:szCs w:val="22"/>
        </w:rPr>
        <w:t>13 September</w:t>
      </w:r>
      <w:r w:rsidRPr="009B4621">
        <w:rPr>
          <w:b/>
          <w:bCs/>
          <w:sz w:val="22"/>
          <w:szCs w:val="22"/>
        </w:rPr>
        <w:t xml:space="preserve"> 2023</w:t>
      </w:r>
      <w:r w:rsidRPr="009B4621">
        <w:rPr>
          <w:b/>
          <w:bCs/>
          <w:sz w:val="22"/>
          <w:szCs w:val="22"/>
        </w:rPr>
        <w:tab/>
      </w:r>
      <w:r w:rsidRPr="009B4621">
        <w:rPr>
          <w:b/>
          <w:bCs/>
          <w:color w:val="000000"/>
          <w:sz w:val="22"/>
          <w:szCs w:val="22"/>
        </w:rPr>
        <w:tab/>
      </w:r>
    </w:p>
    <w:p w14:paraId="7C78FE1D" w14:textId="77777777" w:rsidR="00485EB2" w:rsidRPr="009B4621" w:rsidRDefault="00485EB2" w:rsidP="009B4621">
      <w:pPr>
        <w:pBdr>
          <w:top w:val="nil"/>
          <w:left w:val="nil"/>
          <w:bottom w:val="nil"/>
          <w:right w:val="nil"/>
          <w:between w:val="nil"/>
        </w:pBdr>
        <w:spacing w:after="0"/>
        <w:jc w:val="both"/>
        <w:rPr>
          <w:b/>
          <w:bCs/>
          <w:color w:val="000000"/>
          <w:sz w:val="22"/>
          <w:szCs w:val="22"/>
        </w:rPr>
      </w:pPr>
    </w:p>
    <w:p w14:paraId="48B9A2B5" w14:textId="77777777" w:rsidR="00485EB2" w:rsidRPr="009B4621" w:rsidRDefault="00485EB2" w:rsidP="009B4621">
      <w:pPr>
        <w:spacing w:after="0"/>
        <w:jc w:val="both"/>
        <w:rPr>
          <w:sz w:val="22"/>
          <w:szCs w:val="22"/>
          <w:lang w:val="en-US"/>
        </w:rPr>
      </w:pPr>
      <w:r w:rsidRPr="009B4621">
        <w:rPr>
          <w:sz w:val="22"/>
          <w:szCs w:val="22"/>
        </w:rPr>
        <w:tab/>
      </w:r>
    </w:p>
    <w:p w14:paraId="14A3E37B" w14:textId="77777777" w:rsidR="00485EB2" w:rsidRPr="009B4621" w:rsidRDefault="00485EB2" w:rsidP="009B4621">
      <w:pPr>
        <w:spacing w:after="0"/>
        <w:jc w:val="both"/>
        <w:rPr>
          <w:sz w:val="22"/>
          <w:szCs w:val="22"/>
          <w:lang w:val="en-US"/>
        </w:rPr>
      </w:pPr>
    </w:p>
    <w:p w14:paraId="6E5AA479" w14:textId="77777777" w:rsidR="00485EB2" w:rsidRPr="00203DD1" w:rsidRDefault="00485EB2" w:rsidP="00485EB2">
      <w:pPr>
        <w:jc w:val="both"/>
        <w:rPr>
          <w:lang w:val="en-US"/>
        </w:rPr>
      </w:pPr>
    </w:p>
    <w:p w14:paraId="2664980A" w14:textId="77777777" w:rsidR="00485EB2" w:rsidRPr="00203DD1" w:rsidRDefault="00485EB2" w:rsidP="00485EB2">
      <w:pPr>
        <w:jc w:val="both"/>
        <w:rPr>
          <w:lang w:val="en-US"/>
        </w:rPr>
      </w:pPr>
    </w:p>
    <w:p w14:paraId="7C2988A0" w14:textId="77777777" w:rsidR="00485EB2" w:rsidRDefault="00485EB2" w:rsidP="00485EB2"/>
    <w:bookmarkEnd w:id="0"/>
    <w:p w14:paraId="606B6FE3" w14:textId="77777777" w:rsidR="00485EB2" w:rsidRDefault="00485EB2" w:rsidP="00485EB2"/>
    <w:p w14:paraId="7CCAA71F" w14:textId="77777777" w:rsidR="002E4499" w:rsidRDefault="002E4499"/>
    <w:sectPr w:rsidR="002E4499" w:rsidSect="008F29A4">
      <w:headerReference w:type="even" r:id="rId10"/>
      <w:headerReference w:type="default" r:id="rId1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8D2A5" w14:textId="77777777" w:rsidR="00BB63FD" w:rsidRDefault="00BB63FD" w:rsidP="00485EB2">
      <w:pPr>
        <w:spacing w:after="0"/>
      </w:pPr>
      <w:r>
        <w:separator/>
      </w:r>
    </w:p>
  </w:endnote>
  <w:endnote w:type="continuationSeparator" w:id="0">
    <w:p w14:paraId="64E0ECEF" w14:textId="77777777" w:rsidR="00BB63FD" w:rsidRDefault="00BB63FD" w:rsidP="00485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3DC3" w14:textId="77777777" w:rsidR="00BB63FD" w:rsidRDefault="00BB63FD" w:rsidP="00485EB2">
      <w:pPr>
        <w:spacing w:after="0"/>
      </w:pPr>
      <w:r>
        <w:separator/>
      </w:r>
    </w:p>
  </w:footnote>
  <w:footnote w:type="continuationSeparator" w:id="0">
    <w:p w14:paraId="0ECFD341" w14:textId="77777777" w:rsidR="00BB63FD" w:rsidRDefault="00BB63FD" w:rsidP="00485EB2">
      <w:pPr>
        <w:spacing w:after="0"/>
      </w:pPr>
      <w:r>
        <w:continuationSeparator/>
      </w:r>
    </w:p>
  </w:footnote>
  <w:footnote w:id="1">
    <w:p w14:paraId="40CEA10B" w14:textId="79C2ED4A" w:rsidR="008A1AB3" w:rsidRPr="00EF57F5" w:rsidRDefault="008A1AB3" w:rsidP="008A1AB3">
      <w:pPr>
        <w:pStyle w:val="WLGLevel1"/>
        <w:numPr>
          <w:ilvl w:val="0"/>
          <w:numId w:val="0"/>
        </w:numPr>
        <w:spacing w:line="360" w:lineRule="auto"/>
        <w:ind w:left="567" w:hanging="567"/>
        <w:rPr>
          <w:color w:val="C00000"/>
          <w:sz w:val="20"/>
        </w:rPr>
      </w:pPr>
      <w:r>
        <w:rPr>
          <w:rStyle w:val="FootnoteReference"/>
        </w:rPr>
        <w:footnoteRef/>
      </w:r>
      <w:r>
        <w:t xml:space="preserve"> </w:t>
      </w:r>
      <w:r w:rsidRPr="00EF57F5">
        <w:rPr>
          <w:sz w:val="20"/>
        </w:rPr>
        <w:t xml:space="preserve">See Annexure “SC5” specifically Caselines paginated pgs.002-69 </w:t>
      </w:r>
      <w:r w:rsidRPr="00EF57F5">
        <w:rPr>
          <w:color w:val="000000" w:themeColor="text1"/>
          <w:sz w:val="20"/>
        </w:rPr>
        <w:t>.</w:t>
      </w:r>
    </w:p>
    <w:p w14:paraId="1C5FE4F5" w14:textId="5204EB87" w:rsidR="008A1AB3" w:rsidRDefault="008A1AB3">
      <w:pPr>
        <w:pStyle w:val="FootnoteText"/>
      </w:pPr>
    </w:p>
  </w:footnote>
  <w:footnote w:id="2">
    <w:p w14:paraId="019343B6" w14:textId="3631593E" w:rsidR="0098138B" w:rsidRDefault="0098138B">
      <w:pPr>
        <w:pStyle w:val="FootnoteText"/>
      </w:pPr>
      <w:r>
        <w:rPr>
          <w:rStyle w:val="FootnoteReference"/>
        </w:rPr>
        <w:footnoteRef/>
      </w:r>
      <w:r>
        <w:t xml:space="preserve"> See Giant Concerts CC v Rinaldo Investments (Pty) Ltd and others 2013 (3) BCLR 251 CC at para 32.</w:t>
      </w:r>
    </w:p>
  </w:footnote>
  <w:footnote w:id="3">
    <w:p w14:paraId="15A1F8D5" w14:textId="3DA17F0B" w:rsidR="00DE416D" w:rsidRDefault="00DE416D">
      <w:pPr>
        <w:pStyle w:val="FootnoteText"/>
      </w:pPr>
      <w:r>
        <w:rPr>
          <w:rStyle w:val="FootnoteReference"/>
        </w:rPr>
        <w:footnoteRef/>
      </w:r>
      <w:r>
        <w:t xml:space="preserve"> See Mostert NO v Registrar of Pension Funds 2018 (2) SA 53 (SCA) at 61I-J; Commissioner, South African Revenue Services v Sasol Chevron Holdings Limited (unreported, SCA case no 1044/2020 dated 22 April 2022 at para [18]-[23]</w:t>
      </w:r>
    </w:p>
  </w:footnote>
  <w:footnote w:id="4">
    <w:p w14:paraId="551BD263" w14:textId="3D85EBD8" w:rsidR="00001A2D" w:rsidRDefault="00001A2D">
      <w:pPr>
        <w:pStyle w:val="FootnoteText"/>
      </w:pPr>
      <w:r>
        <w:rPr>
          <w:rStyle w:val="FootnoteReference"/>
        </w:rPr>
        <w:footnoteRef/>
      </w:r>
      <w:r>
        <w:t xml:space="preserve"> See Malan  v Van Rooyen 1929 POD 25; Watt v Sea Plant Products Bpk [1998] 4 ALL SA 109 ( C) 113-114.</w:t>
      </w:r>
    </w:p>
  </w:footnote>
  <w:footnote w:id="5">
    <w:p w14:paraId="33AFD385" w14:textId="4470CC5A" w:rsidR="00602676" w:rsidRDefault="00602676">
      <w:pPr>
        <w:pStyle w:val="FootnoteText"/>
      </w:pPr>
      <w:r>
        <w:rPr>
          <w:rStyle w:val="FootnoteReference"/>
        </w:rPr>
        <w:footnoteRef/>
      </w:r>
      <w:r>
        <w:t xml:space="preserve"> Mars Inc v Candy World (Pty) Ltd 1991 (1) SA 567 (A) p. 575 See also Kommissaris van Binnelandse Inkomste v Van der Heer 1999(3) SA 1051 </w:t>
      </w:r>
    </w:p>
  </w:footnote>
  <w:footnote w:id="6">
    <w:p w14:paraId="28C0F066" w14:textId="47876179" w:rsidR="00001A2D" w:rsidRDefault="00001A2D">
      <w:pPr>
        <w:pStyle w:val="FootnoteText"/>
      </w:pPr>
      <w:r>
        <w:rPr>
          <w:rStyle w:val="FootnoteReference"/>
        </w:rPr>
        <w:footnoteRef/>
      </w:r>
      <w:r>
        <w:t xml:space="preserve"> See  Lief NO v Dettman 1964 (2) SA 252 (A) ; Johnson v Inc General Insurance Ltd </w:t>
      </w:r>
      <w:r w:rsidR="00CE16D0">
        <w:t>1983(1) SA 318 (A).</w:t>
      </w:r>
    </w:p>
  </w:footnote>
  <w:footnote w:id="7">
    <w:p w14:paraId="41591532" w14:textId="3B65F7F6" w:rsidR="00D272E9" w:rsidRDefault="00D272E9">
      <w:pPr>
        <w:pStyle w:val="FootnoteText"/>
      </w:pPr>
      <w:r>
        <w:rPr>
          <w:rStyle w:val="FootnoteReference"/>
        </w:rPr>
        <w:footnoteRef/>
      </w:r>
      <w:r>
        <w:t xml:space="preserve"> CCT 25/12( 2012) ZACC 28</w:t>
      </w:r>
    </w:p>
  </w:footnote>
  <w:footnote w:id="8">
    <w:p w14:paraId="5D77EFC1" w14:textId="7755F8E0" w:rsidR="00BC2856" w:rsidRDefault="00BC2856">
      <w:pPr>
        <w:pStyle w:val="FootnoteText"/>
      </w:pPr>
      <w:r>
        <w:rPr>
          <w:rStyle w:val="FootnoteReference"/>
        </w:rPr>
        <w:footnoteRef/>
      </w:r>
      <w:r>
        <w:t xml:space="preserve"> See Koyabe and Others v Minister for Home Affairs and Others (Lawyers for Human Rights as A</w:t>
      </w:r>
      <w:r w:rsidR="003E321A">
        <w:t xml:space="preserve">micus Curiae </w:t>
      </w:r>
      <w:r>
        <w:t xml:space="preserve">[2009] ZACC 23 </w:t>
      </w:r>
      <w:r w:rsidR="003E321A">
        <w:t xml:space="preserve">: 2010 (4) SA 327 (CC); 2009 (12) BCLR 1192 (CC) </w:t>
      </w:r>
      <w:r>
        <w:t>at paragraph(s) 43-39,as well as 46-48.</w:t>
      </w:r>
    </w:p>
  </w:footnote>
  <w:footnote w:id="9">
    <w:p w14:paraId="1E188950" w14:textId="0A434C7E" w:rsidR="00D5173B" w:rsidRDefault="00D5173B">
      <w:pPr>
        <w:pStyle w:val="FootnoteText"/>
      </w:pPr>
      <w:r>
        <w:rPr>
          <w:rStyle w:val="FootnoteReference"/>
        </w:rPr>
        <w:footnoteRef/>
      </w:r>
      <w:r>
        <w:t xml:space="preserve"> 2008 (1) SA 383 (SCA). Also See Reader v Ikin 2008 (2) SA 582 (C) at 586 B-F;and see  City of Cape Town v Helderberg Park Development (Pty) Ltd 2008 (6) SA 12 (SCA) at 16A-G;</w:t>
      </w:r>
      <w:r w:rsidR="005B00AA">
        <w:t xml:space="preserve"> City of Cape Town v Reader 2009 (1) SA 555 (SCA) at 565 F-G; Sumbana v Head of Department of Public Works, Limpopo Province 2009 (3) SA 64 (HVC) at 70F-G and 72B-C; Koyabe</w:t>
      </w:r>
      <w:r w:rsidR="003E321A">
        <w:t xml:space="preserve"> and Others</w:t>
      </w:r>
      <w:r w:rsidR="005B00AA">
        <w:t xml:space="preserve"> v Minister of Home Affairs ( Lawyers for Human Rights as Amicus Curiae) 2010 (4) SA 327 ( CC) ; Basson v Hugo 2018 (3) SA 46 (SCA) at 51B-55G; Woodlands Dairy (Pty) Ltd v Minister of Agriculture, Forestry and Fisheries in the Government of the Republic of South Africa [2021] 3 All SA 619 (GP) at paragraphs [85]- [88].</w:t>
      </w:r>
    </w:p>
  </w:footnote>
  <w:footnote w:id="10">
    <w:p w14:paraId="146E0412" w14:textId="62CA94CD" w:rsidR="003E321A" w:rsidRDefault="003E321A">
      <w:pPr>
        <w:pStyle w:val="FootnoteText"/>
      </w:pPr>
      <w:r>
        <w:rPr>
          <w:rStyle w:val="FootnoteReference"/>
        </w:rPr>
        <w:footnoteRef/>
      </w:r>
      <w:r>
        <w:t xml:space="preserve"> See Bengwenyama (Pty)</w:t>
      </w:r>
      <w:r w:rsidR="00EF57F5">
        <w:t xml:space="preserve"> </w:t>
      </w:r>
      <w:r>
        <w:t xml:space="preserve">LTD </w:t>
      </w:r>
      <w:r w:rsidR="00EF57F5">
        <w:t>and Others v Genorah Resources (Pty) LTD and Others CCT 39/10 [2010] ZACC 26 at paragraph 24.</w:t>
      </w:r>
    </w:p>
  </w:footnote>
  <w:footnote w:id="11">
    <w:p w14:paraId="2F0E4289" w14:textId="069D2BB6" w:rsidR="00D272E9" w:rsidRDefault="00D272E9">
      <w:pPr>
        <w:pStyle w:val="FootnoteText"/>
      </w:pPr>
      <w:r>
        <w:rPr>
          <w:rStyle w:val="FootnoteReference"/>
        </w:rPr>
        <w:footnoteRef/>
      </w:r>
      <w:r>
        <w:t xml:space="preserve"> Giant Concerts CC and Rinaldo Investments &amp; Othe</w:t>
      </w:r>
      <w:r w:rsidR="00212F07">
        <w:t>rs CCT25/12 (2012) ZACC 28</w:t>
      </w:r>
    </w:p>
  </w:footnote>
  <w:footnote w:id="12">
    <w:p w14:paraId="722EF4AB" w14:textId="39021B5B" w:rsidR="000A59AE" w:rsidRDefault="000A59AE">
      <w:pPr>
        <w:pStyle w:val="FootnoteText"/>
      </w:pPr>
      <w:r>
        <w:rPr>
          <w:rStyle w:val="FootnoteReference"/>
        </w:rPr>
        <w:footnoteRef/>
      </w:r>
      <w:r>
        <w:t xml:space="preserve"> At par 6 of the Founding affidavit (caselines paginated pgs. 002-7)</w:t>
      </w:r>
    </w:p>
  </w:footnote>
  <w:footnote w:id="13">
    <w:p w14:paraId="1305897D" w14:textId="57B31FDE" w:rsidR="00D90313" w:rsidRDefault="00D90313">
      <w:pPr>
        <w:pStyle w:val="FootnoteText"/>
      </w:pPr>
      <w:r>
        <w:rPr>
          <w:rStyle w:val="FootnoteReference"/>
        </w:rPr>
        <w:footnoteRef/>
      </w:r>
      <w:r>
        <w:t xml:space="preserve"> See Hippo Quarries (Tvl) (Pty) Ltd v Eardley 1992 (1) SA 876 (A) at page 873.</w:t>
      </w:r>
    </w:p>
  </w:footnote>
  <w:footnote w:id="14">
    <w:p w14:paraId="18D27163" w14:textId="4895F434" w:rsidR="00D90313" w:rsidRDefault="00D90313">
      <w:pPr>
        <w:pStyle w:val="FootnoteText"/>
      </w:pPr>
      <w:r>
        <w:rPr>
          <w:rStyle w:val="FootnoteReference"/>
        </w:rPr>
        <w:footnoteRef/>
      </w:r>
      <w:r>
        <w:t xml:space="preserve"> See Caselines paginated </w:t>
      </w:r>
      <w:r w:rsidR="00C873D1">
        <w:t>pgs.</w:t>
      </w:r>
      <w:r>
        <w:t>, 002-45-002-4</w:t>
      </w:r>
      <w:r w:rsidR="00C873D1">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41270789"/>
      <w:docPartObj>
        <w:docPartGallery w:val="Page Numbers (Top of Page)"/>
        <w:docPartUnique/>
      </w:docPartObj>
    </w:sdtPr>
    <w:sdtEndPr>
      <w:rPr>
        <w:rStyle w:val="PageNumber"/>
      </w:rPr>
    </w:sdtEndPr>
    <w:sdtContent>
      <w:p w14:paraId="77C6EA3A" w14:textId="77777777" w:rsidR="00B52BD5" w:rsidRDefault="00BB63FD" w:rsidP="000D222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14B7EC" w14:textId="77777777" w:rsidR="00B52BD5" w:rsidRDefault="00B52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30491526"/>
      <w:docPartObj>
        <w:docPartGallery w:val="Page Numbers (Top of Page)"/>
        <w:docPartUnique/>
      </w:docPartObj>
    </w:sdtPr>
    <w:sdtEndPr>
      <w:rPr>
        <w:rStyle w:val="PageNumber"/>
      </w:rPr>
    </w:sdtEndPr>
    <w:sdtContent>
      <w:p w14:paraId="0FBA81EE" w14:textId="77777777" w:rsidR="00B52BD5" w:rsidRDefault="00BB63FD" w:rsidP="000D222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7D03">
          <w:rPr>
            <w:rStyle w:val="PageNumber"/>
            <w:noProof/>
          </w:rPr>
          <w:t>2</w:t>
        </w:r>
        <w:r>
          <w:rPr>
            <w:rStyle w:val="PageNumber"/>
          </w:rPr>
          <w:fldChar w:fldCharType="end"/>
        </w:r>
      </w:p>
    </w:sdtContent>
  </w:sdt>
  <w:p w14:paraId="0117426F" w14:textId="77777777" w:rsidR="00B52BD5" w:rsidRDefault="00B52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48DF589C"/>
    <w:multiLevelType w:val="hybridMultilevel"/>
    <w:tmpl w:val="EAB8442E"/>
    <w:lvl w:ilvl="0" w:tplc="AF026076">
      <w:start w:val="1"/>
      <w:numFmt w:val="lowerRoman"/>
      <w:lvlText w:val="%1."/>
      <w:lvlJc w:val="left"/>
      <w:pPr>
        <w:ind w:left="1185" w:hanging="720"/>
      </w:pPr>
      <w:rPr>
        <w:rFonts w:hint="default"/>
      </w:rPr>
    </w:lvl>
    <w:lvl w:ilvl="1" w:tplc="1C090019" w:tentative="1">
      <w:start w:val="1"/>
      <w:numFmt w:val="lowerLetter"/>
      <w:lvlText w:val="%2."/>
      <w:lvlJc w:val="left"/>
      <w:pPr>
        <w:ind w:left="1545" w:hanging="360"/>
      </w:pPr>
    </w:lvl>
    <w:lvl w:ilvl="2" w:tplc="1C09001B" w:tentative="1">
      <w:start w:val="1"/>
      <w:numFmt w:val="lowerRoman"/>
      <w:lvlText w:val="%3."/>
      <w:lvlJc w:val="right"/>
      <w:pPr>
        <w:ind w:left="2265" w:hanging="180"/>
      </w:pPr>
    </w:lvl>
    <w:lvl w:ilvl="3" w:tplc="1C09000F" w:tentative="1">
      <w:start w:val="1"/>
      <w:numFmt w:val="decimal"/>
      <w:lvlText w:val="%4."/>
      <w:lvlJc w:val="left"/>
      <w:pPr>
        <w:ind w:left="2985" w:hanging="360"/>
      </w:pPr>
    </w:lvl>
    <w:lvl w:ilvl="4" w:tplc="1C090019" w:tentative="1">
      <w:start w:val="1"/>
      <w:numFmt w:val="lowerLetter"/>
      <w:lvlText w:val="%5."/>
      <w:lvlJc w:val="left"/>
      <w:pPr>
        <w:ind w:left="3705" w:hanging="360"/>
      </w:pPr>
    </w:lvl>
    <w:lvl w:ilvl="5" w:tplc="1C09001B" w:tentative="1">
      <w:start w:val="1"/>
      <w:numFmt w:val="lowerRoman"/>
      <w:lvlText w:val="%6."/>
      <w:lvlJc w:val="right"/>
      <w:pPr>
        <w:ind w:left="4425" w:hanging="180"/>
      </w:pPr>
    </w:lvl>
    <w:lvl w:ilvl="6" w:tplc="1C09000F" w:tentative="1">
      <w:start w:val="1"/>
      <w:numFmt w:val="decimal"/>
      <w:lvlText w:val="%7."/>
      <w:lvlJc w:val="left"/>
      <w:pPr>
        <w:ind w:left="5145" w:hanging="360"/>
      </w:pPr>
    </w:lvl>
    <w:lvl w:ilvl="7" w:tplc="1C090019" w:tentative="1">
      <w:start w:val="1"/>
      <w:numFmt w:val="lowerLetter"/>
      <w:lvlText w:val="%8."/>
      <w:lvlJc w:val="left"/>
      <w:pPr>
        <w:ind w:left="5865" w:hanging="360"/>
      </w:pPr>
    </w:lvl>
    <w:lvl w:ilvl="8" w:tplc="1C09001B" w:tentative="1">
      <w:start w:val="1"/>
      <w:numFmt w:val="lowerRoman"/>
      <w:lvlText w:val="%9."/>
      <w:lvlJc w:val="right"/>
      <w:pPr>
        <w:ind w:left="6585" w:hanging="180"/>
      </w:pPr>
    </w:lvl>
  </w:abstractNum>
  <w:abstractNum w:abstractNumId="2">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B2"/>
    <w:rsid w:val="00001A2D"/>
    <w:rsid w:val="00014587"/>
    <w:rsid w:val="00064E69"/>
    <w:rsid w:val="000755DA"/>
    <w:rsid w:val="000A59AE"/>
    <w:rsid w:val="000E664D"/>
    <w:rsid w:val="000E7D03"/>
    <w:rsid w:val="001D4204"/>
    <w:rsid w:val="0021002E"/>
    <w:rsid w:val="00212F07"/>
    <w:rsid w:val="00282A18"/>
    <w:rsid w:val="00295FAE"/>
    <w:rsid w:val="002B75C0"/>
    <w:rsid w:val="002D7800"/>
    <w:rsid w:val="002E4499"/>
    <w:rsid w:val="002F741F"/>
    <w:rsid w:val="0033138D"/>
    <w:rsid w:val="003C76BD"/>
    <w:rsid w:val="003E321A"/>
    <w:rsid w:val="00485EB2"/>
    <w:rsid w:val="004B51D0"/>
    <w:rsid w:val="004F0134"/>
    <w:rsid w:val="00575914"/>
    <w:rsid w:val="005912D9"/>
    <w:rsid w:val="005972E5"/>
    <w:rsid w:val="005B00AA"/>
    <w:rsid w:val="005C07E0"/>
    <w:rsid w:val="005D0C60"/>
    <w:rsid w:val="00602676"/>
    <w:rsid w:val="00662EFF"/>
    <w:rsid w:val="006A411C"/>
    <w:rsid w:val="006B70FD"/>
    <w:rsid w:val="006D0806"/>
    <w:rsid w:val="00710B29"/>
    <w:rsid w:val="0071180A"/>
    <w:rsid w:val="007133A8"/>
    <w:rsid w:val="007728D7"/>
    <w:rsid w:val="007822F5"/>
    <w:rsid w:val="007C11EE"/>
    <w:rsid w:val="00807094"/>
    <w:rsid w:val="00871E74"/>
    <w:rsid w:val="008A1AB3"/>
    <w:rsid w:val="008A3969"/>
    <w:rsid w:val="008F7EC2"/>
    <w:rsid w:val="009159B2"/>
    <w:rsid w:val="00955EAE"/>
    <w:rsid w:val="0096347B"/>
    <w:rsid w:val="0098138B"/>
    <w:rsid w:val="009B307D"/>
    <w:rsid w:val="009B4621"/>
    <w:rsid w:val="009C1997"/>
    <w:rsid w:val="009C6704"/>
    <w:rsid w:val="00A03E9B"/>
    <w:rsid w:val="00A3447F"/>
    <w:rsid w:val="00AA2C3C"/>
    <w:rsid w:val="00AD074F"/>
    <w:rsid w:val="00B52BD5"/>
    <w:rsid w:val="00BB63FD"/>
    <w:rsid w:val="00BC2856"/>
    <w:rsid w:val="00BF3550"/>
    <w:rsid w:val="00C01019"/>
    <w:rsid w:val="00C04B29"/>
    <w:rsid w:val="00C06228"/>
    <w:rsid w:val="00C33A06"/>
    <w:rsid w:val="00C417E5"/>
    <w:rsid w:val="00C873D1"/>
    <w:rsid w:val="00CE16D0"/>
    <w:rsid w:val="00D272E9"/>
    <w:rsid w:val="00D31986"/>
    <w:rsid w:val="00D5173B"/>
    <w:rsid w:val="00D54BD4"/>
    <w:rsid w:val="00D86678"/>
    <w:rsid w:val="00D90313"/>
    <w:rsid w:val="00D9759F"/>
    <w:rsid w:val="00DD714D"/>
    <w:rsid w:val="00DE416D"/>
    <w:rsid w:val="00E0029C"/>
    <w:rsid w:val="00E37D73"/>
    <w:rsid w:val="00E55D6C"/>
    <w:rsid w:val="00E65AC4"/>
    <w:rsid w:val="00E73D12"/>
    <w:rsid w:val="00E919FD"/>
    <w:rsid w:val="00EC2E2F"/>
    <w:rsid w:val="00EC3598"/>
    <w:rsid w:val="00ED6121"/>
    <w:rsid w:val="00EF57F5"/>
    <w:rsid w:val="00F16102"/>
    <w:rsid w:val="00F401EF"/>
    <w:rsid w:val="00F403A2"/>
    <w:rsid w:val="00F669D1"/>
    <w:rsid w:val="00FC03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AE92"/>
  <w15:chartTrackingRefBased/>
  <w15:docId w15:val="{E3ED4ADA-A5FA-40E3-8BE6-0FDBC4CD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EB2"/>
    <w:rPr>
      <w:rFonts w:ascii="Arial" w:hAnsi="Arial" w:cs="Times New Roman (Body 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EB2"/>
    <w:pPr>
      <w:tabs>
        <w:tab w:val="center" w:pos="4513"/>
        <w:tab w:val="right" w:pos="9026"/>
      </w:tabs>
    </w:pPr>
  </w:style>
  <w:style w:type="character" w:customStyle="1" w:styleId="HeaderChar">
    <w:name w:val="Header Char"/>
    <w:basedOn w:val="DefaultParagraphFont"/>
    <w:link w:val="Header"/>
    <w:uiPriority w:val="99"/>
    <w:rsid w:val="00485EB2"/>
    <w:rPr>
      <w:rFonts w:ascii="Arial" w:hAnsi="Arial" w:cs="Times New Roman (Body CS)"/>
      <w:kern w:val="0"/>
      <w:sz w:val="24"/>
      <w:szCs w:val="24"/>
      <w14:ligatures w14:val="none"/>
    </w:rPr>
  </w:style>
  <w:style w:type="character" w:styleId="PageNumber">
    <w:name w:val="page number"/>
    <w:basedOn w:val="DefaultParagraphFont"/>
    <w:uiPriority w:val="99"/>
    <w:semiHidden/>
    <w:unhideWhenUsed/>
    <w:rsid w:val="00485EB2"/>
  </w:style>
  <w:style w:type="paragraph" w:customStyle="1" w:styleId="WLGLevel1">
    <w:name w:val="WLGLevel1"/>
    <w:basedOn w:val="Normal"/>
    <w:link w:val="WLGLevel1Char"/>
    <w:qFormat/>
    <w:rsid w:val="00485EB2"/>
    <w:pPr>
      <w:numPr>
        <w:numId w:val="1"/>
      </w:numPr>
      <w:suppressAutoHyphens/>
      <w:spacing w:before="320" w:after="320" w:line="480" w:lineRule="auto"/>
      <w:jc w:val="both"/>
      <w:outlineLvl w:val="0"/>
    </w:pPr>
    <w:rPr>
      <w:rFonts w:eastAsia="Times New Roman" w:cs="Times New Roman"/>
      <w:szCs w:val="20"/>
    </w:rPr>
  </w:style>
  <w:style w:type="paragraph" w:customStyle="1" w:styleId="WLGLevel2">
    <w:name w:val="WLGLevel2"/>
    <w:basedOn w:val="Normal"/>
    <w:qFormat/>
    <w:rsid w:val="00485EB2"/>
    <w:pPr>
      <w:numPr>
        <w:ilvl w:val="1"/>
        <w:numId w:val="1"/>
      </w:numPr>
      <w:tabs>
        <w:tab w:val="clear" w:pos="4480"/>
        <w:tab w:val="num" w:pos="1361"/>
      </w:tabs>
      <w:suppressAutoHyphens/>
      <w:spacing w:after="320" w:line="480" w:lineRule="auto"/>
      <w:ind w:left="1361"/>
      <w:jc w:val="both"/>
      <w:outlineLvl w:val="1"/>
    </w:pPr>
    <w:rPr>
      <w:rFonts w:eastAsia="Times New Roman" w:cs="Times New Roman"/>
      <w:szCs w:val="20"/>
    </w:rPr>
  </w:style>
  <w:style w:type="paragraph" w:customStyle="1" w:styleId="WLGLevel3">
    <w:name w:val="WLGLevel3"/>
    <w:basedOn w:val="Normal"/>
    <w:qFormat/>
    <w:rsid w:val="00485EB2"/>
    <w:pPr>
      <w:numPr>
        <w:ilvl w:val="2"/>
        <w:numId w:val="1"/>
      </w:numPr>
      <w:suppressAutoHyphens/>
      <w:spacing w:after="320" w:line="480" w:lineRule="auto"/>
      <w:jc w:val="both"/>
      <w:outlineLvl w:val="2"/>
    </w:pPr>
    <w:rPr>
      <w:rFonts w:eastAsia="Times New Roman" w:cs="Times New Roman"/>
      <w:szCs w:val="20"/>
    </w:rPr>
  </w:style>
  <w:style w:type="paragraph" w:customStyle="1" w:styleId="WLGLevel4">
    <w:name w:val="WLGLevel4"/>
    <w:basedOn w:val="Normal"/>
    <w:qFormat/>
    <w:rsid w:val="00485EB2"/>
    <w:pPr>
      <w:numPr>
        <w:ilvl w:val="3"/>
        <w:numId w:val="1"/>
      </w:numPr>
      <w:suppressAutoHyphens/>
      <w:spacing w:after="320" w:line="480" w:lineRule="auto"/>
      <w:jc w:val="both"/>
      <w:outlineLvl w:val="3"/>
    </w:pPr>
    <w:rPr>
      <w:rFonts w:eastAsia="Times New Roman" w:cs="Times New Roman"/>
      <w:szCs w:val="20"/>
    </w:rPr>
  </w:style>
  <w:style w:type="paragraph" w:customStyle="1" w:styleId="WLGLevel5">
    <w:name w:val="WLGLevel5"/>
    <w:basedOn w:val="Normal"/>
    <w:qFormat/>
    <w:rsid w:val="00485EB2"/>
    <w:pPr>
      <w:numPr>
        <w:ilvl w:val="4"/>
        <w:numId w:val="1"/>
      </w:numPr>
      <w:suppressAutoHyphens/>
      <w:spacing w:after="320" w:line="480" w:lineRule="auto"/>
      <w:jc w:val="both"/>
      <w:outlineLvl w:val="4"/>
    </w:pPr>
    <w:rPr>
      <w:rFonts w:eastAsia="Times New Roman" w:cs="Times New Roman"/>
      <w:szCs w:val="20"/>
    </w:rPr>
  </w:style>
  <w:style w:type="character" w:customStyle="1" w:styleId="WLGLevel1Char">
    <w:name w:val="WLGLevel1 Char"/>
    <w:basedOn w:val="DefaultParagraphFont"/>
    <w:link w:val="WLGLevel1"/>
    <w:rsid w:val="00485EB2"/>
    <w:rPr>
      <w:rFonts w:ascii="Arial" w:eastAsia="Times New Roman" w:hAnsi="Arial" w:cs="Times New Roman"/>
      <w:kern w:val="0"/>
      <w:sz w:val="24"/>
      <w:szCs w:val="20"/>
      <w14:ligatures w14:val="none"/>
    </w:rPr>
  </w:style>
  <w:style w:type="paragraph" w:styleId="PlainText">
    <w:name w:val="Plain Text"/>
    <w:link w:val="PlainTextChar"/>
    <w:uiPriority w:val="99"/>
    <w:unhideWhenUsed/>
    <w:rsid w:val="00485EB2"/>
    <w:pPr>
      <w:spacing w:after="0" w:line="276" w:lineRule="auto"/>
      <w:jc w:val="both"/>
    </w:pPr>
    <w:rPr>
      <w:rFonts w:ascii="Courier New" w:eastAsia="Arial Unicode MS" w:hAnsi="Courier New" w:cs="Arial Unicode MS"/>
      <w:color w:val="000000"/>
      <w:kern w:val="0"/>
      <w:u w:color="000000"/>
      <w:lang w:val="en-US"/>
      <w14:ligatures w14:val="none"/>
    </w:rPr>
  </w:style>
  <w:style w:type="character" w:customStyle="1" w:styleId="PlainTextChar">
    <w:name w:val="Plain Text Char"/>
    <w:basedOn w:val="DefaultParagraphFont"/>
    <w:link w:val="PlainText"/>
    <w:uiPriority w:val="99"/>
    <w:rsid w:val="00485EB2"/>
    <w:rPr>
      <w:rFonts w:ascii="Courier New" w:eastAsia="Arial Unicode MS" w:hAnsi="Courier New" w:cs="Arial Unicode MS"/>
      <w:color w:val="000000"/>
      <w:kern w:val="0"/>
      <w:u w:color="000000"/>
      <w:lang w:val="en-US"/>
      <w14:ligatures w14:val="none"/>
    </w:rPr>
  </w:style>
  <w:style w:type="table" w:styleId="TableGrid">
    <w:name w:val="Table Grid"/>
    <w:basedOn w:val="TableNormal"/>
    <w:uiPriority w:val="39"/>
    <w:rsid w:val="00485EB2"/>
    <w:pPr>
      <w:spacing w:after="0"/>
    </w:pPr>
    <w:rPr>
      <w:kern w:val="0"/>
      <w:sz w:val="24"/>
      <w:szCs w:val="24"/>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5EB2"/>
    <w:rPr>
      <w:sz w:val="20"/>
      <w:szCs w:val="20"/>
    </w:rPr>
  </w:style>
  <w:style w:type="character" w:customStyle="1" w:styleId="FootnoteTextChar">
    <w:name w:val="Footnote Text Char"/>
    <w:basedOn w:val="DefaultParagraphFont"/>
    <w:link w:val="FootnoteText"/>
    <w:uiPriority w:val="99"/>
    <w:semiHidden/>
    <w:rsid w:val="00485EB2"/>
    <w:rPr>
      <w:rFonts w:ascii="Arial" w:hAnsi="Arial" w:cs="Times New Roman (Body CS)"/>
      <w:kern w:val="0"/>
      <w:sz w:val="20"/>
      <w:szCs w:val="20"/>
      <w14:ligatures w14:val="none"/>
    </w:rPr>
  </w:style>
  <w:style w:type="character" w:styleId="FootnoteReference">
    <w:name w:val="footnote reference"/>
    <w:basedOn w:val="DefaultParagraphFont"/>
    <w:uiPriority w:val="99"/>
    <w:semiHidden/>
    <w:unhideWhenUsed/>
    <w:rsid w:val="00485EB2"/>
    <w:rPr>
      <w:vertAlign w:val="superscript"/>
    </w:rPr>
  </w:style>
  <w:style w:type="character" w:styleId="Hyperlink">
    <w:name w:val="Hyperlink"/>
    <w:basedOn w:val="DefaultParagraphFont"/>
    <w:uiPriority w:val="99"/>
    <w:unhideWhenUsed/>
    <w:rsid w:val="007C11EE"/>
    <w:rPr>
      <w:color w:val="0563C1" w:themeColor="hyperlink"/>
      <w:u w:val="single"/>
    </w:rPr>
  </w:style>
  <w:style w:type="character" w:customStyle="1" w:styleId="UnresolvedMention">
    <w:name w:val="Unresolved Mention"/>
    <w:basedOn w:val="DefaultParagraphFont"/>
    <w:uiPriority w:val="99"/>
    <w:semiHidden/>
    <w:unhideWhenUsed/>
    <w:rsid w:val="007C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tham@vdberg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C25CC-04CE-42A1-BC12-09BD1F98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Yende Julian</dc:creator>
  <cp:keywords/>
  <dc:description/>
  <cp:lastModifiedBy>Mokone</cp:lastModifiedBy>
  <cp:revision>2</cp:revision>
  <dcterms:created xsi:type="dcterms:W3CDTF">2023-09-18T14:51:00Z</dcterms:created>
  <dcterms:modified xsi:type="dcterms:W3CDTF">2023-09-18T14:51:00Z</dcterms:modified>
</cp:coreProperties>
</file>