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64B8A" w14:textId="77777777" w:rsidR="00994FD2" w:rsidRPr="001A00A0" w:rsidRDefault="00994FD2" w:rsidP="00994FD2">
      <w:pPr>
        <w:tabs>
          <w:tab w:val="left" w:pos="6946"/>
          <w:tab w:val="left" w:pos="7230"/>
        </w:tabs>
        <w:jc w:val="center"/>
        <w:rPr>
          <w:b/>
          <w:lang w:val="en-US"/>
        </w:rPr>
      </w:pPr>
      <w:r w:rsidRPr="00BA7A51">
        <w:rPr>
          <w:noProof/>
          <w:lang w:val="en-US"/>
        </w:rPr>
        <w:drawing>
          <wp:inline distT="0" distB="0" distL="0" distR="0" wp14:anchorId="446BC31F" wp14:editId="7529525B">
            <wp:extent cx="1476375" cy="1485900"/>
            <wp:effectExtent l="0" t="0" r="9525" b="0"/>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2" name="Picture 2" descr="http://ocj000-intranet/assets/judiciary-logo---seal-2.jpg"/>
                    <pic:cNvPicPr/>
                  </pic:nvPicPr>
                  <pic:blipFill>
                    <a:blip r:embed="rId7" cstate="print">
                      <a:extLst>
                        <a:ext uri="{BEBA8EAE-BF5A-486C-A8C5-ECC9F3942E4B}">
                          <a14:imgProps xmlns:a14="http://schemas.microsoft.com/office/drawing/2010/main">
                            <a14:imgLayer r:embed="rId8">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inline>
        </w:drawing>
      </w:r>
    </w:p>
    <w:p w14:paraId="058CC27B" w14:textId="77777777" w:rsidR="00994FD2" w:rsidRPr="002B5664" w:rsidRDefault="00994FD2" w:rsidP="00994FD2">
      <w:pPr>
        <w:widowControl w:val="0"/>
        <w:ind w:left="6480"/>
        <w:jc w:val="both"/>
        <w:rPr>
          <w:rFonts w:ascii="Arial" w:hAnsi="Arial" w:cs="Arial"/>
          <w:u w:val="single"/>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994FD2" w:rsidRPr="00E1648A" w14:paraId="05BC8F31" w14:textId="77777777" w:rsidTr="008A2658">
        <w:tc>
          <w:tcPr>
            <w:tcW w:w="4820" w:type="dxa"/>
          </w:tcPr>
          <w:p w14:paraId="040D97E4" w14:textId="77777777" w:rsidR="00994FD2" w:rsidRDefault="00994FD2" w:rsidP="008A2658">
            <w:pPr>
              <w:pStyle w:val="Title"/>
              <w:spacing w:line="360" w:lineRule="auto"/>
              <w:ind w:left="720"/>
              <w:jc w:val="both"/>
              <w:rPr>
                <w:b w:val="0"/>
                <w:bCs w:val="0"/>
                <w:sz w:val="16"/>
                <w:szCs w:val="16"/>
                <w:lang w:val="af-ZA"/>
              </w:rPr>
            </w:pPr>
          </w:p>
          <w:p w14:paraId="1888C9F1" w14:textId="5FA4BD18" w:rsidR="00994FD2" w:rsidRPr="001A00A0" w:rsidRDefault="00AE5D49" w:rsidP="00AE5D49">
            <w:pPr>
              <w:pStyle w:val="Title"/>
              <w:spacing w:line="360" w:lineRule="auto"/>
              <w:ind w:left="720" w:hanging="360"/>
              <w:jc w:val="both"/>
              <w:rPr>
                <w:b w:val="0"/>
                <w:bCs w:val="0"/>
                <w:sz w:val="16"/>
                <w:szCs w:val="16"/>
                <w:lang w:val="af-ZA"/>
              </w:rPr>
            </w:pPr>
            <w:r w:rsidRPr="001A00A0">
              <w:rPr>
                <w:b w:val="0"/>
                <w:bCs w:val="0"/>
                <w:sz w:val="16"/>
                <w:szCs w:val="16"/>
                <w:lang w:val="af-ZA"/>
              </w:rPr>
              <w:t>1)</w:t>
            </w:r>
            <w:r w:rsidRPr="001A00A0">
              <w:rPr>
                <w:b w:val="0"/>
                <w:bCs w:val="0"/>
                <w:sz w:val="16"/>
                <w:szCs w:val="16"/>
                <w:lang w:val="af-ZA"/>
              </w:rPr>
              <w:tab/>
            </w:r>
            <w:r w:rsidR="00994FD2" w:rsidRPr="001A00A0">
              <w:rPr>
                <w:b w:val="0"/>
                <w:bCs w:val="0"/>
                <w:sz w:val="16"/>
                <w:szCs w:val="16"/>
                <w:lang w:val="af-ZA"/>
              </w:rPr>
              <w:t xml:space="preserve">REPORTABLE: </w:t>
            </w:r>
            <w:r w:rsidR="00994FD2" w:rsidRPr="00FD4001">
              <w:rPr>
                <w:b w:val="0"/>
                <w:bCs w:val="0"/>
                <w:sz w:val="16"/>
                <w:szCs w:val="16"/>
                <w:lang w:val="af-ZA"/>
              </w:rPr>
              <w:t>YES/</w:t>
            </w:r>
            <w:r w:rsidR="00994FD2" w:rsidRPr="00FD4001">
              <w:rPr>
                <w:b w:val="0"/>
                <w:bCs w:val="0"/>
                <w:strike/>
                <w:sz w:val="16"/>
                <w:szCs w:val="16"/>
                <w:lang w:val="af-ZA"/>
              </w:rPr>
              <w:t>NO</w:t>
            </w:r>
          </w:p>
          <w:p w14:paraId="52B7DA4C" w14:textId="54085B55" w:rsidR="00994FD2" w:rsidRPr="001A00A0" w:rsidRDefault="00AE5D49" w:rsidP="00AE5D49">
            <w:pPr>
              <w:pStyle w:val="Title"/>
              <w:spacing w:line="360" w:lineRule="auto"/>
              <w:ind w:left="720" w:hanging="360"/>
              <w:jc w:val="left"/>
              <w:rPr>
                <w:b w:val="0"/>
                <w:bCs w:val="0"/>
                <w:sz w:val="16"/>
                <w:szCs w:val="16"/>
                <w:lang w:val="af-ZA"/>
              </w:rPr>
            </w:pPr>
            <w:r w:rsidRPr="001A00A0">
              <w:rPr>
                <w:b w:val="0"/>
                <w:bCs w:val="0"/>
                <w:sz w:val="16"/>
                <w:szCs w:val="16"/>
                <w:lang w:val="af-ZA"/>
              </w:rPr>
              <w:t>2)</w:t>
            </w:r>
            <w:r w:rsidRPr="001A00A0">
              <w:rPr>
                <w:b w:val="0"/>
                <w:bCs w:val="0"/>
                <w:sz w:val="16"/>
                <w:szCs w:val="16"/>
                <w:lang w:val="af-ZA"/>
              </w:rPr>
              <w:tab/>
            </w:r>
            <w:r w:rsidR="00994FD2" w:rsidRPr="001A00A0">
              <w:rPr>
                <w:b w:val="0"/>
                <w:bCs w:val="0"/>
                <w:sz w:val="16"/>
                <w:szCs w:val="16"/>
                <w:lang w:val="af-ZA"/>
              </w:rPr>
              <w:t xml:space="preserve">OF INTEREST TO OTHER JUDGES:  </w:t>
            </w:r>
            <w:r w:rsidR="00994FD2" w:rsidRPr="00FD4001">
              <w:rPr>
                <w:b w:val="0"/>
                <w:bCs w:val="0"/>
                <w:sz w:val="16"/>
                <w:szCs w:val="16"/>
                <w:lang w:val="af-ZA"/>
              </w:rPr>
              <w:t xml:space="preserve"> YES/</w:t>
            </w:r>
            <w:r w:rsidR="00994FD2" w:rsidRPr="00FD4001">
              <w:rPr>
                <w:b w:val="0"/>
                <w:bCs w:val="0"/>
                <w:strike/>
                <w:sz w:val="16"/>
                <w:szCs w:val="16"/>
                <w:lang w:val="af-ZA"/>
              </w:rPr>
              <w:t>NO</w:t>
            </w:r>
          </w:p>
          <w:p w14:paraId="723E74D7" w14:textId="2533EC98" w:rsidR="00994FD2" w:rsidRDefault="00AE5D49" w:rsidP="00AE5D49">
            <w:pPr>
              <w:pStyle w:val="Title"/>
              <w:spacing w:line="360" w:lineRule="auto"/>
              <w:ind w:left="720" w:hanging="360"/>
              <w:jc w:val="both"/>
              <w:rPr>
                <w:b w:val="0"/>
                <w:bCs w:val="0"/>
                <w:sz w:val="16"/>
                <w:szCs w:val="16"/>
                <w:lang w:val="af-ZA"/>
              </w:rPr>
            </w:pPr>
            <w:r>
              <w:rPr>
                <w:b w:val="0"/>
                <w:bCs w:val="0"/>
                <w:sz w:val="16"/>
                <w:szCs w:val="16"/>
                <w:lang w:val="af-ZA"/>
              </w:rPr>
              <w:t>3)</w:t>
            </w:r>
            <w:r>
              <w:rPr>
                <w:b w:val="0"/>
                <w:bCs w:val="0"/>
                <w:sz w:val="16"/>
                <w:szCs w:val="16"/>
                <w:lang w:val="af-ZA"/>
              </w:rPr>
              <w:tab/>
            </w:r>
            <w:r w:rsidR="00994FD2" w:rsidRPr="001A00A0">
              <w:rPr>
                <w:b w:val="0"/>
                <w:bCs w:val="0"/>
                <w:sz w:val="16"/>
                <w:szCs w:val="16"/>
                <w:lang w:val="af-ZA"/>
              </w:rPr>
              <w:t>REVISED</w:t>
            </w:r>
            <w:r w:rsidR="00994FD2">
              <w:rPr>
                <w:b w:val="0"/>
                <w:bCs w:val="0"/>
                <w:sz w:val="16"/>
                <w:szCs w:val="16"/>
                <w:lang w:val="af-ZA"/>
              </w:rPr>
              <w:t>: YES/</w:t>
            </w:r>
            <w:r w:rsidR="00994FD2" w:rsidRPr="00FD4001">
              <w:rPr>
                <w:b w:val="0"/>
                <w:bCs w:val="0"/>
                <w:strike/>
                <w:sz w:val="16"/>
                <w:szCs w:val="16"/>
                <w:lang w:val="af-ZA"/>
              </w:rPr>
              <w:t>NO</w:t>
            </w:r>
          </w:p>
          <w:p w14:paraId="4489A7CD" w14:textId="77777777" w:rsidR="00FB2136" w:rsidRDefault="00FB2136" w:rsidP="008A2658">
            <w:pPr>
              <w:pStyle w:val="Title"/>
              <w:spacing w:line="360" w:lineRule="auto"/>
              <w:ind w:left="34" w:hanging="34"/>
              <w:jc w:val="both"/>
              <w:rPr>
                <w:noProof/>
                <w:lang w:val="en-ZA" w:eastAsia="en-ZA"/>
              </w:rPr>
            </w:pPr>
          </w:p>
          <w:p w14:paraId="61155723" w14:textId="105268C3" w:rsidR="00994FD2" w:rsidRDefault="00994FD2" w:rsidP="008A2658">
            <w:pPr>
              <w:pStyle w:val="Title"/>
              <w:spacing w:line="360" w:lineRule="auto"/>
              <w:ind w:left="34" w:hanging="34"/>
              <w:jc w:val="both"/>
              <w:rPr>
                <w:b w:val="0"/>
                <w:bCs w:val="0"/>
                <w:sz w:val="16"/>
                <w:szCs w:val="16"/>
                <w:lang w:val="af-ZA"/>
              </w:rPr>
            </w:pPr>
            <w:r>
              <w:rPr>
                <w:b w:val="0"/>
                <w:bCs w:val="0"/>
                <w:sz w:val="16"/>
                <w:szCs w:val="16"/>
                <w:lang w:val="af-ZA"/>
              </w:rPr>
              <w:t xml:space="preserve">                                   </w:t>
            </w:r>
            <w:r w:rsidR="00B706CF">
              <w:rPr>
                <w:b w:val="0"/>
                <w:bCs w:val="0"/>
                <w:sz w:val="16"/>
                <w:szCs w:val="16"/>
                <w:lang w:val="af-ZA"/>
              </w:rPr>
              <w:t>10</w:t>
            </w:r>
            <w:r w:rsidR="00FD4001">
              <w:rPr>
                <w:b w:val="0"/>
                <w:bCs w:val="0"/>
                <w:sz w:val="16"/>
                <w:szCs w:val="16"/>
                <w:lang w:val="af-ZA"/>
              </w:rPr>
              <w:t xml:space="preserve"> </w:t>
            </w:r>
            <w:r>
              <w:rPr>
                <w:b w:val="0"/>
                <w:bCs w:val="0"/>
                <w:sz w:val="16"/>
                <w:szCs w:val="16"/>
                <w:lang w:val="af-ZA"/>
              </w:rPr>
              <w:t>Ma</w:t>
            </w:r>
            <w:r w:rsidR="00FD4001">
              <w:rPr>
                <w:b w:val="0"/>
                <w:bCs w:val="0"/>
                <w:sz w:val="16"/>
                <w:szCs w:val="16"/>
                <w:lang w:val="af-ZA"/>
              </w:rPr>
              <w:t>y</w:t>
            </w:r>
            <w:r>
              <w:rPr>
                <w:b w:val="0"/>
                <w:bCs w:val="0"/>
                <w:sz w:val="16"/>
                <w:szCs w:val="16"/>
                <w:lang w:val="af-ZA"/>
              </w:rPr>
              <w:t xml:space="preserve"> 2023</w:t>
            </w:r>
          </w:p>
          <w:p w14:paraId="0ABCBD73" w14:textId="77777777" w:rsidR="00994FD2" w:rsidRPr="001A00A0" w:rsidRDefault="00994FD2" w:rsidP="008A2658">
            <w:pPr>
              <w:pStyle w:val="Title"/>
              <w:spacing w:line="360" w:lineRule="auto"/>
              <w:jc w:val="both"/>
              <w:rPr>
                <w:b w:val="0"/>
                <w:bCs w:val="0"/>
                <w:sz w:val="16"/>
                <w:szCs w:val="16"/>
                <w:lang w:val="af-ZA"/>
              </w:rPr>
            </w:pPr>
            <w:r>
              <w:rPr>
                <w:b w:val="0"/>
                <w:bCs w:val="0"/>
                <w:sz w:val="16"/>
                <w:szCs w:val="16"/>
                <w:lang w:val="af-ZA"/>
              </w:rPr>
              <w:t>SIGNATURE                                     DATE</w:t>
            </w:r>
          </w:p>
        </w:tc>
      </w:tr>
    </w:tbl>
    <w:p w14:paraId="2DCDF6EF" w14:textId="77777777" w:rsidR="00994FD2" w:rsidRDefault="00994FD2" w:rsidP="00994FD2">
      <w:pPr>
        <w:rPr>
          <w:rFonts w:ascii="Arial" w:hAnsi="Arial" w:cs="Arial"/>
        </w:rPr>
      </w:pPr>
    </w:p>
    <w:p w14:paraId="51870823" w14:textId="77777777" w:rsidR="00994FD2" w:rsidRDefault="00994FD2" w:rsidP="00994FD2">
      <w:pPr>
        <w:tabs>
          <w:tab w:val="left" w:pos="6946"/>
          <w:tab w:val="left" w:pos="7230"/>
        </w:tabs>
        <w:rPr>
          <w:b/>
          <w:lang w:val="en-US"/>
        </w:rPr>
      </w:pPr>
    </w:p>
    <w:p w14:paraId="44501456" w14:textId="77777777" w:rsidR="00994FD2" w:rsidRPr="003C0498" w:rsidRDefault="00994FD2" w:rsidP="00994FD2">
      <w:pPr>
        <w:tabs>
          <w:tab w:val="left" w:pos="6946"/>
          <w:tab w:val="left" w:pos="7230"/>
        </w:tabs>
        <w:jc w:val="center"/>
        <w:rPr>
          <w:rFonts w:ascii="Arial" w:hAnsi="Arial" w:cs="Arial"/>
          <w:b/>
          <w:lang w:val="en-US"/>
        </w:rPr>
      </w:pPr>
      <w:r w:rsidRPr="003C0498">
        <w:rPr>
          <w:rFonts w:ascii="Arial" w:hAnsi="Arial" w:cs="Arial"/>
          <w:b/>
          <w:lang w:val="en-US"/>
        </w:rPr>
        <w:t>IN THE HIGH COURT OF SOUTH AFRICA</w:t>
      </w:r>
    </w:p>
    <w:p w14:paraId="4F28F71D" w14:textId="77777777" w:rsidR="00994FD2" w:rsidRPr="003C0498" w:rsidRDefault="00994FD2" w:rsidP="00994FD2">
      <w:pPr>
        <w:tabs>
          <w:tab w:val="left" w:pos="6946"/>
          <w:tab w:val="left" w:pos="7230"/>
        </w:tabs>
        <w:jc w:val="center"/>
        <w:rPr>
          <w:rFonts w:ascii="Arial" w:hAnsi="Arial" w:cs="Arial"/>
          <w:b/>
          <w:lang w:val="en-US"/>
        </w:rPr>
      </w:pPr>
      <w:r w:rsidRPr="003C0498">
        <w:rPr>
          <w:rFonts w:ascii="Arial" w:hAnsi="Arial" w:cs="Arial"/>
          <w:b/>
          <w:lang w:val="en-US"/>
        </w:rPr>
        <w:t>GAUTENG DIVISION, PRETORIA</w:t>
      </w:r>
    </w:p>
    <w:p w14:paraId="188A68E8" w14:textId="77777777" w:rsidR="00994FD2" w:rsidRPr="003C0498" w:rsidRDefault="00994FD2" w:rsidP="00994FD2">
      <w:pPr>
        <w:rPr>
          <w:rFonts w:ascii="Arial" w:hAnsi="Arial" w:cs="Arial"/>
        </w:rPr>
      </w:pPr>
    </w:p>
    <w:p w14:paraId="2ED72010" w14:textId="77777777" w:rsidR="00994FD2" w:rsidRPr="005C4D20" w:rsidRDefault="00994FD2" w:rsidP="00994FD2">
      <w:pPr>
        <w:tabs>
          <w:tab w:val="left" w:pos="6946"/>
          <w:tab w:val="left" w:pos="7230"/>
        </w:tabs>
        <w:rPr>
          <w:rFonts w:ascii="Arial" w:hAnsi="Arial" w:cs="Arial"/>
          <w:b/>
          <w:lang w:val="en-US"/>
        </w:rPr>
      </w:pPr>
    </w:p>
    <w:p w14:paraId="0DF5C009" w14:textId="77777777" w:rsidR="00994FD2" w:rsidRPr="005C4D20" w:rsidRDefault="00994FD2" w:rsidP="00994FD2">
      <w:pPr>
        <w:tabs>
          <w:tab w:val="left" w:pos="6946"/>
          <w:tab w:val="left" w:pos="7230"/>
        </w:tabs>
        <w:ind w:right="940"/>
        <w:jc w:val="right"/>
        <w:rPr>
          <w:rFonts w:ascii="Arial" w:hAnsi="Arial" w:cs="Arial"/>
          <w:lang w:val="en-US"/>
        </w:rPr>
      </w:pPr>
      <w:r w:rsidRPr="005C4D20">
        <w:rPr>
          <w:rFonts w:ascii="Arial" w:hAnsi="Arial" w:cs="Arial"/>
          <w:lang w:val="en-US"/>
        </w:rPr>
        <w:t xml:space="preserve">CASE NUMBER: </w:t>
      </w:r>
      <w:r>
        <w:rPr>
          <w:rFonts w:ascii="Arial" w:hAnsi="Arial" w:cs="Arial"/>
          <w:lang w:val="en-US"/>
        </w:rPr>
        <w:t>64258</w:t>
      </w:r>
      <w:r w:rsidRPr="005C4D20">
        <w:rPr>
          <w:rFonts w:ascii="Arial" w:hAnsi="Arial" w:cs="Arial"/>
          <w:lang w:val="en-US"/>
        </w:rPr>
        <w:t xml:space="preserve"> / 2021</w:t>
      </w:r>
    </w:p>
    <w:tbl>
      <w:tblPr>
        <w:tblW w:w="0" w:type="auto"/>
        <w:tblLook w:val="0000" w:firstRow="0" w:lastRow="0" w:firstColumn="0" w:lastColumn="0" w:noHBand="0" w:noVBand="0"/>
      </w:tblPr>
      <w:tblGrid>
        <w:gridCol w:w="8383"/>
      </w:tblGrid>
      <w:tr w:rsidR="00994FD2" w:rsidRPr="005C4D20" w14:paraId="2A85E423" w14:textId="77777777" w:rsidTr="008A2658">
        <w:tc>
          <w:tcPr>
            <w:tcW w:w="8383" w:type="dxa"/>
            <w:tcBorders>
              <w:top w:val="nil"/>
              <w:left w:val="nil"/>
              <w:bottom w:val="nil"/>
              <w:right w:val="nil"/>
            </w:tcBorders>
          </w:tcPr>
          <w:p w14:paraId="27D4D1EB" w14:textId="77777777" w:rsidR="00994FD2" w:rsidRPr="005C4D20" w:rsidRDefault="00994FD2" w:rsidP="008A2658">
            <w:pPr>
              <w:rPr>
                <w:rFonts w:ascii="Arial" w:hAnsi="Arial" w:cs="Arial"/>
              </w:rPr>
            </w:pPr>
          </w:p>
        </w:tc>
      </w:tr>
      <w:tr w:rsidR="00994FD2" w:rsidRPr="003C0498" w14:paraId="76491152" w14:textId="77777777" w:rsidTr="008A2658">
        <w:tc>
          <w:tcPr>
            <w:tcW w:w="8383" w:type="dxa"/>
            <w:tcBorders>
              <w:top w:val="nil"/>
              <w:left w:val="nil"/>
              <w:bottom w:val="nil"/>
              <w:right w:val="nil"/>
            </w:tcBorders>
          </w:tcPr>
          <w:p w14:paraId="6D8DDC4B" w14:textId="77777777" w:rsidR="00994FD2" w:rsidRPr="003C0498" w:rsidRDefault="00994FD2" w:rsidP="008A2658">
            <w:pPr>
              <w:jc w:val="both"/>
              <w:rPr>
                <w:rFonts w:ascii="Arial" w:hAnsi="Arial" w:cs="Arial"/>
              </w:rPr>
            </w:pPr>
            <w:r w:rsidRPr="005C4D20">
              <w:rPr>
                <w:rFonts w:ascii="Arial" w:hAnsi="Arial" w:cs="Arial"/>
              </w:rPr>
              <w:t>In the matter between :</w:t>
            </w:r>
          </w:p>
        </w:tc>
      </w:tr>
      <w:tr w:rsidR="00994FD2" w:rsidRPr="003C0498" w14:paraId="301EAE52" w14:textId="77777777" w:rsidTr="008A2658">
        <w:tc>
          <w:tcPr>
            <w:tcW w:w="8383" w:type="dxa"/>
            <w:tcBorders>
              <w:top w:val="nil"/>
              <w:left w:val="nil"/>
              <w:bottom w:val="nil"/>
              <w:right w:val="nil"/>
            </w:tcBorders>
          </w:tcPr>
          <w:p w14:paraId="6C2A5C2A" w14:textId="77777777" w:rsidR="00994FD2" w:rsidRPr="003C0498" w:rsidRDefault="00994FD2" w:rsidP="008A2658">
            <w:pPr>
              <w:jc w:val="both"/>
              <w:rPr>
                <w:rFonts w:ascii="Arial" w:hAnsi="Arial" w:cs="Arial"/>
              </w:rPr>
            </w:pPr>
          </w:p>
        </w:tc>
      </w:tr>
    </w:tbl>
    <w:p w14:paraId="24124B65" w14:textId="77777777" w:rsidR="00994FD2" w:rsidRPr="003C0498" w:rsidRDefault="00994FD2" w:rsidP="00994FD2">
      <w:pPr>
        <w:jc w:val="right"/>
        <w:rPr>
          <w:rFonts w:ascii="Arial" w:hAnsi="Arial" w:cs="Arial"/>
        </w:rPr>
      </w:pPr>
    </w:p>
    <w:tbl>
      <w:tblPr>
        <w:tblW w:w="0" w:type="auto"/>
        <w:tblLook w:val="0000" w:firstRow="0" w:lastRow="0" w:firstColumn="0" w:lastColumn="0" w:noHBand="0" w:noVBand="0"/>
      </w:tblPr>
      <w:tblGrid>
        <w:gridCol w:w="5749"/>
        <w:gridCol w:w="2418"/>
      </w:tblGrid>
      <w:tr w:rsidR="00994FD2" w:rsidRPr="003C0498" w14:paraId="26A249E7" w14:textId="77777777" w:rsidTr="008A2658">
        <w:tc>
          <w:tcPr>
            <w:tcW w:w="5749" w:type="dxa"/>
            <w:tcBorders>
              <w:top w:val="nil"/>
              <w:left w:val="nil"/>
              <w:bottom w:val="nil"/>
              <w:right w:val="nil"/>
            </w:tcBorders>
          </w:tcPr>
          <w:p w14:paraId="6CE31FBB" w14:textId="77777777" w:rsidR="00994FD2" w:rsidRDefault="00994FD2" w:rsidP="008A2658">
            <w:pPr>
              <w:tabs>
                <w:tab w:val="right" w:pos="8167"/>
              </w:tabs>
              <w:rPr>
                <w:rFonts w:ascii="Arial" w:hAnsi="Arial" w:cs="Arial"/>
                <w:b/>
              </w:rPr>
            </w:pPr>
            <w:r>
              <w:rPr>
                <w:rFonts w:ascii="Arial" w:hAnsi="Arial" w:cs="Arial"/>
                <w:b/>
              </w:rPr>
              <w:t xml:space="preserve">SIPHO MILA PITYANA </w:t>
            </w:r>
          </w:p>
          <w:p w14:paraId="6045320E" w14:textId="77777777" w:rsidR="00994FD2" w:rsidRPr="003C0498" w:rsidRDefault="00994FD2" w:rsidP="008A2658">
            <w:pPr>
              <w:tabs>
                <w:tab w:val="right" w:pos="8167"/>
              </w:tabs>
              <w:rPr>
                <w:rFonts w:ascii="Arial" w:hAnsi="Arial" w:cs="Arial"/>
                <w:b/>
              </w:rPr>
            </w:pPr>
          </w:p>
        </w:tc>
        <w:tc>
          <w:tcPr>
            <w:tcW w:w="2418" w:type="dxa"/>
            <w:tcBorders>
              <w:top w:val="nil"/>
              <w:left w:val="nil"/>
              <w:bottom w:val="nil"/>
              <w:right w:val="nil"/>
            </w:tcBorders>
          </w:tcPr>
          <w:p w14:paraId="599E3D4B" w14:textId="77777777" w:rsidR="00994FD2" w:rsidRPr="003C0498" w:rsidRDefault="00994FD2" w:rsidP="008A2658">
            <w:pPr>
              <w:pStyle w:val="Heading1"/>
              <w:numPr>
                <w:ilvl w:val="0"/>
                <w:numId w:val="0"/>
              </w:numPr>
              <w:tabs>
                <w:tab w:val="clear" w:pos="-1440"/>
                <w:tab w:val="clear" w:pos="-720"/>
                <w:tab w:val="clear" w:pos="3887"/>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8167"/>
              </w:tabs>
            </w:pPr>
            <w:r w:rsidRPr="003C0498">
              <w:t>Applicant</w:t>
            </w:r>
          </w:p>
        </w:tc>
      </w:tr>
      <w:tr w:rsidR="00994FD2" w:rsidRPr="003C0498" w14:paraId="74A1AFFF" w14:textId="77777777" w:rsidTr="008A2658">
        <w:tc>
          <w:tcPr>
            <w:tcW w:w="5749" w:type="dxa"/>
            <w:tcBorders>
              <w:top w:val="nil"/>
              <w:left w:val="nil"/>
              <w:bottom w:val="nil"/>
              <w:right w:val="nil"/>
            </w:tcBorders>
          </w:tcPr>
          <w:p w14:paraId="3AF9ECB9" w14:textId="77777777" w:rsidR="00994FD2" w:rsidRDefault="00994FD2" w:rsidP="008A2658">
            <w:pPr>
              <w:tabs>
                <w:tab w:val="right" w:pos="8167"/>
              </w:tabs>
              <w:rPr>
                <w:rFonts w:ascii="Arial" w:hAnsi="Arial" w:cs="Arial"/>
              </w:rPr>
            </w:pPr>
          </w:p>
          <w:p w14:paraId="20FB4BD4" w14:textId="77777777" w:rsidR="00994FD2" w:rsidRPr="003C0498" w:rsidRDefault="00994FD2" w:rsidP="008A2658">
            <w:pPr>
              <w:tabs>
                <w:tab w:val="right" w:pos="8167"/>
              </w:tabs>
              <w:rPr>
                <w:rFonts w:ascii="Arial" w:hAnsi="Arial" w:cs="Arial"/>
              </w:rPr>
            </w:pPr>
          </w:p>
        </w:tc>
        <w:tc>
          <w:tcPr>
            <w:tcW w:w="2418" w:type="dxa"/>
            <w:tcBorders>
              <w:top w:val="nil"/>
              <w:left w:val="nil"/>
              <w:bottom w:val="nil"/>
              <w:right w:val="nil"/>
            </w:tcBorders>
          </w:tcPr>
          <w:p w14:paraId="6398B697" w14:textId="77777777" w:rsidR="00994FD2" w:rsidRPr="003C0498" w:rsidRDefault="00994FD2" w:rsidP="008A2658">
            <w:pPr>
              <w:tabs>
                <w:tab w:val="right" w:pos="8167"/>
              </w:tabs>
              <w:rPr>
                <w:rFonts w:ascii="Arial" w:hAnsi="Arial" w:cs="Arial"/>
              </w:rPr>
            </w:pPr>
          </w:p>
        </w:tc>
      </w:tr>
      <w:tr w:rsidR="00994FD2" w:rsidRPr="003C0498" w14:paraId="110E9616" w14:textId="77777777" w:rsidTr="008A2658">
        <w:tc>
          <w:tcPr>
            <w:tcW w:w="5749" w:type="dxa"/>
            <w:tcBorders>
              <w:top w:val="nil"/>
              <w:left w:val="nil"/>
              <w:bottom w:val="nil"/>
              <w:right w:val="nil"/>
            </w:tcBorders>
          </w:tcPr>
          <w:p w14:paraId="79E9AE1D" w14:textId="77777777" w:rsidR="00994FD2" w:rsidRPr="003C0498" w:rsidRDefault="00994FD2" w:rsidP="008A2658">
            <w:pPr>
              <w:tabs>
                <w:tab w:val="right" w:pos="8167"/>
              </w:tabs>
              <w:rPr>
                <w:rFonts w:ascii="Arial" w:hAnsi="Arial" w:cs="Arial"/>
              </w:rPr>
            </w:pPr>
            <w:r w:rsidRPr="003C0498">
              <w:rPr>
                <w:rFonts w:ascii="Arial" w:hAnsi="Arial" w:cs="Arial"/>
              </w:rPr>
              <w:t>and</w:t>
            </w:r>
          </w:p>
        </w:tc>
        <w:tc>
          <w:tcPr>
            <w:tcW w:w="2418" w:type="dxa"/>
            <w:tcBorders>
              <w:top w:val="nil"/>
              <w:left w:val="nil"/>
              <w:bottom w:val="nil"/>
              <w:right w:val="nil"/>
            </w:tcBorders>
          </w:tcPr>
          <w:p w14:paraId="14C97EB5" w14:textId="77777777" w:rsidR="00994FD2" w:rsidRPr="003C0498" w:rsidRDefault="00994FD2" w:rsidP="008A2658">
            <w:pPr>
              <w:tabs>
                <w:tab w:val="right" w:pos="8167"/>
              </w:tabs>
              <w:rPr>
                <w:rFonts w:ascii="Arial" w:hAnsi="Arial" w:cs="Arial"/>
              </w:rPr>
            </w:pPr>
          </w:p>
        </w:tc>
      </w:tr>
      <w:tr w:rsidR="00994FD2" w:rsidRPr="003C0498" w14:paraId="18482950" w14:textId="77777777" w:rsidTr="008A2658">
        <w:tc>
          <w:tcPr>
            <w:tcW w:w="5749" w:type="dxa"/>
            <w:tcBorders>
              <w:top w:val="nil"/>
              <w:left w:val="nil"/>
              <w:bottom w:val="nil"/>
              <w:right w:val="nil"/>
            </w:tcBorders>
          </w:tcPr>
          <w:p w14:paraId="77A08389" w14:textId="77777777" w:rsidR="00994FD2" w:rsidRPr="003C0498" w:rsidRDefault="00994FD2" w:rsidP="008A2658">
            <w:pPr>
              <w:tabs>
                <w:tab w:val="right" w:pos="8167"/>
              </w:tabs>
              <w:rPr>
                <w:rFonts w:ascii="Arial" w:hAnsi="Arial" w:cs="Arial"/>
              </w:rPr>
            </w:pPr>
          </w:p>
        </w:tc>
        <w:tc>
          <w:tcPr>
            <w:tcW w:w="2418" w:type="dxa"/>
            <w:tcBorders>
              <w:top w:val="nil"/>
              <w:left w:val="nil"/>
              <w:bottom w:val="nil"/>
              <w:right w:val="nil"/>
            </w:tcBorders>
          </w:tcPr>
          <w:p w14:paraId="63E30BCA" w14:textId="77777777" w:rsidR="00994FD2" w:rsidRPr="003C0498" w:rsidRDefault="00994FD2" w:rsidP="008A2658">
            <w:pPr>
              <w:tabs>
                <w:tab w:val="right" w:pos="8167"/>
              </w:tabs>
              <w:rPr>
                <w:rFonts w:ascii="Arial" w:hAnsi="Arial" w:cs="Arial"/>
              </w:rPr>
            </w:pPr>
          </w:p>
        </w:tc>
      </w:tr>
      <w:tr w:rsidR="00994FD2" w:rsidRPr="003C0498" w14:paraId="244BB8BA" w14:textId="77777777" w:rsidTr="008A2658">
        <w:tc>
          <w:tcPr>
            <w:tcW w:w="5749" w:type="dxa"/>
            <w:tcBorders>
              <w:top w:val="nil"/>
              <w:left w:val="nil"/>
              <w:bottom w:val="nil"/>
              <w:right w:val="nil"/>
            </w:tcBorders>
          </w:tcPr>
          <w:p w14:paraId="2365AF3E" w14:textId="77777777" w:rsidR="00994FD2" w:rsidRPr="003C0498" w:rsidRDefault="00994FD2" w:rsidP="008A2658">
            <w:pPr>
              <w:tabs>
                <w:tab w:val="right" w:pos="8167"/>
              </w:tabs>
              <w:rPr>
                <w:rFonts w:ascii="Arial" w:hAnsi="Arial" w:cs="Arial"/>
              </w:rPr>
            </w:pPr>
          </w:p>
        </w:tc>
        <w:tc>
          <w:tcPr>
            <w:tcW w:w="2418" w:type="dxa"/>
            <w:tcBorders>
              <w:top w:val="nil"/>
              <w:left w:val="nil"/>
              <w:bottom w:val="nil"/>
              <w:right w:val="nil"/>
            </w:tcBorders>
          </w:tcPr>
          <w:p w14:paraId="0F009473" w14:textId="77777777" w:rsidR="00994FD2" w:rsidRPr="003C0498" w:rsidRDefault="00994FD2" w:rsidP="008A2658">
            <w:pPr>
              <w:tabs>
                <w:tab w:val="right" w:pos="8167"/>
              </w:tabs>
              <w:rPr>
                <w:rFonts w:ascii="Arial" w:hAnsi="Arial" w:cs="Arial"/>
              </w:rPr>
            </w:pPr>
          </w:p>
        </w:tc>
      </w:tr>
      <w:tr w:rsidR="00994FD2" w:rsidRPr="005C4D20" w14:paraId="20662291" w14:textId="77777777" w:rsidTr="008A2658">
        <w:tc>
          <w:tcPr>
            <w:tcW w:w="5749" w:type="dxa"/>
            <w:tcBorders>
              <w:top w:val="nil"/>
              <w:left w:val="nil"/>
              <w:bottom w:val="nil"/>
              <w:right w:val="nil"/>
            </w:tcBorders>
          </w:tcPr>
          <w:p w14:paraId="07FA6CD9" w14:textId="77777777" w:rsidR="00994FD2" w:rsidRDefault="00994FD2" w:rsidP="008A2658">
            <w:pPr>
              <w:tabs>
                <w:tab w:val="right" w:pos="8167"/>
              </w:tabs>
              <w:rPr>
                <w:rFonts w:ascii="Arial" w:hAnsi="Arial" w:cs="Arial"/>
                <w:b/>
                <w:bCs/>
              </w:rPr>
            </w:pPr>
            <w:r>
              <w:rPr>
                <w:rFonts w:ascii="Arial" w:hAnsi="Arial" w:cs="Arial"/>
                <w:b/>
                <w:bCs/>
              </w:rPr>
              <w:t>ABSA GROUP LIMITED</w:t>
            </w:r>
          </w:p>
          <w:p w14:paraId="2D2E79EE" w14:textId="77777777" w:rsidR="00994FD2" w:rsidRDefault="00994FD2" w:rsidP="008A2658">
            <w:pPr>
              <w:tabs>
                <w:tab w:val="right" w:pos="8167"/>
              </w:tabs>
              <w:rPr>
                <w:rFonts w:ascii="Arial" w:hAnsi="Arial" w:cs="Arial"/>
                <w:b/>
                <w:bCs/>
              </w:rPr>
            </w:pPr>
          </w:p>
          <w:p w14:paraId="6B0862AB" w14:textId="77777777" w:rsidR="00994FD2" w:rsidRPr="005C4D20" w:rsidRDefault="00994FD2" w:rsidP="008A2658">
            <w:pPr>
              <w:tabs>
                <w:tab w:val="right" w:pos="8167"/>
              </w:tabs>
              <w:rPr>
                <w:rFonts w:ascii="Arial" w:hAnsi="Arial" w:cs="Arial"/>
                <w:b/>
                <w:bCs/>
              </w:rPr>
            </w:pPr>
            <w:r>
              <w:rPr>
                <w:rFonts w:ascii="Arial" w:hAnsi="Arial" w:cs="Arial"/>
                <w:b/>
                <w:bCs/>
              </w:rPr>
              <w:t>ABSA BANK LIMITED</w:t>
            </w:r>
          </w:p>
          <w:p w14:paraId="3BBE37B4" w14:textId="77777777" w:rsidR="00994FD2" w:rsidRDefault="00994FD2" w:rsidP="008A2658">
            <w:pPr>
              <w:tabs>
                <w:tab w:val="right" w:pos="8167"/>
              </w:tabs>
              <w:rPr>
                <w:rFonts w:ascii="Arial" w:hAnsi="Arial" w:cs="Arial"/>
                <w:b/>
                <w:bCs/>
              </w:rPr>
            </w:pPr>
          </w:p>
          <w:p w14:paraId="0B6BB85B" w14:textId="77777777" w:rsidR="00994FD2" w:rsidRDefault="00994FD2" w:rsidP="008A2658">
            <w:pPr>
              <w:tabs>
                <w:tab w:val="right" w:pos="8167"/>
              </w:tabs>
              <w:rPr>
                <w:rFonts w:ascii="Arial" w:hAnsi="Arial" w:cs="Arial"/>
                <w:b/>
                <w:bCs/>
              </w:rPr>
            </w:pPr>
            <w:r>
              <w:rPr>
                <w:rFonts w:ascii="Arial" w:hAnsi="Arial" w:cs="Arial"/>
                <w:b/>
                <w:bCs/>
              </w:rPr>
              <w:t>PRUDENTIAL AUTHORITY</w:t>
            </w:r>
          </w:p>
          <w:p w14:paraId="3E8C24DE" w14:textId="77777777" w:rsidR="00994FD2" w:rsidRPr="005C4D20" w:rsidRDefault="00994FD2" w:rsidP="008A2658">
            <w:pPr>
              <w:tabs>
                <w:tab w:val="right" w:pos="8167"/>
              </w:tabs>
              <w:rPr>
                <w:rFonts w:ascii="Arial" w:hAnsi="Arial" w:cs="Arial"/>
                <w:b/>
                <w:bCs/>
              </w:rPr>
            </w:pPr>
          </w:p>
        </w:tc>
        <w:tc>
          <w:tcPr>
            <w:tcW w:w="2418" w:type="dxa"/>
            <w:tcBorders>
              <w:top w:val="nil"/>
              <w:left w:val="nil"/>
              <w:bottom w:val="nil"/>
              <w:right w:val="nil"/>
            </w:tcBorders>
          </w:tcPr>
          <w:p w14:paraId="216F4020" w14:textId="77777777" w:rsidR="00994FD2" w:rsidRPr="005C4D20" w:rsidRDefault="00994FD2" w:rsidP="008A2658">
            <w:pPr>
              <w:pStyle w:val="Heading1"/>
              <w:numPr>
                <w:ilvl w:val="0"/>
                <w:numId w:val="0"/>
              </w:numPr>
              <w:tabs>
                <w:tab w:val="clear" w:pos="-1440"/>
                <w:tab w:val="clear" w:pos="-720"/>
                <w:tab w:val="clear" w:pos="3887"/>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8167"/>
              </w:tabs>
            </w:pPr>
            <w:r w:rsidRPr="005C4D20">
              <w:t>First Respondent</w:t>
            </w:r>
          </w:p>
          <w:p w14:paraId="43FBDF8B" w14:textId="77777777" w:rsidR="00994FD2" w:rsidRPr="005C4D20" w:rsidRDefault="00994FD2" w:rsidP="008A2658">
            <w:pPr>
              <w:rPr>
                <w:rFonts w:ascii="Arial" w:hAnsi="Arial" w:cs="Arial"/>
                <w:lang w:val="en-US"/>
              </w:rPr>
            </w:pPr>
          </w:p>
          <w:p w14:paraId="30BBC21F" w14:textId="77777777" w:rsidR="00994FD2" w:rsidRDefault="00994FD2" w:rsidP="008A2658">
            <w:pPr>
              <w:jc w:val="right"/>
              <w:rPr>
                <w:rFonts w:ascii="Arial" w:hAnsi="Arial" w:cs="Arial"/>
                <w:lang w:val="en-US"/>
              </w:rPr>
            </w:pPr>
            <w:r w:rsidRPr="005C4D20">
              <w:rPr>
                <w:rFonts w:ascii="Arial" w:hAnsi="Arial" w:cs="Arial"/>
                <w:lang w:val="en-US"/>
              </w:rPr>
              <w:t>Second Respondent</w:t>
            </w:r>
          </w:p>
          <w:p w14:paraId="2E12E4F2" w14:textId="77777777" w:rsidR="00994FD2" w:rsidRDefault="00994FD2" w:rsidP="008A2658">
            <w:pPr>
              <w:jc w:val="right"/>
              <w:rPr>
                <w:rFonts w:ascii="Arial" w:hAnsi="Arial" w:cs="Arial"/>
                <w:lang w:val="en-US"/>
              </w:rPr>
            </w:pPr>
          </w:p>
          <w:p w14:paraId="25E5EEE8" w14:textId="77777777" w:rsidR="00994FD2" w:rsidRPr="005C4D20" w:rsidRDefault="00994FD2" w:rsidP="008A2658">
            <w:pPr>
              <w:jc w:val="right"/>
              <w:rPr>
                <w:rFonts w:ascii="Arial" w:hAnsi="Arial" w:cs="Arial"/>
                <w:lang w:val="en-US"/>
              </w:rPr>
            </w:pPr>
            <w:r>
              <w:rPr>
                <w:rFonts w:ascii="Arial" w:hAnsi="Arial" w:cs="Arial"/>
                <w:lang w:val="en-US"/>
              </w:rPr>
              <w:t>Third Respondent</w:t>
            </w:r>
          </w:p>
          <w:p w14:paraId="010B0FB4" w14:textId="77777777" w:rsidR="00994FD2" w:rsidRPr="005C4D20" w:rsidRDefault="00994FD2" w:rsidP="008A2658">
            <w:pPr>
              <w:jc w:val="right"/>
              <w:rPr>
                <w:rFonts w:ascii="Arial" w:hAnsi="Arial" w:cs="Arial"/>
              </w:rPr>
            </w:pPr>
          </w:p>
        </w:tc>
      </w:tr>
    </w:tbl>
    <w:p w14:paraId="0948D4AB" w14:textId="3FDF1B68" w:rsidR="00994FD2" w:rsidRDefault="00994FD2" w:rsidP="00994FD2">
      <w:pPr>
        <w:tabs>
          <w:tab w:val="left" w:pos="6946"/>
          <w:tab w:val="left" w:pos="7230"/>
        </w:tabs>
        <w:rPr>
          <w:rFonts w:ascii="Arial" w:hAnsi="Arial" w:cs="Arial"/>
          <w:lang w:val="en-US"/>
        </w:rPr>
      </w:pPr>
    </w:p>
    <w:p w14:paraId="6D2B34BA" w14:textId="77777777" w:rsidR="00994FD2" w:rsidRPr="003C0498" w:rsidRDefault="00994FD2" w:rsidP="00994FD2">
      <w:pPr>
        <w:tabs>
          <w:tab w:val="left" w:pos="6946"/>
          <w:tab w:val="left" w:pos="7230"/>
        </w:tabs>
        <w:rPr>
          <w:rFonts w:ascii="Arial" w:hAnsi="Arial" w:cs="Arial"/>
          <w:lang w:val="en-US"/>
        </w:rPr>
      </w:pPr>
    </w:p>
    <w:p w14:paraId="4A1367BE" w14:textId="011A18B4" w:rsidR="00994FD2" w:rsidRDefault="00994FD2" w:rsidP="00994FD2">
      <w:pPr>
        <w:pBdr>
          <w:bottom w:val="single" w:sz="12" w:space="1" w:color="auto"/>
        </w:pBdr>
        <w:spacing w:line="360" w:lineRule="auto"/>
        <w:rPr>
          <w:rFonts w:ascii="Arial" w:hAnsi="Arial" w:cs="Arial"/>
          <w:color w:val="202124"/>
          <w:shd w:val="clear" w:color="auto" w:fill="FFFFFF"/>
        </w:rPr>
      </w:pPr>
      <w:r w:rsidRPr="003F7A44">
        <w:rPr>
          <w:rFonts w:ascii="Arial" w:hAnsi="Arial" w:cs="Arial"/>
          <w:color w:val="202124"/>
          <w:shd w:val="clear" w:color="auto" w:fill="FFFFFF"/>
        </w:rPr>
        <w:t>This Judgment was handed down electronically </w:t>
      </w:r>
      <w:r w:rsidRPr="003F7A44">
        <w:rPr>
          <w:rFonts w:ascii="Arial" w:hAnsi="Arial" w:cs="Arial"/>
          <w:bCs/>
          <w:color w:val="202124"/>
        </w:rPr>
        <w:t>by circulation to the parties' and or parties representatives by email and by being uploaded to CaseLines</w:t>
      </w:r>
      <w:r w:rsidRPr="003F7A44">
        <w:rPr>
          <w:rFonts w:ascii="Arial" w:hAnsi="Arial" w:cs="Arial"/>
          <w:color w:val="202124"/>
          <w:shd w:val="clear" w:color="auto" w:fill="FFFFFF"/>
        </w:rPr>
        <w:t xml:space="preserve">. The date and time for the hand down is deemed </w:t>
      </w:r>
      <w:r>
        <w:rPr>
          <w:rFonts w:ascii="Arial" w:hAnsi="Arial" w:cs="Arial"/>
          <w:color w:val="202124"/>
          <w:shd w:val="clear" w:color="auto" w:fill="FFFFFF"/>
        </w:rPr>
        <w:t xml:space="preserve">to be </w:t>
      </w:r>
      <w:r w:rsidR="00724056">
        <w:rPr>
          <w:rFonts w:ascii="Arial" w:hAnsi="Arial" w:cs="Arial"/>
          <w:color w:val="202124"/>
          <w:shd w:val="clear" w:color="auto" w:fill="FFFFFF"/>
        </w:rPr>
        <w:t>10</w:t>
      </w:r>
      <w:r>
        <w:rPr>
          <w:rFonts w:ascii="Arial" w:hAnsi="Arial" w:cs="Arial"/>
          <w:color w:val="202124"/>
          <w:shd w:val="clear" w:color="auto" w:fill="FFFFFF"/>
        </w:rPr>
        <w:t xml:space="preserve"> Ma</w:t>
      </w:r>
      <w:r w:rsidR="00FD4001">
        <w:rPr>
          <w:rFonts w:ascii="Arial" w:hAnsi="Arial" w:cs="Arial"/>
          <w:color w:val="202124"/>
          <w:shd w:val="clear" w:color="auto" w:fill="FFFFFF"/>
        </w:rPr>
        <w:t>y</w:t>
      </w:r>
      <w:r>
        <w:rPr>
          <w:rFonts w:ascii="Arial" w:hAnsi="Arial" w:cs="Arial"/>
          <w:color w:val="202124"/>
          <w:shd w:val="clear" w:color="auto" w:fill="FFFFFF"/>
        </w:rPr>
        <w:t xml:space="preserve"> </w:t>
      </w:r>
      <w:r w:rsidRPr="003F7A44">
        <w:rPr>
          <w:rFonts w:ascii="Arial" w:hAnsi="Arial" w:cs="Arial"/>
          <w:color w:val="202124"/>
          <w:shd w:val="clear" w:color="auto" w:fill="FFFFFF"/>
        </w:rPr>
        <w:t>202</w:t>
      </w:r>
      <w:r>
        <w:rPr>
          <w:rFonts w:ascii="Arial" w:hAnsi="Arial" w:cs="Arial"/>
          <w:color w:val="202124"/>
          <w:shd w:val="clear" w:color="auto" w:fill="FFFFFF"/>
        </w:rPr>
        <w:t>3</w:t>
      </w:r>
    </w:p>
    <w:p w14:paraId="7156814B" w14:textId="1F63D688" w:rsidR="00994FD2" w:rsidRDefault="00994FD2" w:rsidP="00994FD2">
      <w:pPr>
        <w:pBdr>
          <w:bottom w:val="single" w:sz="12" w:space="1" w:color="auto"/>
        </w:pBdr>
        <w:spacing w:line="360" w:lineRule="auto"/>
      </w:pPr>
    </w:p>
    <w:p w14:paraId="5429D9B3" w14:textId="77777777" w:rsidR="00145ED7" w:rsidRPr="003F7A44" w:rsidRDefault="00145ED7" w:rsidP="00145ED7">
      <w:pPr>
        <w:pBdr>
          <w:bottom w:val="single" w:sz="12" w:space="1" w:color="auto"/>
        </w:pBdr>
      </w:pPr>
    </w:p>
    <w:p w14:paraId="731D6C66" w14:textId="77777777" w:rsidR="00994FD2" w:rsidRPr="003C0498" w:rsidRDefault="00994FD2" w:rsidP="00994FD2">
      <w:pPr>
        <w:rPr>
          <w:rFonts w:ascii="Arial" w:hAnsi="Arial" w:cs="Arial"/>
          <w:lang w:val="en-US"/>
        </w:rPr>
      </w:pPr>
    </w:p>
    <w:p w14:paraId="4AD48D59" w14:textId="77777777" w:rsidR="00994FD2" w:rsidRPr="003C0498" w:rsidRDefault="00994FD2" w:rsidP="00994FD2">
      <w:pPr>
        <w:jc w:val="center"/>
        <w:rPr>
          <w:rFonts w:ascii="Arial" w:hAnsi="Arial" w:cs="Arial"/>
          <w:b/>
          <w:lang w:val="en-US"/>
        </w:rPr>
      </w:pPr>
      <w:r w:rsidRPr="003C0498">
        <w:rPr>
          <w:rFonts w:ascii="Arial" w:hAnsi="Arial" w:cs="Arial"/>
          <w:b/>
          <w:lang w:val="en-US"/>
        </w:rPr>
        <w:t>JUDGMENT</w:t>
      </w:r>
    </w:p>
    <w:p w14:paraId="573F78C1" w14:textId="77777777" w:rsidR="00994FD2" w:rsidRPr="0076117C" w:rsidRDefault="00994FD2" w:rsidP="00994FD2">
      <w:pPr>
        <w:pBdr>
          <w:bottom w:val="single" w:sz="12" w:space="1" w:color="auto"/>
        </w:pBdr>
        <w:rPr>
          <w:rFonts w:ascii="Arial" w:hAnsi="Arial" w:cs="Arial"/>
          <w:lang w:val="en-US"/>
        </w:rPr>
      </w:pPr>
    </w:p>
    <w:p w14:paraId="390873C2" w14:textId="77777777" w:rsidR="00994FD2" w:rsidRPr="0076117C" w:rsidRDefault="00994FD2" w:rsidP="00994FD2">
      <w:pPr>
        <w:rPr>
          <w:rFonts w:ascii="Arial" w:hAnsi="Arial" w:cs="Arial"/>
          <w:lang w:val="en-US"/>
        </w:rPr>
      </w:pPr>
    </w:p>
    <w:p w14:paraId="144DA5AE" w14:textId="77777777" w:rsidR="00994FD2" w:rsidRDefault="00994FD2" w:rsidP="00994FD2">
      <w:pPr>
        <w:rPr>
          <w:rFonts w:ascii="Arial" w:hAnsi="Arial" w:cs="Arial"/>
          <w:lang w:val="en-US"/>
        </w:rPr>
      </w:pPr>
    </w:p>
    <w:p w14:paraId="01D9D3A4" w14:textId="77777777" w:rsidR="00994FD2" w:rsidRPr="003C0498" w:rsidRDefault="00994FD2" w:rsidP="00994FD2">
      <w:pPr>
        <w:spacing w:line="480" w:lineRule="auto"/>
        <w:rPr>
          <w:rFonts w:ascii="Arial" w:hAnsi="Arial" w:cs="Arial"/>
          <w:lang w:val="en-US"/>
        </w:rPr>
      </w:pPr>
      <w:r w:rsidRPr="003C0498">
        <w:rPr>
          <w:rFonts w:ascii="Arial" w:hAnsi="Arial" w:cs="Arial"/>
          <w:lang w:val="en-US"/>
        </w:rPr>
        <w:t>M Snyman, AJ</w:t>
      </w:r>
    </w:p>
    <w:p w14:paraId="1C98DC60" w14:textId="77777777" w:rsidR="00994FD2" w:rsidRPr="003C1EC0" w:rsidRDefault="00994FD2" w:rsidP="00994FD2">
      <w:pPr>
        <w:spacing w:line="480" w:lineRule="auto"/>
        <w:rPr>
          <w:rFonts w:ascii="Arial" w:hAnsi="Arial" w:cs="Arial"/>
          <w:b/>
          <w:i/>
          <w:lang w:val="en-US"/>
        </w:rPr>
      </w:pPr>
      <w:r w:rsidRPr="0076117C">
        <w:rPr>
          <w:rFonts w:ascii="Arial" w:hAnsi="Arial" w:cs="Arial"/>
          <w:b/>
          <w:i/>
          <w:lang w:val="en-US"/>
        </w:rPr>
        <w:t>Introduction</w:t>
      </w:r>
    </w:p>
    <w:p w14:paraId="471E7DDE" w14:textId="77777777" w:rsidR="00994FD2" w:rsidRPr="007E269F" w:rsidRDefault="00994FD2" w:rsidP="007E269F">
      <w:pPr>
        <w:rPr>
          <w:rFonts w:ascii="Arial" w:hAnsi="Arial" w:cs="Arial"/>
          <w:lang w:val="en-US"/>
        </w:rPr>
      </w:pPr>
    </w:p>
    <w:p w14:paraId="4F12D715" w14:textId="514D7FFD" w:rsidR="008E6901" w:rsidRPr="00AE5D49" w:rsidRDefault="00AE5D49" w:rsidP="00AE5D49">
      <w:pPr>
        <w:spacing w:line="480" w:lineRule="auto"/>
        <w:ind w:left="709" w:hanging="709"/>
        <w:rPr>
          <w:rFonts w:ascii="Arial" w:hAnsi="Arial" w:cs="Arial"/>
          <w:lang w:val="en-US"/>
        </w:rPr>
      </w:pPr>
      <w:r>
        <w:rPr>
          <w:rFonts w:ascii="Arial" w:hAnsi="Arial" w:cs="Arial"/>
          <w:lang w:val="en-US"/>
        </w:rPr>
        <w:t>[1]</w:t>
      </w:r>
      <w:r>
        <w:rPr>
          <w:rFonts w:ascii="Arial" w:hAnsi="Arial" w:cs="Arial"/>
          <w:lang w:val="en-US"/>
        </w:rPr>
        <w:tab/>
      </w:r>
      <w:r w:rsidR="00994FD2" w:rsidRPr="00AE5D49">
        <w:rPr>
          <w:rFonts w:ascii="Arial" w:hAnsi="Arial" w:cs="Arial"/>
          <w:lang w:val="en-US"/>
        </w:rPr>
        <w:t>This application is related to and was argued together with the matter under case number 53829/2021</w:t>
      </w:r>
      <w:r w:rsidR="00932593" w:rsidRPr="00AE5D49">
        <w:rPr>
          <w:rFonts w:ascii="Arial" w:hAnsi="Arial" w:cs="Arial"/>
          <w:lang w:val="en-US"/>
        </w:rPr>
        <w:t>.</w:t>
      </w:r>
      <w:r w:rsidR="008E6901" w:rsidRPr="00AE5D49">
        <w:rPr>
          <w:rFonts w:ascii="Arial" w:hAnsi="Arial" w:cs="Arial"/>
          <w:lang w:val="en-US"/>
        </w:rPr>
        <w:t xml:space="preserve"> </w:t>
      </w:r>
      <w:r w:rsidR="00932593" w:rsidRPr="00AE5D49">
        <w:rPr>
          <w:rFonts w:ascii="Arial" w:hAnsi="Arial" w:cs="Arial"/>
          <w:lang w:val="en-US"/>
        </w:rPr>
        <w:t>However</w:t>
      </w:r>
      <w:r w:rsidR="007E269F" w:rsidRPr="00AE5D49">
        <w:rPr>
          <w:rFonts w:ascii="Arial" w:hAnsi="Arial" w:cs="Arial"/>
          <w:lang w:val="en-US"/>
        </w:rPr>
        <w:t>,</w:t>
      </w:r>
      <w:r w:rsidR="00932593" w:rsidRPr="00AE5D49">
        <w:rPr>
          <w:rFonts w:ascii="Arial" w:hAnsi="Arial" w:cs="Arial"/>
          <w:lang w:val="en-US"/>
        </w:rPr>
        <w:t xml:space="preserve"> </w:t>
      </w:r>
      <w:r w:rsidR="007E269F" w:rsidRPr="00AE5D49">
        <w:rPr>
          <w:rFonts w:ascii="Arial" w:hAnsi="Arial" w:cs="Arial"/>
          <w:lang w:val="en-US"/>
        </w:rPr>
        <w:t>I</w:t>
      </w:r>
      <w:r w:rsidR="008E6901" w:rsidRPr="00AE5D49">
        <w:rPr>
          <w:rFonts w:ascii="Arial" w:hAnsi="Arial" w:cs="Arial"/>
          <w:lang w:val="en-US"/>
        </w:rPr>
        <w:t xml:space="preserve"> will deal</w:t>
      </w:r>
      <w:r w:rsidR="007E269F" w:rsidRPr="00AE5D49">
        <w:rPr>
          <w:rFonts w:ascii="Arial" w:hAnsi="Arial" w:cs="Arial"/>
          <w:lang w:val="en-US"/>
        </w:rPr>
        <w:t xml:space="preserve"> with the matters</w:t>
      </w:r>
      <w:r w:rsidR="008E6901" w:rsidRPr="00AE5D49">
        <w:rPr>
          <w:rFonts w:ascii="Arial" w:hAnsi="Arial" w:cs="Arial"/>
          <w:lang w:val="en-US"/>
        </w:rPr>
        <w:t xml:space="preserve"> separately in handing down judgment. I shall term this application the “Rule 30 application”. The first and second respondents, (which I shall refer to collectively as “ABSA Bank”) brought an interlocutory application</w:t>
      </w:r>
      <w:r w:rsidR="000874EF" w:rsidRPr="00AE5D49">
        <w:rPr>
          <w:rFonts w:ascii="Arial" w:hAnsi="Arial" w:cs="Arial"/>
          <w:lang w:val="en-US"/>
        </w:rPr>
        <w:t xml:space="preserve">, generally, </w:t>
      </w:r>
      <w:r w:rsidR="008E6901" w:rsidRPr="00AE5D49">
        <w:rPr>
          <w:rFonts w:ascii="Arial" w:hAnsi="Arial" w:cs="Arial"/>
          <w:lang w:val="en-US"/>
        </w:rPr>
        <w:t xml:space="preserve">to declare that utilising rule 53 to review </w:t>
      </w:r>
      <w:r w:rsidR="0050784F" w:rsidRPr="00AE5D49">
        <w:rPr>
          <w:rFonts w:ascii="Arial" w:hAnsi="Arial" w:cs="Arial"/>
          <w:lang w:val="en-US"/>
        </w:rPr>
        <w:t>a</w:t>
      </w:r>
      <w:r w:rsidR="008E6901" w:rsidRPr="00AE5D49">
        <w:rPr>
          <w:rFonts w:ascii="Arial" w:hAnsi="Arial" w:cs="Arial"/>
          <w:lang w:val="en-US"/>
        </w:rPr>
        <w:t xml:space="preserve"> decision of the board of ABSA Bank, an irregular step </w:t>
      </w:r>
      <w:r w:rsidR="00230CFC" w:rsidRPr="00AE5D49">
        <w:rPr>
          <w:rFonts w:ascii="Arial" w:hAnsi="Arial" w:cs="Arial"/>
          <w:lang w:val="en-US"/>
        </w:rPr>
        <w:t>and set</w:t>
      </w:r>
      <w:r w:rsidR="008E6901" w:rsidRPr="00AE5D49">
        <w:rPr>
          <w:rFonts w:ascii="Arial" w:hAnsi="Arial" w:cs="Arial"/>
          <w:lang w:val="en-US"/>
        </w:rPr>
        <w:t xml:space="preserve"> </w:t>
      </w:r>
      <w:r w:rsidR="0050784F" w:rsidRPr="00AE5D49">
        <w:rPr>
          <w:rFonts w:ascii="Arial" w:hAnsi="Arial" w:cs="Arial"/>
          <w:lang w:val="en-US"/>
        </w:rPr>
        <w:t xml:space="preserve">it </w:t>
      </w:r>
      <w:r w:rsidR="008E6901" w:rsidRPr="00AE5D49">
        <w:rPr>
          <w:rFonts w:ascii="Arial" w:hAnsi="Arial" w:cs="Arial"/>
          <w:lang w:val="en-US"/>
        </w:rPr>
        <w:t>aside.</w:t>
      </w:r>
    </w:p>
    <w:p w14:paraId="1B48BB7A" w14:textId="77777777" w:rsidR="008D5A37" w:rsidRPr="008D5A37" w:rsidRDefault="008D5A37" w:rsidP="008D5A37">
      <w:pPr>
        <w:pStyle w:val="ListParagraph"/>
        <w:rPr>
          <w:rFonts w:ascii="Arial" w:hAnsi="Arial" w:cs="Arial"/>
          <w:lang w:val="en-US"/>
        </w:rPr>
      </w:pPr>
    </w:p>
    <w:p w14:paraId="22CF6AA9" w14:textId="4653568F" w:rsidR="008E6901" w:rsidRPr="00AE5D49" w:rsidRDefault="00AE5D49" w:rsidP="00AE5D49">
      <w:pPr>
        <w:spacing w:line="480" w:lineRule="auto"/>
        <w:ind w:left="709" w:hanging="709"/>
        <w:rPr>
          <w:rFonts w:ascii="Arial" w:hAnsi="Arial" w:cs="Arial"/>
          <w:lang w:val="en-US"/>
        </w:rPr>
      </w:pPr>
      <w:r w:rsidRPr="008E6901">
        <w:rPr>
          <w:rFonts w:ascii="Arial" w:hAnsi="Arial" w:cs="Arial"/>
          <w:lang w:val="en-US"/>
        </w:rPr>
        <w:t>[2]</w:t>
      </w:r>
      <w:r w:rsidRPr="008E6901">
        <w:rPr>
          <w:rFonts w:ascii="Arial" w:hAnsi="Arial" w:cs="Arial"/>
          <w:lang w:val="en-US"/>
        </w:rPr>
        <w:tab/>
      </w:r>
      <w:r w:rsidR="008E6901" w:rsidRPr="00AE5D49">
        <w:rPr>
          <w:rFonts w:ascii="Arial" w:hAnsi="Arial" w:cs="Arial"/>
          <w:lang w:val="en-US"/>
        </w:rPr>
        <w:t>In the main application that I do not need to consider</w:t>
      </w:r>
      <w:r w:rsidR="000874EF" w:rsidRPr="00AE5D49">
        <w:rPr>
          <w:rFonts w:ascii="Arial" w:hAnsi="Arial" w:cs="Arial"/>
          <w:lang w:val="en-US"/>
        </w:rPr>
        <w:t>,</w:t>
      </w:r>
      <w:r w:rsidR="008E6901" w:rsidRPr="00AE5D49">
        <w:rPr>
          <w:rFonts w:ascii="Arial" w:hAnsi="Arial" w:cs="Arial"/>
          <w:lang w:val="en-US"/>
        </w:rPr>
        <w:t xml:space="preserve"> </w:t>
      </w:r>
      <w:r w:rsidR="008D5A37" w:rsidRPr="00AE5D49">
        <w:rPr>
          <w:rFonts w:ascii="Arial" w:hAnsi="Arial" w:cs="Arial"/>
          <w:iCs/>
          <w:lang w:val="en-US"/>
        </w:rPr>
        <w:t xml:space="preserve">Mr Pityana seeks to review and set aside the decision of the </w:t>
      </w:r>
      <w:r w:rsidR="008E6901" w:rsidRPr="00AE5D49">
        <w:rPr>
          <w:rFonts w:ascii="Arial" w:hAnsi="Arial" w:cs="Arial"/>
          <w:iCs/>
          <w:lang w:val="en-US"/>
        </w:rPr>
        <w:t xml:space="preserve">board of </w:t>
      </w:r>
      <w:r w:rsidR="008D5A37" w:rsidRPr="00AE5D49">
        <w:rPr>
          <w:rFonts w:ascii="Arial" w:hAnsi="Arial" w:cs="Arial"/>
          <w:iCs/>
          <w:lang w:val="en-US"/>
        </w:rPr>
        <w:t>A</w:t>
      </w:r>
      <w:r w:rsidR="008E6901" w:rsidRPr="00AE5D49">
        <w:rPr>
          <w:rFonts w:ascii="Arial" w:hAnsi="Arial" w:cs="Arial"/>
          <w:iCs/>
          <w:lang w:val="en-US"/>
        </w:rPr>
        <w:t xml:space="preserve">BSA </w:t>
      </w:r>
      <w:r w:rsidR="008D5A37" w:rsidRPr="00AE5D49">
        <w:rPr>
          <w:rFonts w:ascii="Arial" w:hAnsi="Arial" w:cs="Arial"/>
          <w:iCs/>
          <w:lang w:val="en-US"/>
        </w:rPr>
        <w:t>Bank</w:t>
      </w:r>
      <w:r w:rsidR="008E6901" w:rsidRPr="00AE5D49">
        <w:rPr>
          <w:rFonts w:ascii="Arial" w:hAnsi="Arial" w:cs="Arial"/>
          <w:iCs/>
          <w:lang w:val="en-US"/>
        </w:rPr>
        <w:t xml:space="preserve"> to remove him as a non – executive director. The main application is pursued in terms of section</w:t>
      </w:r>
      <w:r w:rsidR="00FD4001" w:rsidRPr="00AE5D49">
        <w:rPr>
          <w:rFonts w:ascii="Arial" w:hAnsi="Arial" w:cs="Arial"/>
          <w:iCs/>
          <w:lang w:val="en-US"/>
        </w:rPr>
        <w:t xml:space="preserve"> </w:t>
      </w:r>
      <w:r w:rsidR="008E6901" w:rsidRPr="00AE5D49">
        <w:rPr>
          <w:rFonts w:ascii="Arial" w:hAnsi="Arial" w:cs="Arial"/>
          <w:iCs/>
          <w:lang w:val="en-US"/>
        </w:rPr>
        <w:t>71(5) of the Companies Act 71 of 2008 (“the</w:t>
      </w:r>
      <w:r w:rsidR="00FD4001" w:rsidRPr="00AE5D49">
        <w:rPr>
          <w:rFonts w:ascii="Arial" w:hAnsi="Arial" w:cs="Arial"/>
          <w:iCs/>
          <w:lang w:val="en-US"/>
        </w:rPr>
        <w:t xml:space="preserve"> </w:t>
      </w:r>
      <w:r w:rsidR="008E6901" w:rsidRPr="00AE5D49">
        <w:rPr>
          <w:rFonts w:ascii="Arial" w:hAnsi="Arial" w:cs="Arial"/>
          <w:iCs/>
          <w:lang w:val="en-US"/>
        </w:rPr>
        <w:t>Companies Act”).</w:t>
      </w:r>
    </w:p>
    <w:p w14:paraId="31E9EC6B" w14:textId="77777777" w:rsidR="008E6901" w:rsidRPr="008E6901" w:rsidRDefault="008E6901" w:rsidP="008E6901">
      <w:pPr>
        <w:pStyle w:val="ListParagraph"/>
        <w:rPr>
          <w:rFonts w:ascii="Arial" w:hAnsi="Arial" w:cs="Arial"/>
          <w:lang w:val="en-US"/>
        </w:rPr>
      </w:pPr>
    </w:p>
    <w:p w14:paraId="7E605E36" w14:textId="00980FD5" w:rsidR="008E6901" w:rsidRPr="00AE5D49" w:rsidRDefault="00AE5D49" w:rsidP="00AE5D49">
      <w:pPr>
        <w:spacing w:line="480" w:lineRule="auto"/>
        <w:ind w:left="709" w:hanging="709"/>
        <w:rPr>
          <w:rFonts w:ascii="Arial" w:hAnsi="Arial" w:cs="Arial"/>
          <w:lang w:val="en-US"/>
        </w:rPr>
      </w:pPr>
      <w:r w:rsidRPr="008E6901">
        <w:rPr>
          <w:rFonts w:ascii="Arial" w:hAnsi="Arial" w:cs="Arial"/>
          <w:lang w:val="en-US"/>
        </w:rPr>
        <w:t>[</w:t>
      </w:r>
      <w:bookmarkStart w:id="0" w:name="_GoBack"/>
      <w:bookmarkEnd w:id="0"/>
      <w:r w:rsidRPr="008E6901">
        <w:rPr>
          <w:rFonts w:ascii="Arial" w:hAnsi="Arial" w:cs="Arial"/>
          <w:lang w:val="en-US"/>
        </w:rPr>
        <w:t>3]</w:t>
      </w:r>
      <w:r w:rsidRPr="008E6901">
        <w:rPr>
          <w:rFonts w:ascii="Arial" w:hAnsi="Arial" w:cs="Arial"/>
          <w:lang w:val="en-US"/>
        </w:rPr>
        <w:tab/>
      </w:r>
      <w:r w:rsidR="008E6901" w:rsidRPr="00AE5D49">
        <w:rPr>
          <w:rFonts w:ascii="Arial" w:hAnsi="Arial" w:cs="Arial"/>
          <w:iCs/>
          <w:lang w:val="en-US"/>
        </w:rPr>
        <w:t>In the Notice of Motion</w:t>
      </w:r>
      <w:r w:rsidR="000874EF" w:rsidRPr="00AE5D49">
        <w:rPr>
          <w:rFonts w:ascii="Arial" w:hAnsi="Arial" w:cs="Arial"/>
          <w:iCs/>
          <w:lang w:val="en-US"/>
        </w:rPr>
        <w:t xml:space="preserve"> </w:t>
      </w:r>
      <w:r w:rsidR="00FD4001" w:rsidRPr="00AE5D49">
        <w:rPr>
          <w:rFonts w:ascii="Arial" w:hAnsi="Arial" w:cs="Arial"/>
          <w:iCs/>
          <w:lang w:val="en-US"/>
        </w:rPr>
        <w:t>to</w:t>
      </w:r>
      <w:r w:rsidR="000874EF" w:rsidRPr="00AE5D49">
        <w:rPr>
          <w:rFonts w:ascii="Arial" w:hAnsi="Arial" w:cs="Arial"/>
          <w:iCs/>
          <w:lang w:val="en-US"/>
        </w:rPr>
        <w:t xml:space="preserve"> the main application</w:t>
      </w:r>
      <w:r w:rsidR="008E6901" w:rsidRPr="00AE5D49">
        <w:rPr>
          <w:rFonts w:ascii="Arial" w:hAnsi="Arial" w:cs="Arial"/>
          <w:iCs/>
          <w:lang w:val="en-US"/>
        </w:rPr>
        <w:t>, Mr Pityana calls upon ABSA Bank to dispatch the record of decision in terms of Uniform Rule 53(4).</w:t>
      </w:r>
      <w:r w:rsidR="00FD4001" w:rsidRPr="00AE5D49">
        <w:rPr>
          <w:rFonts w:ascii="Arial" w:hAnsi="Arial" w:cs="Arial"/>
          <w:iCs/>
          <w:lang w:val="en-US"/>
        </w:rPr>
        <w:t xml:space="preserve"> It is not disputed that Mr Pityana made use of the provisions of Rule 53 and the procedures provided by it in the main application</w:t>
      </w:r>
      <w:r w:rsidR="0050784F" w:rsidRPr="00AE5D49">
        <w:rPr>
          <w:rFonts w:ascii="Arial" w:hAnsi="Arial" w:cs="Arial"/>
          <w:iCs/>
          <w:lang w:val="en-US"/>
        </w:rPr>
        <w:t xml:space="preserve"> which will result in ABSA Bank being obliged to </w:t>
      </w:r>
      <w:r w:rsidR="00FD4001" w:rsidRPr="00AE5D49">
        <w:rPr>
          <w:rFonts w:ascii="Arial" w:hAnsi="Arial" w:cs="Arial"/>
          <w:iCs/>
          <w:lang w:val="en-US"/>
        </w:rPr>
        <w:t>deliver the record of the proceedings</w:t>
      </w:r>
      <w:r w:rsidR="0050784F" w:rsidRPr="00AE5D49">
        <w:rPr>
          <w:rFonts w:ascii="Arial" w:hAnsi="Arial" w:cs="Arial"/>
          <w:iCs/>
          <w:lang w:val="en-US"/>
        </w:rPr>
        <w:t xml:space="preserve"> and reasons for the decision to Mr Pityana</w:t>
      </w:r>
      <w:r w:rsidR="00FD4001" w:rsidRPr="00AE5D49">
        <w:rPr>
          <w:rFonts w:ascii="Arial" w:hAnsi="Arial" w:cs="Arial"/>
          <w:iCs/>
          <w:lang w:val="en-US"/>
        </w:rPr>
        <w:t>.</w:t>
      </w:r>
    </w:p>
    <w:p w14:paraId="3BC9D524" w14:textId="77777777" w:rsidR="008E6901" w:rsidRPr="008E6901" w:rsidRDefault="008E6901" w:rsidP="008E6901">
      <w:pPr>
        <w:pStyle w:val="ListParagraph"/>
        <w:rPr>
          <w:rFonts w:ascii="Arial" w:hAnsi="Arial" w:cs="Arial"/>
          <w:lang w:val="en-US"/>
        </w:rPr>
      </w:pPr>
    </w:p>
    <w:p w14:paraId="3D09CB52" w14:textId="483069E5" w:rsidR="008E6901" w:rsidRPr="00AE5D49" w:rsidRDefault="00AE5D49" w:rsidP="00AE5D49">
      <w:pPr>
        <w:spacing w:line="480" w:lineRule="auto"/>
        <w:ind w:left="709" w:hanging="709"/>
        <w:rPr>
          <w:rFonts w:ascii="Arial" w:hAnsi="Arial" w:cs="Arial"/>
          <w:lang w:val="en-GB"/>
        </w:rPr>
      </w:pPr>
      <w:r w:rsidRPr="000874EF">
        <w:rPr>
          <w:rFonts w:ascii="Arial" w:hAnsi="Arial" w:cs="Arial"/>
          <w:lang w:val="en-GB"/>
        </w:rPr>
        <w:t>[4]</w:t>
      </w:r>
      <w:r w:rsidRPr="000874EF">
        <w:rPr>
          <w:rFonts w:ascii="Arial" w:hAnsi="Arial" w:cs="Arial"/>
          <w:lang w:val="en-GB"/>
        </w:rPr>
        <w:tab/>
      </w:r>
      <w:r w:rsidR="008E6901" w:rsidRPr="00AE5D49">
        <w:rPr>
          <w:rFonts w:ascii="Arial" w:hAnsi="Arial" w:cs="Arial"/>
          <w:lang w:val="en-GB"/>
        </w:rPr>
        <w:t>In his heads of argument, Mr Loxton SC with Me Milovanovic-Bitter</w:t>
      </w:r>
      <w:r w:rsidR="000874EF" w:rsidRPr="00AE5D49">
        <w:rPr>
          <w:rFonts w:ascii="Arial" w:hAnsi="Arial" w:cs="Arial"/>
          <w:lang w:val="en-GB"/>
        </w:rPr>
        <w:t>,</w:t>
      </w:r>
      <w:r w:rsidR="008E6901" w:rsidRPr="00AE5D49">
        <w:rPr>
          <w:rFonts w:ascii="Arial" w:hAnsi="Arial" w:cs="Arial"/>
          <w:lang w:val="en-GB"/>
        </w:rPr>
        <w:t xml:space="preserve"> appearing for ABSA Bank, summarised </w:t>
      </w:r>
      <w:r w:rsidR="000874EF" w:rsidRPr="00AE5D49">
        <w:rPr>
          <w:rFonts w:ascii="Arial" w:hAnsi="Arial" w:cs="Arial"/>
          <w:lang w:val="en-GB"/>
        </w:rPr>
        <w:t>ABSA Bank’s approach</w:t>
      </w:r>
      <w:r w:rsidR="008E6901" w:rsidRPr="00AE5D49">
        <w:rPr>
          <w:rFonts w:ascii="Arial" w:hAnsi="Arial" w:cs="Arial"/>
          <w:lang w:val="en-GB"/>
        </w:rPr>
        <w:t xml:space="preserve"> as follows:</w:t>
      </w:r>
    </w:p>
    <w:p w14:paraId="178B2F43" w14:textId="77777777" w:rsidR="008E6901" w:rsidRPr="008E6901" w:rsidRDefault="008E6901" w:rsidP="008E6901">
      <w:pPr>
        <w:pStyle w:val="ListParagraph"/>
        <w:rPr>
          <w:rFonts w:ascii="Arial" w:hAnsi="Arial" w:cs="Arial"/>
          <w:lang w:val="en-US"/>
        </w:rPr>
      </w:pPr>
    </w:p>
    <w:p w14:paraId="50FCEC18" w14:textId="48E5FDC9" w:rsidR="008E6901" w:rsidRPr="008E6901" w:rsidRDefault="008E6901" w:rsidP="008E6901">
      <w:pPr>
        <w:pStyle w:val="ListParagraph"/>
        <w:spacing w:line="480" w:lineRule="auto"/>
        <w:ind w:left="1440"/>
        <w:rPr>
          <w:rFonts w:ascii="Arial" w:hAnsi="Arial" w:cs="Arial"/>
          <w:lang w:val="en-US"/>
        </w:rPr>
      </w:pPr>
      <w:r>
        <w:rPr>
          <w:i/>
          <w:iCs/>
          <w:lang w:val="en-US"/>
        </w:rPr>
        <w:t>“</w:t>
      </w:r>
      <w:r w:rsidRPr="008E6901">
        <w:rPr>
          <w:i/>
          <w:iCs/>
          <w:lang w:val="en-US"/>
        </w:rPr>
        <w:t>Absa contends that Mr Pityana’s approach is irregular and that Rule 53 does not apply to an application in terms of section 71(5) of the Companies Act. On the proper interpretation of section 71(5), the review of the Board’s decision is limited to compliance with the provisions of section 71 of the Companies Act, because a Court will not interfere in the business judgment by a board of directors of a company – unless, of course, it finds that the board failed to act in the best interests of a company, or that the directors’ conduct falls short of the standards set out in section 76 of the Companies Act, or the common law.”</w:t>
      </w:r>
    </w:p>
    <w:p w14:paraId="35C75A52" w14:textId="77777777" w:rsidR="00994FD2" w:rsidRDefault="00994FD2" w:rsidP="00994FD2">
      <w:pPr>
        <w:pStyle w:val="ListParagraph"/>
        <w:ind w:left="709"/>
        <w:rPr>
          <w:rFonts w:ascii="Arial" w:hAnsi="Arial" w:cs="Arial"/>
          <w:lang w:val="en-US"/>
        </w:rPr>
      </w:pPr>
    </w:p>
    <w:p w14:paraId="26F09B58" w14:textId="571FA820" w:rsidR="008E6901" w:rsidRPr="00AE5D49" w:rsidRDefault="00AE5D49" w:rsidP="00AE5D49">
      <w:pPr>
        <w:spacing w:line="480" w:lineRule="auto"/>
        <w:ind w:left="709" w:hanging="709"/>
        <w:rPr>
          <w:rFonts w:ascii="Arial" w:hAnsi="Arial" w:cs="Arial"/>
          <w:lang w:val="en-US"/>
        </w:rPr>
      </w:pPr>
      <w:r>
        <w:rPr>
          <w:rFonts w:ascii="Arial" w:hAnsi="Arial" w:cs="Arial"/>
          <w:lang w:val="en-US"/>
        </w:rPr>
        <w:t>[5]</w:t>
      </w:r>
      <w:r>
        <w:rPr>
          <w:rFonts w:ascii="Arial" w:hAnsi="Arial" w:cs="Arial"/>
          <w:lang w:val="en-US"/>
        </w:rPr>
        <w:tab/>
      </w:r>
      <w:r w:rsidR="000874EF" w:rsidRPr="00AE5D49">
        <w:rPr>
          <w:rFonts w:ascii="Arial" w:hAnsi="Arial" w:cs="Arial"/>
          <w:lang w:val="en-US"/>
        </w:rPr>
        <w:t>Mr Subel SC with Me N Stein, who appeared for Mr Pityana argued in general that rule 53 is applicable due to the matter being a review.</w:t>
      </w:r>
    </w:p>
    <w:p w14:paraId="2941C68A" w14:textId="77777777" w:rsidR="008E6901" w:rsidRDefault="008E6901" w:rsidP="008E6901">
      <w:pPr>
        <w:pStyle w:val="ListParagraph"/>
        <w:ind w:left="709"/>
        <w:rPr>
          <w:rFonts w:ascii="Arial" w:hAnsi="Arial" w:cs="Arial"/>
          <w:lang w:val="en-US"/>
        </w:rPr>
      </w:pPr>
    </w:p>
    <w:p w14:paraId="26D6A39D" w14:textId="620E91D4" w:rsidR="00B94FE2" w:rsidRPr="00AE5D49" w:rsidRDefault="00AE5D49" w:rsidP="00AE5D49">
      <w:pPr>
        <w:spacing w:line="480" w:lineRule="auto"/>
        <w:ind w:left="709" w:hanging="709"/>
        <w:rPr>
          <w:rFonts w:ascii="Arial" w:hAnsi="Arial" w:cs="Arial"/>
          <w:lang w:val="en-US"/>
        </w:rPr>
      </w:pPr>
      <w:r>
        <w:rPr>
          <w:rFonts w:ascii="Arial" w:hAnsi="Arial" w:cs="Arial"/>
          <w:lang w:val="en-US"/>
        </w:rPr>
        <w:t>[6]</w:t>
      </w:r>
      <w:r>
        <w:rPr>
          <w:rFonts w:ascii="Arial" w:hAnsi="Arial" w:cs="Arial"/>
          <w:lang w:val="en-US"/>
        </w:rPr>
        <w:tab/>
      </w:r>
      <w:r w:rsidR="00B94FE2" w:rsidRPr="00AE5D49">
        <w:rPr>
          <w:rFonts w:ascii="Arial" w:hAnsi="Arial" w:cs="Arial"/>
          <w:lang w:val="en-US"/>
        </w:rPr>
        <w:t>The relevant part of the reasons</w:t>
      </w:r>
      <w:r w:rsidR="000874EF" w:rsidRPr="00AE5D49">
        <w:rPr>
          <w:rFonts w:ascii="Arial" w:hAnsi="Arial" w:cs="Arial"/>
          <w:lang w:val="en-US"/>
        </w:rPr>
        <w:t xml:space="preserve"> why ABSA Bank claims that utilising Rule 53 constitutes an irregularity</w:t>
      </w:r>
      <w:r w:rsidR="00B94FE2" w:rsidRPr="00AE5D49">
        <w:rPr>
          <w:rFonts w:ascii="Arial" w:hAnsi="Arial" w:cs="Arial"/>
          <w:lang w:val="en-US"/>
        </w:rPr>
        <w:t xml:space="preserve"> are contained in the Rule 30 notice</w:t>
      </w:r>
      <w:r w:rsidR="007E269F" w:rsidRPr="00AE5D49">
        <w:rPr>
          <w:rFonts w:ascii="Arial" w:hAnsi="Arial" w:cs="Arial"/>
          <w:lang w:val="en-US"/>
        </w:rPr>
        <w:t>,</w:t>
      </w:r>
      <w:r w:rsidR="00B94FE2" w:rsidRPr="00AE5D49">
        <w:rPr>
          <w:rFonts w:ascii="Arial" w:hAnsi="Arial" w:cs="Arial"/>
          <w:lang w:val="en-US"/>
        </w:rPr>
        <w:t xml:space="preserve"> which reads as follows:</w:t>
      </w:r>
    </w:p>
    <w:p w14:paraId="7AABDC55" w14:textId="77777777" w:rsidR="00B94FE2" w:rsidRPr="00B94FE2" w:rsidRDefault="00B94FE2" w:rsidP="00B94FE2">
      <w:pPr>
        <w:pStyle w:val="ListParagraph"/>
        <w:rPr>
          <w:rFonts w:ascii="Arial" w:hAnsi="Arial" w:cs="Arial"/>
          <w:lang w:val="en-US"/>
        </w:rPr>
      </w:pPr>
    </w:p>
    <w:p w14:paraId="6EF38313" w14:textId="4E556E81" w:rsidR="00B94FE2" w:rsidRDefault="00B94FE2" w:rsidP="000874EF">
      <w:pPr>
        <w:autoSpaceDE w:val="0"/>
        <w:autoSpaceDN w:val="0"/>
        <w:adjustRightInd w:val="0"/>
        <w:spacing w:line="360" w:lineRule="auto"/>
        <w:ind w:left="2158" w:hanging="740"/>
        <w:rPr>
          <w:i/>
          <w:iCs/>
          <w:lang w:val="en-US"/>
        </w:rPr>
      </w:pPr>
      <w:r>
        <w:rPr>
          <w:i/>
          <w:iCs/>
          <w:lang w:val="en-US"/>
        </w:rPr>
        <w:t>“2.</w:t>
      </w:r>
      <w:r w:rsidR="000874EF">
        <w:rPr>
          <w:i/>
          <w:iCs/>
          <w:lang w:val="en-US"/>
        </w:rPr>
        <w:tab/>
      </w:r>
      <w:r>
        <w:rPr>
          <w:i/>
          <w:iCs/>
          <w:lang w:val="en-US"/>
        </w:rPr>
        <w:t>In the applicant's Rule 53 review application, the applicant seeks to review</w:t>
      </w:r>
      <w:r w:rsidR="000874EF">
        <w:rPr>
          <w:i/>
          <w:iCs/>
          <w:lang w:val="en-US"/>
        </w:rPr>
        <w:t xml:space="preserve"> </w:t>
      </w:r>
      <w:r>
        <w:rPr>
          <w:i/>
          <w:iCs/>
          <w:lang w:val="en-US"/>
        </w:rPr>
        <w:t>the decision of the boards of the first and second respondents to remove</w:t>
      </w:r>
      <w:r w:rsidR="000874EF">
        <w:rPr>
          <w:i/>
          <w:iCs/>
          <w:lang w:val="en-US"/>
        </w:rPr>
        <w:t xml:space="preserve"> </w:t>
      </w:r>
      <w:r>
        <w:rPr>
          <w:i/>
          <w:iCs/>
          <w:lang w:val="en-US"/>
        </w:rPr>
        <w:t>him as a director in terms of section 71(5) of the Companies Act, 2008.</w:t>
      </w:r>
    </w:p>
    <w:p w14:paraId="3B3DE3D3" w14:textId="77777777" w:rsidR="005A43B4" w:rsidRDefault="005A43B4" w:rsidP="000874EF">
      <w:pPr>
        <w:autoSpaceDE w:val="0"/>
        <w:autoSpaceDN w:val="0"/>
        <w:adjustRightInd w:val="0"/>
        <w:ind w:firstLine="1418"/>
        <w:rPr>
          <w:i/>
          <w:iCs/>
          <w:lang w:val="en-US"/>
        </w:rPr>
      </w:pPr>
    </w:p>
    <w:p w14:paraId="3415541A" w14:textId="18749A0E" w:rsidR="00B94FE2" w:rsidRDefault="00B94FE2" w:rsidP="000874EF">
      <w:pPr>
        <w:autoSpaceDE w:val="0"/>
        <w:autoSpaceDN w:val="0"/>
        <w:adjustRightInd w:val="0"/>
        <w:spacing w:line="360" w:lineRule="auto"/>
        <w:ind w:left="2158" w:hanging="740"/>
        <w:rPr>
          <w:b/>
          <w:i/>
          <w:iCs/>
          <w:u w:val="single"/>
          <w:lang w:val="en-US"/>
        </w:rPr>
      </w:pPr>
      <w:r>
        <w:rPr>
          <w:i/>
          <w:iCs/>
          <w:lang w:val="en-US"/>
        </w:rPr>
        <w:t>3.</w:t>
      </w:r>
      <w:r w:rsidR="000874EF">
        <w:rPr>
          <w:i/>
          <w:iCs/>
          <w:lang w:val="en-US"/>
        </w:rPr>
        <w:tab/>
      </w:r>
      <w:r w:rsidRPr="005A43B4">
        <w:rPr>
          <w:b/>
          <w:i/>
          <w:iCs/>
          <w:u w:val="single"/>
          <w:lang w:val="en-US"/>
        </w:rPr>
        <w:t>However, the decision by the boards of the first and second respondents to</w:t>
      </w:r>
      <w:r w:rsidR="000874EF">
        <w:rPr>
          <w:b/>
          <w:i/>
          <w:iCs/>
          <w:u w:val="single"/>
          <w:lang w:val="en-US"/>
        </w:rPr>
        <w:t xml:space="preserve"> </w:t>
      </w:r>
      <w:r w:rsidRPr="005A43B4">
        <w:rPr>
          <w:b/>
          <w:i/>
          <w:iCs/>
          <w:u w:val="single"/>
          <w:lang w:val="en-US"/>
        </w:rPr>
        <w:t>remove the applicant as a director does not constitute the performing of a</w:t>
      </w:r>
      <w:r w:rsidR="000874EF">
        <w:rPr>
          <w:b/>
          <w:i/>
          <w:iCs/>
          <w:u w:val="single"/>
          <w:lang w:val="en-US"/>
        </w:rPr>
        <w:t xml:space="preserve"> </w:t>
      </w:r>
      <w:r w:rsidRPr="005A43B4">
        <w:rPr>
          <w:b/>
          <w:i/>
          <w:iCs/>
          <w:u w:val="single"/>
          <w:lang w:val="en-US"/>
        </w:rPr>
        <w:t>judicial, quasi-judicial or administrative function. Consequently, Rule 53</w:t>
      </w:r>
      <w:r w:rsidR="000874EF">
        <w:rPr>
          <w:b/>
          <w:i/>
          <w:iCs/>
          <w:u w:val="single"/>
          <w:lang w:val="en-US"/>
        </w:rPr>
        <w:t xml:space="preserve"> </w:t>
      </w:r>
      <w:r w:rsidRPr="005A43B4">
        <w:rPr>
          <w:b/>
          <w:i/>
          <w:iCs/>
          <w:u w:val="single"/>
          <w:lang w:val="en-US"/>
        </w:rPr>
        <w:t>does not apply.</w:t>
      </w:r>
    </w:p>
    <w:p w14:paraId="4C46CA8D" w14:textId="77777777" w:rsidR="000874EF" w:rsidRPr="005A43B4" w:rsidRDefault="000874EF" w:rsidP="000874EF">
      <w:pPr>
        <w:autoSpaceDE w:val="0"/>
        <w:autoSpaceDN w:val="0"/>
        <w:adjustRightInd w:val="0"/>
        <w:ind w:left="2158" w:hanging="740"/>
        <w:rPr>
          <w:b/>
          <w:i/>
          <w:iCs/>
          <w:u w:val="single"/>
          <w:lang w:val="en-US"/>
        </w:rPr>
      </w:pPr>
    </w:p>
    <w:p w14:paraId="3D5ED8B1" w14:textId="1B486D4D" w:rsidR="00B94FE2" w:rsidRDefault="00B94FE2" w:rsidP="000874EF">
      <w:pPr>
        <w:autoSpaceDE w:val="0"/>
        <w:autoSpaceDN w:val="0"/>
        <w:adjustRightInd w:val="0"/>
        <w:spacing w:line="360" w:lineRule="auto"/>
        <w:ind w:left="2158" w:hanging="740"/>
        <w:rPr>
          <w:i/>
          <w:iCs/>
          <w:lang w:val="en-US"/>
        </w:rPr>
      </w:pPr>
      <w:r>
        <w:rPr>
          <w:i/>
          <w:iCs/>
          <w:lang w:val="en-US"/>
        </w:rPr>
        <w:t>4.</w:t>
      </w:r>
      <w:r w:rsidR="000874EF">
        <w:rPr>
          <w:i/>
          <w:iCs/>
          <w:lang w:val="en-US"/>
        </w:rPr>
        <w:tab/>
      </w:r>
      <w:r>
        <w:rPr>
          <w:i/>
          <w:iCs/>
          <w:lang w:val="en-US"/>
        </w:rPr>
        <w:t>The applicant's Rule 53 review application is therefore an irregular step,</w:t>
      </w:r>
      <w:r w:rsidR="000874EF">
        <w:rPr>
          <w:i/>
          <w:iCs/>
          <w:lang w:val="en-US"/>
        </w:rPr>
        <w:t xml:space="preserve"> </w:t>
      </w:r>
      <w:r w:rsidRPr="00B94FE2">
        <w:rPr>
          <w:i/>
          <w:iCs/>
          <w:lang w:val="en-US"/>
        </w:rPr>
        <w:t>alternatively is non-compliant with the Rules.</w:t>
      </w:r>
      <w:r w:rsidR="005A43B4">
        <w:rPr>
          <w:i/>
          <w:iCs/>
          <w:lang w:val="en-US"/>
        </w:rPr>
        <w:t>”</w:t>
      </w:r>
    </w:p>
    <w:p w14:paraId="21C4AECC" w14:textId="4CBDD651" w:rsidR="005A43B4" w:rsidRPr="00B94FE2" w:rsidRDefault="005A43B4" w:rsidP="00B94FE2">
      <w:pPr>
        <w:spacing w:line="360" w:lineRule="auto"/>
        <w:ind w:firstLine="1418"/>
        <w:rPr>
          <w:rFonts w:ascii="Arial" w:hAnsi="Arial" w:cs="Arial"/>
          <w:lang w:val="en-US"/>
        </w:rPr>
      </w:pPr>
      <w:r>
        <w:rPr>
          <w:rFonts w:ascii="Arial" w:hAnsi="Arial" w:cs="Arial"/>
          <w:lang w:val="en-US"/>
        </w:rPr>
        <w:t>[Emphasis added]</w:t>
      </w:r>
    </w:p>
    <w:p w14:paraId="194EA4FA" w14:textId="77777777" w:rsidR="00B94FE2" w:rsidRPr="00B94FE2" w:rsidRDefault="00B94FE2" w:rsidP="00B94FE2">
      <w:pPr>
        <w:pStyle w:val="ListParagraph"/>
        <w:rPr>
          <w:rFonts w:ascii="Arial" w:hAnsi="Arial" w:cs="Arial"/>
          <w:lang w:val="en-US"/>
        </w:rPr>
      </w:pPr>
    </w:p>
    <w:p w14:paraId="5759563F" w14:textId="5C481783" w:rsidR="00B94FE2" w:rsidRPr="00AE5D49" w:rsidRDefault="00AE5D49" w:rsidP="00AE5D49">
      <w:pPr>
        <w:spacing w:line="480" w:lineRule="auto"/>
        <w:ind w:left="709" w:hanging="709"/>
        <w:rPr>
          <w:rFonts w:ascii="Arial" w:hAnsi="Arial" w:cs="Arial"/>
          <w:lang w:val="en-US"/>
        </w:rPr>
      </w:pPr>
      <w:r>
        <w:rPr>
          <w:rFonts w:ascii="Arial" w:hAnsi="Arial" w:cs="Arial"/>
          <w:lang w:val="en-US"/>
        </w:rPr>
        <w:t>[7]</w:t>
      </w:r>
      <w:r>
        <w:rPr>
          <w:rFonts w:ascii="Arial" w:hAnsi="Arial" w:cs="Arial"/>
          <w:lang w:val="en-US"/>
        </w:rPr>
        <w:tab/>
      </w:r>
      <w:r w:rsidR="005A43B4" w:rsidRPr="00AE5D49">
        <w:rPr>
          <w:rFonts w:ascii="Arial" w:hAnsi="Arial" w:cs="Arial"/>
          <w:lang w:val="en-US"/>
        </w:rPr>
        <w:t>In the notice of motion, the relevant relief sought is set out as follows:</w:t>
      </w:r>
    </w:p>
    <w:p w14:paraId="71386CE2" w14:textId="77777777" w:rsidR="005A43B4" w:rsidRPr="005A43B4" w:rsidRDefault="005A43B4" w:rsidP="005A43B4">
      <w:pPr>
        <w:rPr>
          <w:rFonts w:ascii="Arial" w:hAnsi="Arial" w:cs="Arial"/>
          <w:lang w:val="en-US"/>
        </w:rPr>
      </w:pPr>
    </w:p>
    <w:p w14:paraId="40476181" w14:textId="10D62917" w:rsidR="005A43B4" w:rsidRDefault="005A43B4" w:rsidP="000874EF">
      <w:pPr>
        <w:autoSpaceDE w:val="0"/>
        <w:autoSpaceDN w:val="0"/>
        <w:adjustRightInd w:val="0"/>
        <w:spacing w:line="360" w:lineRule="auto"/>
        <w:ind w:left="2160" w:hanging="720"/>
        <w:rPr>
          <w:rFonts w:ascii="Times" w:hAnsi="Times" w:cs="Ü˝Ç¿$"/>
          <w:i/>
          <w:iCs/>
          <w:lang w:val="en-US"/>
        </w:rPr>
      </w:pPr>
      <w:r w:rsidRPr="005A43B4">
        <w:rPr>
          <w:rFonts w:ascii="Times" w:hAnsi="Times" w:cs="Ü˝Ç¿$"/>
          <w:i/>
          <w:iCs/>
          <w:lang w:val="en-US"/>
        </w:rPr>
        <w:t>“1.</w:t>
      </w:r>
      <w:r w:rsidR="000874EF">
        <w:rPr>
          <w:rFonts w:ascii="Times" w:hAnsi="Times" w:cs="Ü˝Ç¿$"/>
          <w:i/>
          <w:iCs/>
          <w:lang w:val="en-US"/>
        </w:rPr>
        <w:tab/>
        <w:t>D</w:t>
      </w:r>
      <w:r w:rsidRPr="005A43B4">
        <w:rPr>
          <w:rFonts w:ascii="Times" w:hAnsi="Times" w:cs="Ü˝Ç¿$"/>
          <w:i/>
          <w:iCs/>
          <w:lang w:val="en-US"/>
        </w:rPr>
        <w:t>eclaring that the respondent's review application dated 21 December 2021("the review application") constitutes an irregular step, alternatively is not in compliance with the Rules insofar as it invokes the provisions of Uniform rule 53 of the Uniform Rules of Court;</w:t>
      </w:r>
    </w:p>
    <w:p w14:paraId="2B3325ED" w14:textId="77777777" w:rsidR="005A43B4" w:rsidRPr="005A43B4" w:rsidRDefault="005A43B4" w:rsidP="000874EF">
      <w:pPr>
        <w:autoSpaceDE w:val="0"/>
        <w:autoSpaceDN w:val="0"/>
        <w:adjustRightInd w:val="0"/>
        <w:ind w:left="1440"/>
        <w:rPr>
          <w:rFonts w:ascii="Times" w:hAnsi="Times" w:cs="Ü˝Ç¿$"/>
          <w:i/>
          <w:iCs/>
          <w:lang w:val="en-US"/>
        </w:rPr>
      </w:pPr>
    </w:p>
    <w:p w14:paraId="6E4D56E5" w14:textId="420472C4" w:rsidR="005A43B4" w:rsidRDefault="005A43B4" w:rsidP="000874EF">
      <w:pPr>
        <w:autoSpaceDE w:val="0"/>
        <w:autoSpaceDN w:val="0"/>
        <w:adjustRightInd w:val="0"/>
        <w:spacing w:line="360" w:lineRule="auto"/>
        <w:ind w:left="2160" w:hanging="720"/>
        <w:rPr>
          <w:rFonts w:ascii="Times" w:hAnsi="Times" w:cs="Ü˝Ç¿$"/>
          <w:i/>
          <w:iCs/>
          <w:lang w:val="en-US"/>
        </w:rPr>
      </w:pPr>
      <w:r w:rsidRPr="005A43B4">
        <w:rPr>
          <w:rFonts w:ascii="Times" w:hAnsi="Times" w:cs="Ü˝Ç¿$"/>
          <w:i/>
          <w:iCs/>
          <w:lang w:val="en-US"/>
        </w:rPr>
        <w:t>2.</w:t>
      </w:r>
      <w:r w:rsidR="000874EF">
        <w:rPr>
          <w:rFonts w:ascii="Times" w:hAnsi="Times" w:cs="Ü˝Ç¿$"/>
          <w:i/>
          <w:iCs/>
          <w:lang w:val="en-US"/>
        </w:rPr>
        <w:tab/>
        <w:t>S</w:t>
      </w:r>
      <w:r w:rsidRPr="005A43B4">
        <w:rPr>
          <w:rFonts w:ascii="Times" w:hAnsi="Times" w:cs="Ü˝Ç¿$"/>
          <w:i/>
          <w:iCs/>
          <w:lang w:val="en-US"/>
        </w:rPr>
        <w:t>etting aside, alternatively striking out that portion of the Notice of Motion in the review application which invokes the provisions of Uniform rule 53;</w:t>
      </w:r>
    </w:p>
    <w:p w14:paraId="6DC0E931" w14:textId="77777777" w:rsidR="005A43B4" w:rsidRPr="005A43B4" w:rsidRDefault="005A43B4" w:rsidP="000874EF">
      <w:pPr>
        <w:autoSpaceDE w:val="0"/>
        <w:autoSpaceDN w:val="0"/>
        <w:adjustRightInd w:val="0"/>
        <w:ind w:left="1440"/>
        <w:rPr>
          <w:rFonts w:ascii="Times" w:hAnsi="Times" w:cs="Ü˝Ç¿$"/>
          <w:i/>
          <w:iCs/>
          <w:lang w:val="en-US"/>
        </w:rPr>
      </w:pPr>
    </w:p>
    <w:p w14:paraId="5A362992" w14:textId="227B38BE" w:rsidR="005A43B4" w:rsidRPr="005A43B4" w:rsidRDefault="005A43B4" w:rsidP="000874EF">
      <w:pPr>
        <w:autoSpaceDE w:val="0"/>
        <w:autoSpaceDN w:val="0"/>
        <w:adjustRightInd w:val="0"/>
        <w:spacing w:line="360" w:lineRule="auto"/>
        <w:ind w:left="2160" w:hanging="720"/>
        <w:rPr>
          <w:rFonts w:ascii="Times" w:hAnsi="Times" w:cs="Ü˝Ç¿$"/>
          <w:i/>
          <w:iCs/>
          <w:lang w:val="en-US"/>
        </w:rPr>
      </w:pPr>
      <w:r w:rsidRPr="005A43B4">
        <w:rPr>
          <w:rFonts w:ascii="Times" w:hAnsi="Times" w:cs="Ü˝Ç¿$"/>
          <w:i/>
          <w:iCs/>
          <w:lang w:val="en-US"/>
        </w:rPr>
        <w:t>3.</w:t>
      </w:r>
      <w:r w:rsidR="000874EF">
        <w:rPr>
          <w:rFonts w:ascii="Times" w:hAnsi="Times" w:cs="Ü˝Ç¿$"/>
          <w:i/>
          <w:iCs/>
          <w:lang w:val="en-US"/>
        </w:rPr>
        <w:tab/>
        <w:t>O</w:t>
      </w:r>
      <w:r w:rsidRPr="005A43B4">
        <w:rPr>
          <w:rFonts w:ascii="Times" w:hAnsi="Times" w:cs="Ü˝Ç¿$"/>
          <w:i/>
          <w:iCs/>
          <w:lang w:val="en-US"/>
        </w:rPr>
        <w:t>rdering the respondent to pay the costs of this application, including the</w:t>
      </w:r>
      <w:r w:rsidR="000874EF">
        <w:rPr>
          <w:rFonts w:ascii="Times" w:hAnsi="Times" w:cs="Ü˝Ç¿$"/>
          <w:i/>
          <w:iCs/>
          <w:lang w:val="en-US"/>
        </w:rPr>
        <w:t xml:space="preserve"> </w:t>
      </w:r>
      <w:r w:rsidRPr="005A43B4">
        <w:rPr>
          <w:rFonts w:ascii="Times" w:hAnsi="Times" w:cs="Ü˝Ç¿$"/>
          <w:i/>
          <w:iCs/>
          <w:lang w:val="en-US"/>
        </w:rPr>
        <w:t>costs of two counsel;”</w:t>
      </w:r>
    </w:p>
    <w:p w14:paraId="7D935E00" w14:textId="77777777" w:rsidR="005A43B4" w:rsidRDefault="005A43B4" w:rsidP="005A43B4">
      <w:pPr>
        <w:pStyle w:val="ListParagraph"/>
        <w:ind w:left="1429" w:firstLine="11"/>
        <w:rPr>
          <w:rFonts w:ascii="Ü˝Ç¿$" w:hAnsi="Ü˝Ç¿$" w:cs="Ü˝Ç¿$"/>
          <w:i/>
          <w:iCs/>
          <w:sz w:val="23"/>
          <w:szCs w:val="23"/>
          <w:lang w:val="en-US"/>
        </w:rPr>
      </w:pPr>
    </w:p>
    <w:p w14:paraId="5304995A" w14:textId="77777777" w:rsidR="005A43B4" w:rsidRPr="00FF2A87" w:rsidRDefault="005A43B4" w:rsidP="00FF2A87">
      <w:pPr>
        <w:rPr>
          <w:rFonts w:ascii="Arial" w:hAnsi="Arial" w:cs="Arial"/>
          <w:lang w:val="en-US"/>
        </w:rPr>
      </w:pPr>
    </w:p>
    <w:p w14:paraId="51FCA2A6" w14:textId="3E25232C" w:rsidR="005A43B4" w:rsidRPr="00AE5D49" w:rsidRDefault="00AE5D49" w:rsidP="00AE5D49">
      <w:pPr>
        <w:spacing w:line="480" w:lineRule="auto"/>
        <w:ind w:left="709" w:hanging="709"/>
        <w:rPr>
          <w:rFonts w:ascii="Arial" w:hAnsi="Arial" w:cs="Arial"/>
          <w:lang w:val="en-US"/>
        </w:rPr>
      </w:pPr>
      <w:r>
        <w:rPr>
          <w:rFonts w:ascii="Arial" w:hAnsi="Arial" w:cs="Arial"/>
          <w:lang w:val="en-US"/>
        </w:rPr>
        <w:t>[8]</w:t>
      </w:r>
      <w:r>
        <w:rPr>
          <w:rFonts w:ascii="Arial" w:hAnsi="Arial" w:cs="Arial"/>
          <w:lang w:val="en-US"/>
        </w:rPr>
        <w:tab/>
      </w:r>
      <w:r w:rsidR="008D5A37" w:rsidRPr="00AE5D49">
        <w:rPr>
          <w:rFonts w:ascii="Arial" w:hAnsi="Arial" w:cs="Arial"/>
          <w:lang w:val="en-US"/>
        </w:rPr>
        <w:t xml:space="preserve">The </w:t>
      </w:r>
      <w:r w:rsidR="007E269F" w:rsidRPr="00AE5D49">
        <w:rPr>
          <w:rFonts w:ascii="Arial" w:hAnsi="Arial" w:cs="Arial"/>
          <w:lang w:val="en-US"/>
        </w:rPr>
        <w:t>first</w:t>
      </w:r>
      <w:r w:rsidR="00D92313" w:rsidRPr="00AE5D49">
        <w:rPr>
          <w:rFonts w:ascii="Arial" w:hAnsi="Arial" w:cs="Arial"/>
          <w:lang w:val="en-US"/>
        </w:rPr>
        <w:t xml:space="preserve"> question raised is whether</w:t>
      </w:r>
      <w:r w:rsidR="008D5A37" w:rsidRPr="00AE5D49">
        <w:rPr>
          <w:rFonts w:ascii="Arial" w:hAnsi="Arial" w:cs="Arial"/>
          <w:lang w:val="en-US"/>
        </w:rPr>
        <w:t xml:space="preserve"> Rule 53 </w:t>
      </w:r>
      <w:r w:rsidR="00D92313" w:rsidRPr="00AE5D49">
        <w:rPr>
          <w:rFonts w:ascii="Arial" w:hAnsi="Arial" w:cs="Arial"/>
          <w:lang w:val="en-US"/>
        </w:rPr>
        <w:t>of the Uniform Rules of Court applies to</w:t>
      </w:r>
      <w:r w:rsidR="008D5A37" w:rsidRPr="00AE5D49">
        <w:rPr>
          <w:rFonts w:ascii="Arial" w:hAnsi="Arial" w:cs="Arial"/>
          <w:lang w:val="en-US"/>
        </w:rPr>
        <w:t xml:space="preserve"> review </w:t>
      </w:r>
      <w:r w:rsidR="00D92313" w:rsidRPr="00AE5D49">
        <w:rPr>
          <w:rFonts w:ascii="Arial" w:hAnsi="Arial" w:cs="Arial"/>
          <w:lang w:val="en-US"/>
        </w:rPr>
        <w:t>proceedings</w:t>
      </w:r>
      <w:r w:rsidR="008D5A37" w:rsidRPr="00AE5D49">
        <w:rPr>
          <w:rFonts w:ascii="Arial" w:hAnsi="Arial" w:cs="Arial"/>
          <w:lang w:val="en-US"/>
        </w:rPr>
        <w:t xml:space="preserve"> as contemplated in the </w:t>
      </w:r>
      <w:r w:rsidR="00D92313" w:rsidRPr="00AE5D49">
        <w:rPr>
          <w:rFonts w:ascii="Arial" w:hAnsi="Arial" w:cs="Arial"/>
          <w:lang w:val="en-US"/>
        </w:rPr>
        <w:t xml:space="preserve">section 71(5) </w:t>
      </w:r>
      <w:r w:rsidR="008D5A37" w:rsidRPr="00AE5D49">
        <w:rPr>
          <w:rFonts w:ascii="Arial" w:hAnsi="Arial" w:cs="Arial"/>
          <w:lang w:val="en-US"/>
        </w:rPr>
        <w:t>Companies Act</w:t>
      </w:r>
      <w:r w:rsidR="00FF2A87" w:rsidRPr="00AE5D49">
        <w:rPr>
          <w:rFonts w:ascii="Arial" w:hAnsi="Arial" w:cs="Arial"/>
          <w:lang w:val="en-US"/>
        </w:rPr>
        <w:t>.</w:t>
      </w:r>
    </w:p>
    <w:p w14:paraId="09D764E0" w14:textId="77777777" w:rsidR="008D5A37" w:rsidRPr="008D5A37" w:rsidRDefault="008D5A37" w:rsidP="008D5A37">
      <w:pPr>
        <w:pStyle w:val="ListParagraph"/>
        <w:rPr>
          <w:rFonts w:ascii="Arial" w:hAnsi="Arial" w:cs="Arial"/>
          <w:lang w:val="en-US"/>
        </w:rPr>
      </w:pPr>
    </w:p>
    <w:p w14:paraId="39D05EF3" w14:textId="692C1E90" w:rsidR="008D5A37" w:rsidRPr="00AE5D49" w:rsidRDefault="00AE5D49" w:rsidP="00AE5D49">
      <w:pPr>
        <w:spacing w:line="480" w:lineRule="auto"/>
        <w:ind w:left="709" w:hanging="709"/>
        <w:rPr>
          <w:rFonts w:ascii="Arial" w:hAnsi="Arial" w:cs="Arial"/>
          <w:lang w:val="en-US"/>
        </w:rPr>
      </w:pPr>
      <w:r>
        <w:rPr>
          <w:rFonts w:ascii="Arial" w:hAnsi="Arial" w:cs="Arial"/>
          <w:lang w:val="en-US"/>
        </w:rPr>
        <w:t>[9]</w:t>
      </w:r>
      <w:r>
        <w:rPr>
          <w:rFonts w:ascii="Arial" w:hAnsi="Arial" w:cs="Arial"/>
          <w:lang w:val="en-US"/>
        </w:rPr>
        <w:tab/>
      </w:r>
      <w:r w:rsidR="008D5A37" w:rsidRPr="00AE5D49">
        <w:rPr>
          <w:rFonts w:ascii="Arial" w:hAnsi="Arial" w:cs="Arial"/>
          <w:lang w:val="en-US"/>
        </w:rPr>
        <w:t xml:space="preserve">The second question that may come to the fore is whether any of the parties suffered </w:t>
      </w:r>
      <w:r w:rsidR="00FD4001" w:rsidRPr="00AE5D49">
        <w:rPr>
          <w:rFonts w:ascii="Arial" w:hAnsi="Arial" w:cs="Arial"/>
          <w:lang w:val="en-US"/>
        </w:rPr>
        <w:t xml:space="preserve">or will suffer </w:t>
      </w:r>
      <w:r w:rsidR="008D5A37" w:rsidRPr="00AE5D49">
        <w:rPr>
          <w:rFonts w:ascii="Arial" w:hAnsi="Arial" w:cs="Arial"/>
          <w:lang w:val="en-US"/>
        </w:rPr>
        <w:t>prejudice</w:t>
      </w:r>
      <w:r w:rsidR="00FD4001" w:rsidRPr="00AE5D49">
        <w:rPr>
          <w:rFonts w:ascii="Arial" w:hAnsi="Arial" w:cs="Arial"/>
          <w:lang w:val="en-US"/>
        </w:rPr>
        <w:t>,</w:t>
      </w:r>
      <w:r w:rsidR="008D5A37" w:rsidRPr="00AE5D49">
        <w:rPr>
          <w:rFonts w:ascii="Arial" w:hAnsi="Arial" w:cs="Arial"/>
          <w:lang w:val="en-US"/>
        </w:rPr>
        <w:t xml:space="preserve"> should the procedure followed be found to be irregular.</w:t>
      </w:r>
    </w:p>
    <w:p w14:paraId="35B8C364" w14:textId="77777777" w:rsidR="00EB1C53" w:rsidRPr="0050784F" w:rsidRDefault="00EB1C53" w:rsidP="0050784F">
      <w:pPr>
        <w:rPr>
          <w:rFonts w:ascii="Arial" w:hAnsi="Arial" w:cs="Arial"/>
          <w:lang w:val="en-US"/>
        </w:rPr>
      </w:pPr>
    </w:p>
    <w:p w14:paraId="55BC5940" w14:textId="066F0D17" w:rsidR="00EB1C53" w:rsidRPr="00AE5D49" w:rsidRDefault="00AE5D49" w:rsidP="00AE5D49">
      <w:pPr>
        <w:spacing w:line="480" w:lineRule="auto"/>
        <w:ind w:left="709" w:hanging="709"/>
        <w:rPr>
          <w:rFonts w:ascii="Arial" w:hAnsi="Arial" w:cs="Arial"/>
          <w:lang w:val="en-US"/>
        </w:rPr>
      </w:pPr>
      <w:r>
        <w:rPr>
          <w:rFonts w:ascii="Arial" w:hAnsi="Arial" w:cs="Arial"/>
          <w:lang w:val="en-US"/>
        </w:rPr>
        <w:t>[10]</w:t>
      </w:r>
      <w:r>
        <w:rPr>
          <w:rFonts w:ascii="Arial" w:hAnsi="Arial" w:cs="Arial"/>
          <w:lang w:val="en-US"/>
        </w:rPr>
        <w:tab/>
      </w:r>
      <w:r w:rsidR="00EB1C53" w:rsidRPr="00AE5D49">
        <w:rPr>
          <w:rFonts w:ascii="Arial" w:hAnsi="Arial" w:cs="Arial"/>
          <w:lang w:val="en-US"/>
        </w:rPr>
        <w:t xml:space="preserve">Before dealing with the interpretation of the provisions of the </w:t>
      </w:r>
      <w:r w:rsidR="0050784F" w:rsidRPr="00AE5D49">
        <w:rPr>
          <w:rFonts w:ascii="Arial" w:hAnsi="Arial" w:cs="Arial"/>
          <w:lang w:val="en-US"/>
        </w:rPr>
        <w:t>C</w:t>
      </w:r>
      <w:r w:rsidR="00EB1C53" w:rsidRPr="00AE5D49">
        <w:rPr>
          <w:rFonts w:ascii="Arial" w:hAnsi="Arial" w:cs="Arial"/>
          <w:lang w:val="en-US"/>
        </w:rPr>
        <w:t xml:space="preserve">ompanies </w:t>
      </w:r>
      <w:r w:rsidR="0050784F" w:rsidRPr="00AE5D49">
        <w:rPr>
          <w:rFonts w:ascii="Arial" w:hAnsi="Arial" w:cs="Arial"/>
          <w:lang w:val="en-US"/>
        </w:rPr>
        <w:t>A</w:t>
      </w:r>
      <w:r w:rsidR="00EB1C53" w:rsidRPr="00AE5D49">
        <w:rPr>
          <w:rFonts w:ascii="Arial" w:hAnsi="Arial" w:cs="Arial"/>
          <w:lang w:val="en-US"/>
        </w:rPr>
        <w:t>ct and the purpose of providing a record in general</w:t>
      </w:r>
      <w:r w:rsidR="0050784F" w:rsidRPr="00AE5D49">
        <w:rPr>
          <w:rFonts w:ascii="Arial" w:hAnsi="Arial" w:cs="Arial"/>
          <w:lang w:val="en-US"/>
        </w:rPr>
        <w:t>,</w:t>
      </w:r>
      <w:r w:rsidR="00EB1C53" w:rsidRPr="00AE5D49">
        <w:rPr>
          <w:rFonts w:ascii="Arial" w:hAnsi="Arial" w:cs="Arial"/>
          <w:lang w:val="en-US"/>
        </w:rPr>
        <w:t xml:space="preserve"> I need to deal with some of the arguments raised by the parties</w:t>
      </w:r>
      <w:r w:rsidR="0050784F" w:rsidRPr="00AE5D49">
        <w:rPr>
          <w:rFonts w:ascii="Arial" w:hAnsi="Arial" w:cs="Arial"/>
          <w:lang w:val="en-US"/>
        </w:rPr>
        <w:t xml:space="preserve"> which will place the matter into perspective. I will deal with the issues raised, but not necessarily under a separate heading.</w:t>
      </w:r>
    </w:p>
    <w:p w14:paraId="091FF802" w14:textId="77777777" w:rsidR="00EB1C53" w:rsidRPr="00EB1C53" w:rsidRDefault="00EB1C53" w:rsidP="00EB1C53">
      <w:pPr>
        <w:pStyle w:val="ListParagraph"/>
        <w:rPr>
          <w:rFonts w:ascii="Arial" w:hAnsi="Arial" w:cs="Arial"/>
          <w:lang w:val="en-US"/>
        </w:rPr>
      </w:pPr>
    </w:p>
    <w:p w14:paraId="2E47915D" w14:textId="76636508" w:rsidR="00EB1C53" w:rsidRPr="00AE5D49" w:rsidRDefault="00AE5D49" w:rsidP="00AE5D49">
      <w:pPr>
        <w:spacing w:line="480" w:lineRule="auto"/>
        <w:ind w:left="709" w:hanging="709"/>
        <w:rPr>
          <w:rFonts w:ascii="Arial" w:hAnsi="Arial" w:cs="Arial"/>
          <w:lang w:val="en-US"/>
        </w:rPr>
      </w:pPr>
      <w:r>
        <w:rPr>
          <w:rFonts w:ascii="Arial" w:hAnsi="Arial" w:cs="Arial"/>
          <w:lang w:val="en-US"/>
        </w:rPr>
        <w:t>[11]</w:t>
      </w:r>
      <w:r>
        <w:rPr>
          <w:rFonts w:ascii="Arial" w:hAnsi="Arial" w:cs="Arial"/>
          <w:lang w:val="en-US"/>
        </w:rPr>
        <w:tab/>
      </w:r>
      <w:r w:rsidR="00EB1C53" w:rsidRPr="00AE5D49">
        <w:rPr>
          <w:rFonts w:ascii="Arial" w:hAnsi="Arial" w:cs="Arial"/>
          <w:lang w:val="en-US"/>
        </w:rPr>
        <w:t xml:space="preserve">Mr Pityana in the answering affidavit to the Rule 30 </w:t>
      </w:r>
      <w:r w:rsidR="0050784F" w:rsidRPr="00AE5D49">
        <w:rPr>
          <w:rFonts w:ascii="Arial" w:hAnsi="Arial" w:cs="Arial"/>
          <w:i/>
          <w:lang w:val="en-US"/>
        </w:rPr>
        <w:t>inter alia</w:t>
      </w:r>
      <w:r w:rsidR="00EB1C53" w:rsidRPr="00AE5D49">
        <w:rPr>
          <w:rFonts w:ascii="Arial" w:hAnsi="Arial" w:cs="Arial"/>
          <w:lang w:val="en-US"/>
        </w:rPr>
        <w:t xml:space="preserve"> claims that the decision is administrative action</w:t>
      </w:r>
      <w:r w:rsidR="0050784F" w:rsidRPr="00AE5D49">
        <w:rPr>
          <w:rFonts w:ascii="Arial" w:hAnsi="Arial" w:cs="Arial"/>
          <w:lang w:val="en-US"/>
        </w:rPr>
        <w:t xml:space="preserve"> as contemplated in the Promotion of </w:t>
      </w:r>
      <w:r w:rsidR="0050784F" w:rsidRPr="00AE5D49">
        <w:rPr>
          <w:rFonts w:ascii="Arial" w:hAnsi="Arial" w:cs="Arial"/>
          <w:lang w:val="en-US"/>
        </w:rPr>
        <w:lastRenderedPageBreak/>
        <w:t>Administrative Justice Act 2 of 2000 (“PAJA”),</w:t>
      </w:r>
      <w:r w:rsidR="00EB1C53" w:rsidRPr="00AE5D49">
        <w:rPr>
          <w:rFonts w:ascii="Arial" w:hAnsi="Arial" w:cs="Arial"/>
          <w:lang w:val="en-US"/>
        </w:rPr>
        <w:t xml:space="preserve"> and the application </w:t>
      </w:r>
      <w:r w:rsidR="0050784F" w:rsidRPr="00AE5D49">
        <w:rPr>
          <w:rFonts w:ascii="Arial" w:hAnsi="Arial" w:cs="Arial"/>
          <w:lang w:val="en-US"/>
        </w:rPr>
        <w:t xml:space="preserve">is </w:t>
      </w:r>
      <w:r w:rsidR="00EB1C53" w:rsidRPr="00AE5D49">
        <w:rPr>
          <w:rFonts w:ascii="Arial" w:hAnsi="Arial" w:cs="Arial"/>
          <w:lang w:val="en-US"/>
        </w:rPr>
        <w:t>subject to the provisions thereof. I need to address this issue</w:t>
      </w:r>
      <w:r w:rsidR="0050784F" w:rsidRPr="00AE5D49">
        <w:rPr>
          <w:rFonts w:ascii="Arial" w:hAnsi="Arial" w:cs="Arial"/>
          <w:lang w:val="en-US"/>
        </w:rPr>
        <w:t xml:space="preserve"> first.</w:t>
      </w:r>
    </w:p>
    <w:p w14:paraId="0AA07235" w14:textId="10A06630" w:rsidR="00EB1C53" w:rsidRDefault="00EB1C53" w:rsidP="00EB1C53">
      <w:pPr>
        <w:pStyle w:val="ListParagraph"/>
        <w:rPr>
          <w:rFonts w:ascii="Arial" w:hAnsi="Arial" w:cs="Arial"/>
          <w:lang w:val="en-US"/>
        </w:rPr>
      </w:pPr>
    </w:p>
    <w:p w14:paraId="747CF95B" w14:textId="77777777" w:rsidR="00EB1C53" w:rsidRPr="00A15D76" w:rsidRDefault="00EB1C53" w:rsidP="00EB1C53">
      <w:pPr>
        <w:pStyle w:val="ListParagraph"/>
        <w:rPr>
          <w:rFonts w:ascii="Arial" w:hAnsi="Arial" w:cs="Arial"/>
          <w:lang w:val="en-US"/>
        </w:rPr>
      </w:pPr>
    </w:p>
    <w:p w14:paraId="484A116D" w14:textId="77777777" w:rsidR="00EB1C53" w:rsidRPr="00FD4001" w:rsidRDefault="00EB1C53" w:rsidP="00EB1C53">
      <w:pPr>
        <w:spacing w:line="480" w:lineRule="auto"/>
        <w:rPr>
          <w:rFonts w:ascii="Arial" w:hAnsi="Arial" w:cs="Arial"/>
          <w:b/>
          <w:i/>
          <w:lang w:val="en-US"/>
        </w:rPr>
      </w:pPr>
      <w:r>
        <w:rPr>
          <w:rFonts w:ascii="Arial" w:hAnsi="Arial" w:cs="Arial"/>
          <w:b/>
          <w:i/>
          <w:lang w:val="en-US"/>
        </w:rPr>
        <w:t>A</w:t>
      </w:r>
      <w:r w:rsidRPr="00FD4001">
        <w:rPr>
          <w:rFonts w:ascii="Arial" w:hAnsi="Arial" w:cs="Arial"/>
          <w:b/>
          <w:i/>
          <w:lang w:val="en-US"/>
        </w:rPr>
        <w:t>dministrative action or not</w:t>
      </w:r>
    </w:p>
    <w:p w14:paraId="5C8B68F3" w14:textId="77777777" w:rsidR="00EB1C53" w:rsidRPr="00A15D76" w:rsidRDefault="00EB1C53" w:rsidP="00EB1C53">
      <w:pPr>
        <w:pStyle w:val="ListParagraph"/>
        <w:rPr>
          <w:rFonts w:ascii="Arial" w:hAnsi="Arial" w:cs="Arial"/>
          <w:lang w:val="en-US"/>
        </w:rPr>
      </w:pPr>
    </w:p>
    <w:p w14:paraId="6B4610C2" w14:textId="35BEE95E" w:rsidR="00EB1C53" w:rsidRPr="00AE5D49" w:rsidRDefault="00AE5D49" w:rsidP="00AE5D49">
      <w:pPr>
        <w:spacing w:line="480" w:lineRule="auto"/>
        <w:ind w:left="709" w:hanging="709"/>
        <w:rPr>
          <w:rFonts w:ascii="Arial" w:hAnsi="Arial" w:cs="Arial"/>
          <w:lang w:val="en-US"/>
        </w:rPr>
      </w:pPr>
      <w:r>
        <w:rPr>
          <w:rFonts w:ascii="Arial" w:hAnsi="Arial" w:cs="Arial"/>
          <w:lang w:val="en-US"/>
        </w:rPr>
        <w:t>[12]</w:t>
      </w:r>
      <w:r>
        <w:rPr>
          <w:rFonts w:ascii="Arial" w:hAnsi="Arial" w:cs="Arial"/>
          <w:lang w:val="en-US"/>
        </w:rPr>
        <w:tab/>
      </w:r>
      <w:r w:rsidR="00EB1C53" w:rsidRPr="00AE5D49">
        <w:rPr>
          <w:rFonts w:ascii="Arial" w:hAnsi="Arial" w:cs="Arial"/>
          <w:lang w:val="en-US"/>
        </w:rPr>
        <w:t>F</w:t>
      </w:r>
      <w:r w:rsidR="00230CFC" w:rsidRPr="00AE5D49">
        <w:rPr>
          <w:rFonts w:ascii="Arial" w:hAnsi="Arial" w:cs="Arial"/>
          <w:lang w:val="en-US"/>
        </w:rPr>
        <w:t xml:space="preserve">irst of </w:t>
      </w:r>
      <w:r w:rsidR="00DC424E" w:rsidRPr="00AE5D49">
        <w:rPr>
          <w:rFonts w:ascii="Arial" w:hAnsi="Arial" w:cs="Arial"/>
          <w:lang w:val="en-US"/>
        </w:rPr>
        <w:t>all,</w:t>
      </w:r>
      <w:r w:rsidR="00230CFC" w:rsidRPr="00AE5D49">
        <w:rPr>
          <w:rFonts w:ascii="Arial" w:hAnsi="Arial" w:cs="Arial"/>
          <w:lang w:val="en-US"/>
        </w:rPr>
        <w:t xml:space="preserve"> f</w:t>
      </w:r>
      <w:r w:rsidR="00EB1C53" w:rsidRPr="00AE5D49">
        <w:rPr>
          <w:rFonts w:ascii="Arial" w:hAnsi="Arial" w:cs="Arial"/>
          <w:lang w:val="en-US"/>
        </w:rPr>
        <w:t>or the decision by a board or shareholders to remove a director to be administrative action the definition of the PAJA needs be investigated. The definition reads as follows:</w:t>
      </w:r>
    </w:p>
    <w:p w14:paraId="79FDE48D" w14:textId="77777777" w:rsidR="00EB1C53" w:rsidRPr="00DC424E" w:rsidRDefault="00EB1C53" w:rsidP="00EB1C53">
      <w:pPr>
        <w:pStyle w:val="ListParagraph"/>
        <w:spacing w:line="360" w:lineRule="auto"/>
        <w:ind w:left="1440"/>
        <w:rPr>
          <w:rFonts w:ascii="Times" w:hAnsi="Times" w:cs="Arial"/>
          <w:i/>
        </w:rPr>
      </w:pPr>
      <w:r w:rsidRPr="00DC424E">
        <w:rPr>
          <w:rFonts w:ascii="Times" w:hAnsi="Times" w:cs="Arial"/>
          <w:i/>
          <w:lang w:val="en-US"/>
        </w:rPr>
        <w:t>“</w:t>
      </w:r>
      <w:r w:rsidRPr="00DC424E">
        <w:rPr>
          <w:rFonts w:ascii="Times" w:hAnsi="Times" w:cs="Arial"/>
          <w:i/>
        </w:rPr>
        <w:t>any decision taken, or any failure to take a decision, by—</w:t>
      </w:r>
      <w:r w:rsidRPr="00DC424E">
        <w:rPr>
          <w:rFonts w:ascii="Times" w:hAnsi="Times" w:cs="Arial"/>
          <w:i/>
        </w:rPr>
        <w:br/>
      </w:r>
      <w:r w:rsidRPr="00DC424E">
        <w:rPr>
          <w:rFonts w:ascii="Times" w:hAnsi="Times"/>
          <w:i/>
        </w:rPr>
        <w:t xml:space="preserve">(a) </w:t>
      </w:r>
      <w:r w:rsidRPr="00DC424E">
        <w:rPr>
          <w:rFonts w:ascii="Times" w:hAnsi="Times" w:cs="Arial"/>
          <w:i/>
        </w:rPr>
        <w:t xml:space="preserve">an organ of state, when- </w:t>
      </w:r>
    </w:p>
    <w:p w14:paraId="1C35DBA7" w14:textId="133AA263" w:rsidR="00EB1C53" w:rsidRPr="00AE5D49" w:rsidRDefault="00AE5D49" w:rsidP="00AE5D49">
      <w:pPr>
        <w:spacing w:line="360" w:lineRule="auto"/>
        <w:ind w:left="2160" w:hanging="720"/>
        <w:rPr>
          <w:rFonts w:ascii="Times" w:hAnsi="Times" w:cs="Arial"/>
          <w:i/>
        </w:rPr>
      </w:pPr>
      <w:r w:rsidRPr="00DC424E">
        <w:rPr>
          <w:rFonts w:ascii="Times" w:hAnsi="Times" w:cs="Arial"/>
          <w:i/>
        </w:rPr>
        <w:t>(i)</w:t>
      </w:r>
      <w:r w:rsidRPr="00DC424E">
        <w:rPr>
          <w:rFonts w:ascii="Times" w:hAnsi="Times" w:cs="Arial"/>
          <w:i/>
        </w:rPr>
        <w:tab/>
      </w:r>
      <w:r w:rsidR="00EB1C53" w:rsidRPr="00AE5D49">
        <w:rPr>
          <w:rFonts w:ascii="Times" w:hAnsi="Times" w:cs="Arial"/>
          <w:i/>
        </w:rPr>
        <w:t>exercising a power in terms of the Constitution or a provincial constitution; or</w:t>
      </w:r>
    </w:p>
    <w:p w14:paraId="593854D5" w14:textId="30AC4E4E" w:rsidR="00EB1C53" w:rsidRPr="00AE5D49" w:rsidRDefault="00AE5D49" w:rsidP="00AE5D49">
      <w:pPr>
        <w:spacing w:line="360" w:lineRule="auto"/>
        <w:ind w:left="2160" w:hanging="720"/>
        <w:rPr>
          <w:rFonts w:ascii="Times" w:hAnsi="Times" w:cs="Arial"/>
          <w:i/>
          <w:lang w:val="en-US"/>
        </w:rPr>
      </w:pPr>
      <w:r w:rsidRPr="00DC424E">
        <w:rPr>
          <w:rFonts w:ascii="Times" w:hAnsi="Times" w:cs="Arial"/>
          <w:i/>
          <w:lang w:val="en-US"/>
        </w:rPr>
        <w:t>(ii)</w:t>
      </w:r>
      <w:r w:rsidRPr="00DC424E">
        <w:rPr>
          <w:rFonts w:ascii="Times" w:hAnsi="Times" w:cs="Arial"/>
          <w:i/>
          <w:lang w:val="en-US"/>
        </w:rPr>
        <w:tab/>
      </w:r>
      <w:r w:rsidR="00EB1C53" w:rsidRPr="00AE5D49">
        <w:rPr>
          <w:rFonts w:ascii="Times" w:hAnsi="Times" w:cs="Arial"/>
          <w:i/>
        </w:rPr>
        <w:t>exercising a public power or performing a public function in terms of any legislation; or</w:t>
      </w:r>
    </w:p>
    <w:p w14:paraId="611B4DF0" w14:textId="77777777" w:rsidR="00EB1C53" w:rsidRPr="00DC424E" w:rsidRDefault="00EB1C53" w:rsidP="00EB1C53">
      <w:pPr>
        <w:spacing w:line="360" w:lineRule="auto"/>
        <w:ind w:left="1843" w:hanging="403"/>
        <w:rPr>
          <w:rFonts w:ascii="Arial" w:hAnsi="Arial" w:cs="Arial"/>
        </w:rPr>
      </w:pPr>
      <w:r w:rsidRPr="00DC424E">
        <w:rPr>
          <w:rFonts w:ascii="Times" w:hAnsi="Times"/>
          <w:i/>
        </w:rPr>
        <w:t>(b)</w:t>
      </w:r>
      <w:r w:rsidRPr="00DC424E">
        <w:rPr>
          <w:rFonts w:ascii="Times" w:hAnsi="Times"/>
          <w:i/>
        </w:rPr>
        <w:tab/>
      </w:r>
      <w:r w:rsidRPr="00DC424E">
        <w:rPr>
          <w:rFonts w:ascii="Times" w:hAnsi="Times" w:cs="Arial"/>
          <w:b/>
          <w:i/>
        </w:rPr>
        <w:t>a natural or juristic person, other than an organ or state</w:t>
      </w:r>
      <w:r w:rsidRPr="00DC424E">
        <w:rPr>
          <w:rFonts w:ascii="Times" w:hAnsi="Times" w:cs="Arial"/>
          <w:i/>
        </w:rPr>
        <w:t xml:space="preserve">, </w:t>
      </w:r>
      <w:r w:rsidRPr="00DC424E">
        <w:rPr>
          <w:rFonts w:ascii="Times" w:hAnsi="Times" w:cs="Arial"/>
          <w:b/>
          <w:i/>
        </w:rPr>
        <w:t>when exercising a public power or performing a public function in terms of an empowering provision, which adversely affects the rights of any person and which has a direct, external effect</w:t>
      </w:r>
      <w:r w:rsidRPr="00DC424E">
        <w:rPr>
          <w:rFonts w:ascii="Times" w:hAnsi="Times" w:cs="Arial"/>
          <w:i/>
        </w:rPr>
        <w:t>. . . .”</w:t>
      </w:r>
    </w:p>
    <w:p w14:paraId="6F89D2DE" w14:textId="77777777" w:rsidR="00EB1C53" w:rsidRPr="00823686" w:rsidRDefault="00EB1C53" w:rsidP="00EB1C53">
      <w:pPr>
        <w:tabs>
          <w:tab w:val="left" w:pos="993"/>
        </w:tabs>
        <w:spacing w:line="480" w:lineRule="auto"/>
        <w:ind w:left="993"/>
        <w:rPr>
          <w:rFonts w:ascii="Arial" w:hAnsi="Arial" w:cs="Arial"/>
          <w:lang w:val="en-US"/>
        </w:rPr>
      </w:pPr>
      <w:r>
        <w:rPr>
          <w:rFonts w:ascii="Arial" w:hAnsi="Arial" w:cs="Arial"/>
          <w:sz w:val="22"/>
          <w:szCs w:val="22"/>
        </w:rPr>
        <w:t>[Emphasis added]</w:t>
      </w:r>
      <w:r w:rsidRPr="00823686">
        <w:rPr>
          <w:rFonts w:ascii="Arial" w:hAnsi="Arial" w:cs="Arial"/>
          <w:sz w:val="22"/>
          <w:szCs w:val="22"/>
        </w:rPr>
        <w:t xml:space="preserve"> </w:t>
      </w:r>
    </w:p>
    <w:p w14:paraId="156B70F5" w14:textId="77777777" w:rsidR="00EB1C53" w:rsidRPr="00712EF5" w:rsidRDefault="00EB1C53" w:rsidP="00EB1C53">
      <w:pPr>
        <w:rPr>
          <w:rFonts w:ascii="Arial" w:hAnsi="Arial" w:cs="Arial"/>
          <w:lang w:val="en-US"/>
        </w:rPr>
      </w:pPr>
    </w:p>
    <w:p w14:paraId="55D92678" w14:textId="3C25DFD9" w:rsidR="00EB1C53" w:rsidRPr="00AE5D49" w:rsidRDefault="00AE5D49" w:rsidP="00AE5D49">
      <w:pPr>
        <w:spacing w:line="360" w:lineRule="auto"/>
        <w:ind w:left="709" w:hanging="709"/>
        <w:rPr>
          <w:rFonts w:ascii="Arial" w:eastAsiaTheme="minorHAnsi" w:hAnsi="Arial" w:cs="Arial"/>
          <w:lang w:val="en-US"/>
        </w:rPr>
      </w:pPr>
      <w:r w:rsidRPr="00712EF5">
        <w:rPr>
          <w:rFonts w:ascii="Arial" w:eastAsiaTheme="minorHAnsi" w:hAnsi="Arial" w:cs="Arial"/>
          <w:lang w:val="en-US"/>
        </w:rPr>
        <w:t>[13]</w:t>
      </w:r>
      <w:r w:rsidRPr="00712EF5">
        <w:rPr>
          <w:rFonts w:ascii="Arial" w:eastAsiaTheme="minorHAnsi" w:hAnsi="Arial" w:cs="Arial"/>
          <w:lang w:val="en-US"/>
        </w:rPr>
        <w:tab/>
      </w:r>
      <w:r w:rsidR="00EB1C53" w:rsidRPr="00AE5D49">
        <w:rPr>
          <w:rFonts w:ascii="Arial" w:hAnsi="Arial" w:cs="Arial"/>
        </w:rPr>
        <w:t xml:space="preserve">In </w:t>
      </w:r>
      <w:r w:rsidR="00EB1C53" w:rsidRPr="00AE5D49">
        <w:rPr>
          <w:rFonts w:ascii="Times" w:hAnsi="Times"/>
          <w:i/>
          <w:sz w:val="26"/>
          <w:szCs w:val="26"/>
        </w:rPr>
        <w:t>Minister of Defence and Military Veterans v Motau and Others</w:t>
      </w:r>
      <w:r w:rsidR="00EB1C53" w:rsidRPr="00EC4FD4">
        <w:rPr>
          <w:rStyle w:val="FootnoteReference"/>
          <w:rFonts w:ascii="Arial" w:hAnsi="Arial" w:cs="Arial"/>
        </w:rPr>
        <w:footnoteReference w:id="1"/>
      </w:r>
      <w:r w:rsidR="00EB1C53" w:rsidRPr="00AE5D49">
        <w:rPr>
          <w:rFonts w:ascii="Arial" w:hAnsi="Arial" w:cs="Arial"/>
          <w:position w:val="8"/>
          <w:sz w:val="16"/>
          <w:szCs w:val="16"/>
        </w:rPr>
        <w:t xml:space="preserve"> </w:t>
      </w:r>
      <w:r w:rsidR="00EB1C53" w:rsidRPr="00AE5D49">
        <w:rPr>
          <w:rFonts w:ascii="Arial" w:hAnsi="Arial" w:cs="Arial"/>
        </w:rPr>
        <w:t>the Constitutional Court identified seven requirements of the definition of an administrative action as set out in PAJA:</w:t>
      </w:r>
    </w:p>
    <w:p w14:paraId="06A59DAB" w14:textId="77777777" w:rsidR="00EB1C53" w:rsidRPr="00712EF5" w:rsidRDefault="00EB1C53" w:rsidP="00EB1C53">
      <w:pPr>
        <w:pStyle w:val="ListParagraph"/>
        <w:rPr>
          <w:rFonts w:ascii="Times" w:hAnsi="Times" w:cs="Arial"/>
          <w:i/>
        </w:rPr>
      </w:pPr>
    </w:p>
    <w:p w14:paraId="1A9E54F5" w14:textId="77777777" w:rsidR="00EB1C53" w:rsidRPr="00EC4FD4" w:rsidRDefault="00EB1C53" w:rsidP="00EB1C53">
      <w:pPr>
        <w:pStyle w:val="ListParagraph"/>
        <w:spacing w:line="360" w:lineRule="auto"/>
        <w:ind w:left="1440"/>
        <w:rPr>
          <w:rFonts w:ascii="Arial" w:hAnsi="Arial" w:cs="Arial"/>
          <w:lang w:val="en-US"/>
        </w:rPr>
      </w:pPr>
      <w:r w:rsidRPr="00712EF5">
        <w:rPr>
          <w:rFonts w:ascii="Times" w:hAnsi="Times" w:cs="Arial"/>
          <w:i/>
        </w:rPr>
        <w:t>“there must be: (a) a decision of an administrative nature; (b) by an organ of state or a natural or juristic person; (c) exercising a public power or performing a public function; (d) in terms of any legislation or an empowering provision; (e) that adversely affects rights; (f) that has a direct, external legal effect; and (g) that does not fall under any of the listed exclusions’</w:t>
      </w:r>
      <w:r w:rsidRPr="00EC4FD4">
        <w:rPr>
          <w:rFonts w:ascii="Arial" w:hAnsi="Arial" w:cs="Arial"/>
        </w:rPr>
        <w:t xml:space="preserve">. </w:t>
      </w:r>
    </w:p>
    <w:p w14:paraId="472DF872" w14:textId="77777777" w:rsidR="00EB1C53" w:rsidRPr="00EC4FD4" w:rsidRDefault="00EB1C53" w:rsidP="00EB1C53">
      <w:pPr>
        <w:pStyle w:val="ListParagraph"/>
        <w:rPr>
          <w:rFonts w:ascii="Arial" w:hAnsi="Arial" w:cs="Arial"/>
          <w:lang w:val="en-US"/>
        </w:rPr>
      </w:pPr>
    </w:p>
    <w:p w14:paraId="49A10528" w14:textId="77B4D554" w:rsidR="00EB1C53" w:rsidRPr="00AE5D49" w:rsidRDefault="00AE5D49" w:rsidP="00AE5D49">
      <w:pPr>
        <w:spacing w:line="480" w:lineRule="auto"/>
        <w:ind w:left="709" w:hanging="709"/>
        <w:rPr>
          <w:rFonts w:ascii="Arial" w:hAnsi="Arial" w:cs="Arial"/>
          <w:lang w:val="en-US"/>
        </w:rPr>
      </w:pPr>
      <w:r>
        <w:rPr>
          <w:rFonts w:ascii="Arial" w:hAnsi="Arial" w:cs="Arial"/>
          <w:lang w:val="en-US"/>
        </w:rPr>
        <w:lastRenderedPageBreak/>
        <w:t>[14]</w:t>
      </w:r>
      <w:r>
        <w:rPr>
          <w:rFonts w:ascii="Arial" w:hAnsi="Arial" w:cs="Arial"/>
          <w:lang w:val="en-US"/>
        </w:rPr>
        <w:tab/>
      </w:r>
      <w:r w:rsidR="00EB1C53" w:rsidRPr="00AE5D49">
        <w:rPr>
          <w:rFonts w:ascii="Arial" w:hAnsi="Arial" w:cs="Arial"/>
          <w:lang w:val="en-US"/>
        </w:rPr>
        <w:t>For the purposes of the current matter I will accept that the decision adversely affects the rights of any person and has a direct, external effect. It is also clearly a decision by a juristic person and does not fall under any of the exclusions listed in the definition in PAJA.</w:t>
      </w:r>
    </w:p>
    <w:p w14:paraId="414F9DE8" w14:textId="77777777" w:rsidR="00EB1C53" w:rsidRPr="00696A49" w:rsidRDefault="00EB1C53" w:rsidP="00EB1C53">
      <w:pPr>
        <w:rPr>
          <w:rFonts w:ascii="Arial" w:hAnsi="Arial" w:cs="Arial"/>
          <w:lang w:val="en-US"/>
        </w:rPr>
      </w:pPr>
    </w:p>
    <w:p w14:paraId="2669A6F9" w14:textId="4A7CF8D8" w:rsidR="00EB1C53" w:rsidRPr="00AE5D49" w:rsidRDefault="00AE5D49" w:rsidP="00AE5D49">
      <w:pPr>
        <w:spacing w:line="480" w:lineRule="auto"/>
        <w:ind w:left="709" w:hanging="709"/>
        <w:rPr>
          <w:rFonts w:ascii="Arial" w:hAnsi="Arial" w:cs="Arial"/>
          <w:lang w:val="en-US"/>
        </w:rPr>
      </w:pPr>
      <w:r>
        <w:rPr>
          <w:rFonts w:ascii="Arial" w:hAnsi="Arial" w:cs="Arial"/>
          <w:lang w:val="en-US"/>
        </w:rPr>
        <w:t>[15]</w:t>
      </w:r>
      <w:r>
        <w:rPr>
          <w:rFonts w:ascii="Arial" w:hAnsi="Arial" w:cs="Arial"/>
          <w:lang w:val="en-US"/>
        </w:rPr>
        <w:tab/>
      </w:r>
      <w:r w:rsidR="00EB1C53" w:rsidRPr="00AE5D49">
        <w:rPr>
          <w:rFonts w:ascii="Arial" w:hAnsi="Arial" w:cs="Arial"/>
          <w:lang w:val="en-US"/>
        </w:rPr>
        <w:t>Furthermore, the power of the board of directors flow directly form the provisions of section 71 of the Companies Act.</w:t>
      </w:r>
    </w:p>
    <w:p w14:paraId="3E376231" w14:textId="77777777" w:rsidR="00EB1C53" w:rsidRPr="00712EF5" w:rsidRDefault="00EB1C53" w:rsidP="00EB1C53">
      <w:pPr>
        <w:pStyle w:val="ListParagraph"/>
        <w:rPr>
          <w:rFonts w:ascii="Arial" w:hAnsi="Arial" w:cs="Arial"/>
          <w:lang w:val="en-US"/>
        </w:rPr>
      </w:pPr>
    </w:p>
    <w:p w14:paraId="6DBED36E" w14:textId="4D4BE8E5" w:rsidR="00EB1C53" w:rsidRPr="00AE5D49" w:rsidRDefault="00AE5D49" w:rsidP="00AE5D49">
      <w:pPr>
        <w:spacing w:line="480" w:lineRule="auto"/>
        <w:ind w:left="709" w:hanging="709"/>
        <w:rPr>
          <w:rFonts w:ascii="Arial" w:hAnsi="Arial" w:cs="Arial"/>
          <w:lang w:val="en-US"/>
        </w:rPr>
      </w:pPr>
      <w:r>
        <w:rPr>
          <w:rFonts w:ascii="Arial" w:hAnsi="Arial" w:cs="Arial"/>
          <w:lang w:val="en-US"/>
        </w:rPr>
        <w:t>[16]</w:t>
      </w:r>
      <w:r>
        <w:rPr>
          <w:rFonts w:ascii="Arial" w:hAnsi="Arial" w:cs="Arial"/>
          <w:lang w:val="en-US"/>
        </w:rPr>
        <w:tab/>
      </w:r>
      <w:r w:rsidR="00EB1C53" w:rsidRPr="00AE5D49">
        <w:rPr>
          <w:rFonts w:ascii="Arial" w:hAnsi="Arial" w:cs="Arial"/>
          <w:lang w:val="en-US"/>
        </w:rPr>
        <w:t>The remaining questions in this respect for determination therefore are:</w:t>
      </w:r>
    </w:p>
    <w:p w14:paraId="4CC216CD" w14:textId="77777777" w:rsidR="00EB1C53" w:rsidRPr="00712EF5" w:rsidRDefault="00EB1C53" w:rsidP="00EB1C53">
      <w:pPr>
        <w:pStyle w:val="ListParagraph"/>
        <w:rPr>
          <w:rFonts w:ascii="Arial" w:hAnsi="Arial" w:cs="Arial"/>
          <w:lang w:val="en-US"/>
        </w:rPr>
      </w:pPr>
    </w:p>
    <w:p w14:paraId="4CF1896B" w14:textId="2AED163A" w:rsidR="00EB1C53" w:rsidRPr="00AE5D49" w:rsidRDefault="00AE5D49" w:rsidP="00AE5D49">
      <w:pPr>
        <w:spacing w:line="480" w:lineRule="auto"/>
        <w:ind w:left="1152" w:hanging="360"/>
        <w:rPr>
          <w:rFonts w:ascii="Arial" w:hAnsi="Arial" w:cs="Arial"/>
          <w:lang w:val="en-US"/>
        </w:rPr>
      </w:pPr>
      <w:r>
        <w:rPr>
          <w:rFonts w:ascii="Arial" w:hAnsi="Arial" w:cs="Arial"/>
          <w:lang w:val="en-US"/>
        </w:rPr>
        <w:t>(a)</w:t>
      </w:r>
      <w:r>
        <w:rPr>
          <w:rFonts w:ascii="Arial" w:hAnsi="Arial" w:cs="Arial"/>
          <w:lang w:val="en-US"/>
        </w:rPr>
        <w:tab/>
      </w:r>
      <w:r w:rsidR="00EB1C53" w:rsidRPr="00AE5D49">
        <w:rPr>
          <w:rFonts w:ascii="Arial" w:hAnsi="Arial" w:cs="Arial"/>
          <w:lang w:val="en-US"/>
        </w:rPr>
        <w:t>whether is of administrative nature; and</w:t>
      </w:r>
    </w:p>
    <w:p w14:paraId="6931AAA1" w14:textId="15406478" w:rsidR="00EB1C53" w:rsidRPr="00AE5D49" w:rsidRDefault="00AE5D49" w:rsidP="00AE5D49">
      <w:pPr>
        <w:spacing w:line="480" w:lineRule="auto"/>
        <w:ind w:left="1152" w:hanging="360"/>
        <w:rPr>
          <w:rFonts w:ascii="Arial" w:hAnsi="Arial" w:cs="Arial"/>
          <w:lang w:val="en-US"/>
        </w:rPr>
      </w:pPr>
      <w:r>
        <w:rPr>
          <w:rFonts w:ascii="Arial" w:hAnsi="Arial" w:cs="Arial"/>
          <w:lang w:val="en-US"/>
        </w:rPr>
        <w:t>(b)</w:t>
      </w:r>
      <w:r>
        <w:rPr>
          <w:rFonts w:ascii="Arial" w:hAnsi="Arial" w:cs="Arial"/>
          <w:lang w:val="en-US"/>
        </w:rPr>
        <w:tab/>
      </w:r>
      <w:r w:rsidR="00EB1C53" w:rsidRPr="00AE5D49">
        <w:rPr>
          <w:rFonts w:ascii="Arial" w:hAnsi="Arial" w:cs="Arial"/>
          <w:lang w:val="en-US"/>
        </w:rPr>
        <w:t>whether it is done in the exercise of a public power or public function.</w:t>
      </w:r>
    </w:p>
    <w:p w14:paraId="316BDDBF" w14:textId="77777777" w:rsidR="00EB1C53" w:rsidRPr="00215613" w:rsidRDefault="00EB1C53" w:rsidP="00EB1C53">
      <w:pPr>
        <w:rPr>
          <w:rFonts w:ascii="Arial" w:hAnsi="Arial" w:cs="Arial"/>
          <w:lang w:val="en-US"/>
        </w:rPr>
      </w:pPr>
    </w:p>
    <w:p w14:paraId="1226BA83" w14:textId="5D53CF39" w:rsidR="00EB1C53" w:rsidRPr="00AE5D49" w:rsidRDefault="00AE5D49" w:rsidP="00AE5D49">
      <w:pPr>
        <w:spacing w:line="480" w:lineRule="auto"/>
        <w:ind w:left="709" w:hanging="709"/>
        <w:rPr>
          <w:rFonts w:ascii="Arial" w:hAnsi="Arial" w:cs="Arial"/>
          <w:lang w:val="en-US"/>
        </w:rPr>
      </w:pPr>
      <w:r w:rsidRPr="00DD64DC">
        <w:rPr>
          <w:rFonts w:ascii="Arial" w:hAnsi="Arial" w:cs="Arial"/>
          <w:lang w:val="en-US"/>
        </w:rPr>
        <w:t>[17]</w:t>
      </w:r>
      <w:r w:rsidRPr="00DD64DC">
        <w:rPr>
          <w:rFonts w:ascii="Arial" w:hAnsi="Arial" w:cs="Arial"/>
          <w:lang w:val="en-US"/>
        </w:rPr>
        <w:tab/>
      </w:r>
      <w:r w:rsidR="00EB1C53" w:rsidRPr="00AE5D49">
        <w:rPr>
          <w:rFonts w:ascii="Arial" w:hAnsi="Arial" w:cs="Arial"/>
          <w:lang w:val="en-US"/>
        </w:rPr>
        <w:t xml:space="preserve">In the matter of </w:t>
      </w:r>
      <w:r w:rsidR="00EB1C53" w:rsidRPr="00AE5D49">
        <w:rPr>
          <w:rFonts w:ascii="Arial" w:hAnsi="Arial" w:cs="Arial"/>
          <w:bCs/>
        </w:rPr>
        <w:t xml:space="preserve">Trustees for the time being of the </w:t>
      </w:r>
      <w:r w:rsidR="00EB1C53" w:rsidRPr="00AE5D49">
        <w:rPr>
          <w:rFonts w:ascii="Times" w:hAnsi="Times" w:cs="Arial"/>
          <w:bCs/>
          <w:i/>
          <w:sz w:val="26"/>
          <w:szCs w:val="26"/>
        </w:rPr>
        <w:t>Legacy Body Corporate v Bae Estates and Escapes (Pty) Ltd and Another</w:t>
      </w:r>
      <w:r w:rsidR="00EB1C53" w:rsidRPr="00EC4FD4">
        <w:rPr>
          <w:rStyle w:val="FootnoteReference"/>
          <w:rFonts w:ascii="Arial" w:hAnsi="Arial" w:cs="Arial"/>
          <w:bCs/>
        </w:rPr>
        <w:footnoteReference w:id="2"/>
      </w:r>
      <w:r w:rsidR="00EB1C53" w:rsidRPr="00AE5D49">
        <w:rPr>
          <w:rFonts w:ascii="Arial" w:hAnsi="Arial" w:cs="Arial"/>
          <w:bCs/>
        </w:rPr>
        <w:t xml:space="preserve"> the Supreme Court of Appeal at paragraph 14 summarised how the court is required to approach the matter to determine whether a decision is of administrative nature.</w:t>
      </w:r>
    </w:p>
    <w:p w14:paraId="72CDEA0F" w14:textId="77777777" w:rsidR="00EB1C53" w:rsidRDefault="00EB1C53" w:rsidP="00EB1C53">
      <w:pPr>
        <w:pStyle w:val="ListParagraph"/>
        <w:spacing w:before="100" w:beforeAutospacing="1" w:after="100" w:afterAutospacing="1"/>
        <w:ind w:left="1440"/>
        <w:rPr>
          <w:rFonts w:ascii="Times" w:hAnsi="Times" w:cs="Arial"/>
          <w:i/>
        </w:rPr>
      </w:pPr>
    </w:p>
    <w:p w14:paraId="609943AC" w14:textId="77777777" w:rsidR="00EB1C53" w:rsidRDefault="00EB1C53" w:rsidP="00EB1C53">
      <w:pPr>
        <w:pStyle w:val="ListParagraph"/>
        <w:spacing w:before="100" w:beforeAutospacing="1" w:after="100" w:afterAutospacing="1" w:line="360" w:lineRule="auto"/>
        <w:ind w:left="1440"/>
        <w:rPr>
          <w:rFonts w:ascii="Arial" w:hAnsi="Arial" w:cs="Arial"/>
          <w:position w:val="8"/>
          <w:sz w:val="16"/>
          <w:szCs w:val="16"/>
        </w:rPr>
      </w:pPr>
      <w:r>
        <w:rPr>
          <w:rFonts w:ascii="Times" w:hAnsi="Times" w:cs="Arial"/>
          <w:i/>
        </w:rPr>
        <w:t>“</w:t>
      </w:r>
      <w:r w:rsidRPr="00DD64DC">
        <w:rPr>
          <w:rFonts w:ascii="Times" w:hAnsi="Times" w:cs="Arial"/>
          <w:i/>
        </w:rPr>
        <w:t xml:space="preserve">[14] When regard is had to the structure of the definition of an administrative action, the requirement that the decision be of an administrative nature, is a gate-way to determining whether a particular decision constitutes administrative action. As Wallis J explained in </w:t>
      </w:r>
      <w:r w:rsidRPr="00DD64DC">
        <w:rPr>
          <w:rFonts w:ascii="Times" w:hAnsi="Times"/>
          <w:i/>
        </w:rPr>
        <w:t>Sokhela and Others v MEC for Agriculture and Environmental Affairs</w:t>
      </w:r>
      <w:r>
        <w:rPr>
          <w:rFonts w:ascii="Times" w:hAnsi="Times" w:cs="Arial"/>
          <w:i/>
        </w:rPr>
        <w:t>,</w:t>
      </w:r>
      <w:r w:rsidRPr="00DD64DC">
        <w:rPr>
          <w:rFonts w:ascii="Times" w:hAnsi="Times" w:cs="Arial"/>
          <w:i/>
          <w:position w:val="8"/>
        </w:rPr>
        <w:t xml:space="preserve"> </w:t>
      </w:r>
      <w:r w:rsidRPr="00DD64DC">
        <w:rPr>
          <w:rFonts w:ascii="Times" w:hAnsi="Times" w:cs="Arial"/>
          <w:i/>
        </w:rPr>
        <w:t xml:space="preserve">this requirement demands that a detailed analysis be undertaken of the nature of the public power or public function in question, ‘to determine its true character’. </w:t>
      </w:r>
      <w:r w:rsidRPr="00DD64DC">
        <w:rPr>
          <w:rFonts w:ascii="Times" w:hAnsi="Times" w:cs="Arial"/>
          <w:b/>
          <w:i/>
        </w:rPr>
        <w:t xml:space="preserve">Thus, the determination of what constitutes administrative action does not occur by default, and ‘[t]he court is required to make a positive </w:t>
      </w:r>
      <w:r w:rsidRPr="00DD64DC">
        <w:rPr>
          <w:rFonts w:ascii="Times" w:hAnsi="Times" w:cs="Arial"/>
          <w:b/>
          <w:i/>
        </w:rPr>
        <w:lastRenderedPageBreak/>
        <w:t>decision in each case whether a particular exercise of public power or performance of a public function is of an administrative character</w:t>
      </w:r>
      <w:r w:rsidRPr="00DD64DC">
        <w:rPr>
          <w:rFonts w:ascii="Times" w:hAnsi="Times" w:cs="Arial"/>
          <w:i/>
        </w:rPr>
        <w:t>. . . .</w:t>
      </w:r>
      <w:r>
        <w:rPr>
          <w:rFonts w:ascii="Times" w:hAnsi="Times" w:cs="Arial"/>
          <w:i/>
        </w:rPr>
        <w:t>”</w:t>
      </w:r>
    </w:p>
    <w:p w14:paraId="72C611FF" w14:textId="77777777" w:rsidR="00EB1C53" w:rsidRDefault="00EB1C53" w:rsidP="00EB1C53">
      <w:pPr>
        <w:pStyle w:val="ListParagraph"/>
        <w:spacing w:before="100" w:beforeAutospacing="1" w:after="100" w:afterAutospacing="1" w:line="360" w:lineRule="auto"/>
        <w:ind w:left="709"/>
        <w:rPr>
          <w:rFonts w:ascii="Arial" w:hAnsi="Arial" w:cs="Arial"/>
        </w:rPr>
      </w:pPr>
      <w:r>
        <w:rPr>
          <w:rFonts w:ascii="Arial" w:hAnsi="Arial" w:cs="Arial"/>
        </w:rPr>
        <w:t>[Emphasis added – footnotes omitted]</w:t>
      </w:r>
    </w:p>
    <w:p w14:paraId="33AD4EC9" w14:textId="77777777" w:rsidR="00EB1C53" w:rsidRPr="00DD64DC" w:rsidRDefault="00EB1C53" w:rsidP="00EB1C53">
      <w:pPr>
        <w:pStyle w:val="ListParagraph"/>
        <w:spacing w:before="100" w:beforeAutospacing="1" w:after="100" w:afterAutospacing="1" w:line="360" w:lineRule="auto"/>
        <w:ind w:left="709"/>
        <w:rPr>
          <w:rFonts w:ascii="Arial" w:hAnsi="Arial" w:cs="Arial"/>
        </w:rPr>
      </w:pPr>
    </w:p>
    <w:p w14:paraId="1AB44545" w14:textId="5CB91961" w:rsidR="00EB1C53" w:rsidRPr="00AE5D49" w:rsidRDefault="00AE5D49" w:rsidP="00AE5D49">
      <w:pPr>
        <w:spacing w:line="480" w:lineRule="auto"/>
        <w:ind w:left="709" w:hanging="709"/>
        <w:rPr>
          <w:rFonts w:ascii="Arial" w:eastAsiaTheme="minorHAnsi" w:hAnsi="Arial" w:cs="Arial"/>
          <w:lang w:val="en-US"/>
        </w:rPr>
      </w:pPr>
      <w:r w:rsidRPr="00856BA3">
        <w:rPr>
          <w:rFonts w:ascii="Arial" w:eastAsiaTheme="minorHAnsi" w:hAnsi="Arial" w:cs="Arial"/>
          <w:lang w:val="en-US"/>
        </w:rPr>
        <w:t>[18]</w:t>
      </w:r>
      <w:r w:rsidRPr="00856BA3">
        <w:rPr>
          <w:rFonts w:ascii="Arial" w:eastAsiaTheme="minorHAnsi" w:hAnsi="Arial" w:cs="Arial"/>
          <w:lang w:val="en-US"/>
        </w:rPr>
        <w:tab/>
      </w:r>
      <w:r w:rsidR="00EB1C53" w:rsidRPr="00AE5D49">
        <w:rPr>
          <w:rFonts w:ascii="Arial" w:hAnsi="Arial" w:cs="Arial"/>
          <w:lang w:val="en-US"/>
        </w:rPr>
        <w:t xml:space="preserve">Simply put, </w:t>
      </w:r>
      <w:r w:rsidR="00EB1C53" w:rsidRPr="00AE5D49">
        <w:rPr>
          <w:rFonts w:ascii="Arial" w:hAnsi="Arial" w:cs="Arial"/>
          <w:color w:val="242121"/>
          <w:shd w:val="clear" w:color="auto" w:fill="FFFFFF"/>
        </w:rPr>
        <w:t>if conduct is not of an administrative nature, it cannot constitute administrative action envisaged in PAJA. At this stage it needs be pointed out that PAJA provided for the applicability of rule 53 in the interim and since 2019</w:t>
      </w:r>
      <w:r w:rsidR="0050784F" w:rsidRPr="00AE5D49">
        <w:rPr>
          <w:rFonts w:ascii="Arial" w:hAnsi="Arial" w:cs="Arial"/>
          <w:color w:val="242121"/>
          <w:shd w:val="clear" w:color="auto" w:fill="FFFFFF"/>
        </w:rPr>
        <w:t>,</w:t>
      </w:r>
      <w:r w:rsidR="00EB1C53" w:rsidRPr="00AE5D49">
        <w:rPr>
          <w:rFonts w:ascii="Arial" w:hAnsi="Arial" w:cs="Arial"/>
          <w:color w:val="242121"/>
          <w:shd w:val="clear" w:color="auto" w:fill="FFFFFF"/>
        </w:rPr>
        <w:t xml:space="preserve"> when the rules relating to PAJA were amended, the applicable rules provide therefore</w:t>
      </w:r>
      <w:r w:rsidR="0050784F" w:rsidRPr="00AE5D49">
        <w:rPr>
          <w:rFonts w:ascii="Arial" w:hAnsi="Arial" w:cs="Arial"/>
          <w:color w:val="242121"/>
          <w:shd w:val="clear" w:color="auto" w:fill="FFFFFF"/>
        </w:rPr>
        <w:t xml:space="preserve">. </w:t>
      </w:r>
      <w:r w:rsidR="00EB1C53" w:rsidRPr="00AE5D49">
        <w:rPr>
          <w:rFonts w:ascii="Arial" w:hAnsi="Arial" w:cs="Arial"/>
          <w:color w:val="242121"/>
          <w:shd w:val="clear" w:color="auto" w:fill="FFFFFF"/>
        </w:rPr>
        <w:t>If the decision is of administrative nature, the rule may be applied at the choice of the applicant.</w:t>
      </w:r>
    </w:p>
    <w:p w14:paraId="10D23027" w14:textId="77777777" w:rsidR="00EB1C53" w:rsidRPr="00856BA3" w:rsidRDefault="00EB1C53" w:rsidP="00EB1C53">
      <w:pPr>
        <w:pStyle w:val="ListParagraph"/>
        <w:ind w:left="709"/>
        <w:rPr>
          <w:rFonts w:ascii="Arial" w:eastAsiaTheme="minorHAnsi" w:hAnsi="Arial" w:cs="Arial"/>
          <w:lang w:val="en-US"/>
        </w:rPr>
      </w:pPr>
    </w:p>
    <w:p w14:paraId="6A8DF19A" w14:textId="3ACC546F" w:rsidR="00EB1C53" w:rsidRPr="00AE5D49" w:rsidRDefault="00AE5D49" w:rsidP="00AE5D49">
      <w:pPr>
        <w:spacing w:line="480" w:lineRule="auto"/>
        <w:ind w:left="709" w:hanging="709"/>
        <w:rPr>
          <w:rFonts w:ascii="Arial" w:hAnsi="Arial" w:cs="Arial"/>
          <w:lang w:val="en-US"/>
        </w:rPr>
      </w:pPr>
      <w:r w:rsidRPr="00696A49">
        <w:rPr>
          <w:rFonts w:ascii="Arial" w:hAnsi="Arial" w:cs="Arial"/>
          <w:lang w:val="en-US"/>
        </w:rPr>
        <w:t>[19]</w:t>
      </w:r>
      <w:r w:rsidRPr="00696A49">
        <w:rPr>
          <w:rFonts w:ascii="Arial" w:hAnsi="Arial" w:cs="Arial"/>
          <w:lang w:val="en-US"/>
        </w:rPr>
        <w:tab/>
      </w:r>
      <w:r w:rsidR="00EB1C53" w:rsidRPr="00AE5D49">
        <w:rPr>
          <w:rFonts w:ascii="Arial" w:hAnsi="Arial" w:cs="Arial"/>
          <w:lang w:val="en-US"/>
        </w:rPr>
        <w:t xml:space="preserve">In the matter of </w:t>
      </w:r>
      <w:r w:rsidR="00EB1C53" w:rsidRPr="00AE5D49">
        <w:rPr>
          <w:rFonts w:ascii="Times" w:hAnsi="Times" w:cs="Arial"/>
          <w:bCs/>
          <w:i/>
          <w:sz w:val="26"/>
          <w:szCs w:val="26"/>
        </w:rPr>
        <w:t>Legacy Body Corporate</w:t>
      </w:r>
      <w:r w:rsidR="00EB1C53" w:rsidRPr="00856BA3">
        <w:rPr>
          <w:rStyle w:val="FootnoteReference"/>
          <w:rFonts w:ascii="Arial" w:hAnsi="Arial" w:cs="Arial"/>
          <w:bCs/>
        </w:rPr>
        <w:footnoteReference w:id="3"/>
      </w:r>
      <w:r w:rsidR="00EB1C53" w:rsidRPr="00AE5D49">
        <w:rPr>
          <w:rFonts w:ascii="Arial" w:hAnsi="Arial" w:cs="Arial"/>
          <w:bCs/>
          <w:i/>
        </w:rPr>
        <w:t xml:space="preserve"> </w:t>
      </w:r>
      <w:r w:rsidR="00EB1C53" w:rsidRPr="00AE5D49">
        <w:rPr>
          <w:rFonts w:ascii="Arial" w:hAnsi="Arial" w:cs="Arial"/>
          <w:bCs/>
        </w:rPr>
        <w:t xml:space="preserve">the court, with reference to the decision of </w:t>
      </w:r>
      <w:r w:rsidR="00EB1C53" w:rsidRPr="00AE5D49">
        <w:rPr>
          <w:rFonts w:ascii="Times" w:hAnsi="Times" w:cs="Arial"/>
          <w:i/>
          <w:iCs/>
          <w:color w:val="242121"/>
          <w:sz w:val="26"/>
          <w:szCs w:val="26"/>
        </w:rPr>
        <w:t>Chirwa v Transnet Limited</w:t>
      </w:r>
      <w:r w:rsidR="00EB1C53" w:rsidRPr="00AE5D49">
        <w:rPr>
          <w:rFonts w:ascii="Arial" w:hAnsi="Arial" w:cs="Arial"/>
          <w:iCs/>
          <w:color w:val="242121"/>
        </w:rPr>
        <w:t xml:space="preserve"> </w:t>
      </w:r>
      <w:r w:rsidR="00EB1C53">
        <w:rPr>
          <w:rStyle w:val="FootnoteReference"/>
          <w:rFonts w:ascii="Arial" w:hAnsi="Arial" w:cs="Arial"/>
          <w:iCs/>
          <w:color w:val="242121"/>
        </w:rPr>
        <w:footnoteReference w:id="4"/>
      </w:r>
      <w:r w:rsidR="00DC424E" w:rsidRPr="00AE5D49">
        <w:rPr>
          <w:rFonts w:ascii="Arial" w:hAnsi="Arial" w:cs="Arial"/>
          <w:iCs/>
          <w:color w:val="242121"/>
        </w:rPr>
        <w:t xml:space="preserve"> </w:t>
      </w:r>
      <w:r w:rsidR="00EB1C53" w:rsidRPr="00AE5D49">
        <w:rPr>
          <w:rFonts w:ascii="Arial" w:hAnsi="Arial" w:cs="Arial"/>
          <w:iCs/>
          <w:color w:val="242121"/>
        </w:rPr>
        <w:t>decided that the: - “</w:t>
      </w:r>
      <w:r w:rsidR="00EB1C53" w:rsidRPr="00AE5D49">
        <w:rPr>
          <w:rFonts w:ascii="Times" w:hAnsi="Times"/>
          <w:i/>
          <w:color w:val="242121"/>
          <w:sz w:val="26"/>
          <w:szCs w:val="26"/>
          <w:shd w:val="clear" w:color="auto" w:fill="FFFFFF"/>
        </w:rPr>
        <w:t>The fact that bodies corporate derive their powers from statute, does not, without more, translate their decisions into the exercise of any public power or performance of a public function”.</w:t>
      </w:r>
    </w:p>
    <w:p w14:paraId="627A8BF1" w14:textId="77777777" w:rsidR="00EB1C53" w:rsidRPr="00696A49" w:rsidRDefault="00EB1C53" w:rsidP="00EB1C53">
      <w:pPr>
        <w:rPr>
          <w:rFonts w:ascii="Arial" w:hAnsi="Arial" w:cs="Arial"/>
          <w:lang w:val="en-US"/>
        </w:rPr>
      </w:pPr>
    </w:p>
    <w:p w14:paraId="12578514" w14:textId="34B5E521" w:rsidR="00EB1C53" w:rsidRPr="00AE5D49" w:rsidRDefault="00AE5D49" w:rsidP="00AE5D49">
      <w:pPr>
        <w:spacing w:line="480" w:lineRule="auto"/>
        <w:ind w:left="709" w:hanging="709"/>
        <w:rPr>
          <w:rFonts w:ascii="Arial" w:hAnsi="Arial" w:cs="Arial"/>
          <w:lang w:val="en-US"/>
        </w:rPr>
      </w:pPr>
      <w:r>
        <w:rPr>
          <w:rFonts w:ascii="Arial" w:hAnsi="Arial" w:cs="Arial"/>
          <w:lang w:val="en-US"/>
        </w:rPr>
        <w:t>[20]</w:t>
      </w:r>
      <w:r>
        <w:rPr>
          <w:rFonts w:ascii="Arial" w:hAnsi="Arial" w:cs="Arial"/>
          <w:lang w:val="en-US"/>
        </w:rPr>
        <w:tab/>
      </w:r>
      <w:r w:rsidR="00EB1C53" w:rsidRPr="00AE5D49">
        <w:rPr>
          <w:rFonts w:ascii="Arial" w:hAnsi="Arial" w:cs="Arial"/>
          <w:color w:val="242121"/>
        </w:rPr>
        <w:t>In </w:t>
      </w:r>
      <w:r w:rsidR="00EB1C53" w:rsidRPr="00AE5D49">
        <w:rPr>
          <w:rFonts w:ascii="Times" w:hAnsi="Times" w:cs="Arial"/>
          <w:i/>
          <w:iCs/>
          <w:color w:val="242121"/>
          <w:sz w:val="26"/>
          <w:szCs w:val="26"/>
        </w:rPr>
        <w:t>Grey’s Marine Hout Bay (Pty) Ltd and Others v Minister of Public Works and Others</w:t>
      </w:r>
      <w:r w:rsidR="00EB1C53" w:rsidRPr="00215613">
        <w:rPr>
          <w:rStyle w:val="FootnoteReference"/>
          <w:rFonts w:ascii="Arial" w:hAnsi="Arial" w:cs="Arial"/>
          <w:color w:val="242121"/>
        </w:rPr>
        <w:footnoteReference w:id="5"/>
      </w:r>
      <w:r w:rsidR="00EB1C53" w:rsidRPr="00AE5D49">
        <w:rPr>
          <w:rFonts w:ascii="Arial" w:hAnsi="Arial" w:cs="Arial"/>
          <w:iCs/>
          <w:color w:val="242121"/>
        </w:rPr>
        <w:t xml:space="preserve"> </w:t>
      </w:r>
      <w:r w:rsidR="00EB1C53" w:rsidRPr="00AE5D49">
        <w:rPr>
          <w:rFonts w:ascii="Arial" w:hAnsi="Arial" w:cs="Arial"/>
          <w:color w:val="242121"/>
        </w:rPr>
        <w:t xml:space="preserve">it was pointed out that conduct of an administrative nature is generally understood as the </w:t>
      </w:r>
      <w:r w:rsidR="00EB1C53" w:rsidRPr="00AE5D49">
        <w:rPr>
          <w:rFonts w:ascii="Times" w:hAnsi="Times" w:cs="Arial"/>
          <w:i/>
          <w:color w:val="242121"/>
          <w:sz w:val="26"/>
          <w:szCs w:val="26"/>
        </w:rPr>
        <w:t>“. . . the conduct of the bureaucracy (whoever the bureaucratic functionary might be) in carrying out the daily functions of the state which necessarily involves the application of policy, usually after its translation into law…”.</w:t>
      </w:r>
      <w:r w:rsidR="00EB1C53" w:rsidRPr="00AE5D49">
        <w:rPr>
          <w:rFonts w:ascii="Arial" w:hAnsi="Arial" w:cs="Arial"/>
          <w:color w:val="242121"/>
        </w:rPr>
        <w:t xml:space="preserve"> In the present case, there is nothing bureaucratic </w:t>
      </w:r>
      <w:r w:rsidR="00EB1C53" w:rsidRPr="00AE5D49">
        <w:rPr>
          <w:rFonts w:ascii="Arial" w:hAnsi="Arial" w:cs="Arial"/>
          <w:color w:val="242121"/>
        </w:rPr>
        <w:lastRenderedPageBreak/>
        <w:t>about the Boards’ decision, nor does it involve ‘application of policy’. Instead, the decision seems more commercial</w:t>
      </w:r>
      <w:r w:rsidR="00EB1C53" w:rsidRPr="00AE5D49">
        <w:rPr>
          <w:rFonts w:ascii="Verdana" w:hAnsi="Verdana"/>
          <w:color w:val="242121"/>
        </w:rPr>
        <w:t xml:space="preserve"> </w:t>
      </w:r>
      <w:r w:rsidR="00EB1C53" w:rsidRPr="00AE5D49">
        <w:rPr>
          <w:rFonts w:ascii="Arial" w:hAnsi="Arial" w:cs="Arial"/>
          <w:color w:val="242121"/>
        </w:rPr>
        <w:t>or managerial in nature, rather than administrative.</w:t>
      </w:r>
      <w:r w:rsidR="00EB1C53" w:rsidRPr="00AE5D49">
        <w:rPr>
          <w:rFonts w:ascii="Verdana" w:hAnsi="Verdana"/>
          <w:color w:val="242121"/>
        </w:rPr>
        <w:t xml:space="preserve"> </w:t>
      </w:r>
      <w:r w:rsidR="00EB1C53" w:rsidRPr="00AE5D49">
        <w:rPr>
          <w:rFonts w:ascii="Arial" w:hAnsi="Arial" w:cs="Arial"/>
          <w:color w:val="242121"/>
        </w:rPr>
        <w:t>The boards’ decision was made in the course of running and</w:t>
      </w:r>
      <w:r w:rsidR="00EB1C53" w:rsidRPr="00AE5D49">
        <w:rPr>
          <w:rFonts w:ascii="Verdana" w:hAnsi="Verdana"/>
          <w:color w:val="242121"/>
        </w:rPr>
        <w:t xml:space="preserve"> </w:t>
      </w:r>
      <w:r w:rsidR="00EB1C53" w:rsidRPr="00AE5D49">
        <w:rPr>
          <w:rFonts w:ascii="Arial" w:hAnsi="Arial" w:cs="Arial"/>
          <w:color w:val="242121"/>
        </w:rPr>
        <w:t>managing ABSA</w:t>
      </w:r>
      <w:r w:rsidR="0050784F" w:rsidRPr="00AE5D49">
        <w:rPr>
          <w:rFonts w:ascii="Arial" w:hAnsi="Arial" w:cs="Arial"/>
          <w:color w:val="242121"/>
        </w:rPr>
        <w:t xml:space="preserve"> Bank, both Public Companies</w:t>
      </w:r>
      <w:r w:rsidR="00EB1C53" w:rsidRPr="00AE5D49">
        <w:rPr>
          <w:rFonts w:ascii="Arial" w:hAnsi="Arial" w:cs="Arial"/>
          <w:color w:val="242121"/>
        </w:rPr>
        <w:t xml:space="preserve">. The nature of the power is thus business-related. The decision </w:t>
      </w:r>
      <w:r w:rsidR="0050784F" w:rsidRPr="00AE5D49">
        <w:rPr>
          <w:rFonts w:ascii="Arial" w:hAnsi="Arial" w:cs="Arial"/>
          <w:color w:val="242121"/>
        </w:rPr>
        <w:t xml:space="preserve">is in nature </w:t>
      </w:r>
      <w:r w:rsidR="00EB1C53" w:rsidRPr="00AE5D49">
        <w:rPr>
          <w:rFonts w:ascii="Arial" w:hAnsi="Arial" w:cs="Arial"/>
          <w:color w:val="242121"/>
        </w:rPr>
        <w:t>no different to a decision of a meeting of shareholders of a company.</w:t>
      </w:r>
      <w:r w:rsidR="00EB1C53">
        <w:rPr>
          <w:rStyle w:val="FootnoteReference"/>
          <w:rFonts w:ascii="Arial" w:hAnsi="Arial" w:cs="Arial"/>
          <w:color w:val="242121"/>
        </w:rPr>
        <w:footnoteReference w:id="6"/>
      </w:r>
    </w:p>
    <w:p w14:paraId="429912A7" w14:textId="77777777" w:rsidR="00EB1C53" w:rsidRPr="00D736F6" w:rsidRDefault="00EB1C53" w:rsidP="00EB1C53">
      <w:pPr>
        <w:pStyle w:val="ListParagraph"/>
        <w:rPr>
          <w:rFonts w:ascii="Arial" w:hAnsi="Arial" w:cs="Arial"/>
          <w:lang w:val="en-US"/>
        </w:rPr>
      </w:pPr>
    </w:p>
    <w:p w14:paraId="056D67F7" w14:textId="437B3838" w:rsidR="00EB1C53" w:rsidRPr="00AE5D49" w:rsidRDefault="00AE5D49" w:rsidP="00AE5D49">
      <w:pPr>
        <w:spacing w:line="480" w:lineRule="auto"/>
        <w:ind w:left="709" w:hanging="709"/>
        <w:rPr>
          <w:rFonts w:ascii="Arial" w:hAnsi="Arial" w:cs="Arial"/>
          <w:lang w:val="en-US"/>
        </w:rPr>
      </w:pPr>
      <w:r w:rsidRPr="00D736F6">
        <w:rPr>
          <w:rFonts w:ascii="Arial" w:hAnsi="Arial" w:cs="Arial"/>
          <w:lang w:val="en-US"/>
        </w:rPr>
        <w:t>[21]</w:t>
      </w:r>
      <w:r w:rsidRPr="00D736F6">
        <w:rPr>
          <w:rFonts w:ascii="Arial" w:hAnsi="Arial" w:cs="Arial"/>
          <w:lang w:val="en-US"/>
        </w:rPr>
        <w:tab/>
      </w:r>
      <w:r w:rsidR="00EB1C53" w:rsidRPr="00AE5D49">
        <w:rPr>
          <w:rFonts w:ascii="Arial" w:hAnsi="Arial" w:cs="Arial"/>
          <w:color w:val="242121"/>
        </w:rPr>
        <w:t>The boards’ decision was clearly not of an administrative nature.</w:t>
      </w:r>
    </w:p>
    <w:p w14:paraId="513A134B" w14:textId="77777777" w:rsidR="00EB1C53" w:rsidRPr="0012401B" w:rsidRDefault="00EB1C53" w:rsidP="00EB1C53">
      <w:pPr>
        <w:pStyle w:val="ListParagraph"/>
        <w:rPr>
          <w:rFonts w:ascii="Arial" w:hAnsi="Arial" w:cs="Arial"/>
          <w:color w:val="242121"/>
        </w:rPr>
      </w:pPr>
    </w:p>
    <w:p w14:paraId="3C0316AA" w14:textId="6DE06549" w:rsidR="00EB1C53" w:rsidRPr="00AE5D49" w:rsidRDefault="00AE5D49" w:rsidP="00AE5D49">
      <w:pPr>
        <w:spacing w:line="480" w:lineRule="auto"/>
        <w:ind w:left="709" w:hanging="709"/>
        <w:rPr>
          <w:rFonts w:ascii="Arial" w:hAnsi="Arial" w:cs="Arial"/>
          <w:lang w:val="en-US"/>
        </w:rPr>
      </w:pPr>
      <w:r w:rsidRPr="0012401B">
        <w:rPr>
          <w:rFonts w:ascii="Arial" w:hAnsi="Arial" w:cs="Arial"/>
          <w:lang w:val="en-US"/>
        </w:rPr>
        <w:t>[22]</w:t>
      </w:r>
      <w:r w:rsidRPr="0012401B">
        <w:rPr>
          <w:rFonts w:ascii="Arial" w:hAnsi="Arial" w:cs="Arial"/>
          <w:lang w:val="en-US"/>
        </w:rPr>
        <w:tab/>
      </w:r>
      <w:r w:rsidR="00EB1C53" w:rsidRPr="00AE5D49">
        <w:rPr>
          <w:rFonts w:ascii="Arial" w:hAnsi="Arial" w:cs="Arial"/>
          <w:color w:val="242121"/>
        </w:rPr>
        <w:t xml:space="preserve"> The first hurdle having been failed, it should be the end of th</w:t>
      </w:r>
      <w:r w:rsidR="0050784F" w:rsidRPr="00AE5D49">
        <w:rPr>
          <w:rFonts w:ascii="Arial" w:hAnsi="Arial" w:cs="Arial"/>
          <w:color w:val="242121"/>
        </w:rPr>
        <w:t>is</w:t>
      </w:r>
      <w:r w:rsidR="00EB1C53" w:rsidRPr="00AE5D49">
        <w:rPr>
          <w:rFonts w:ascii="Arial" w:hAnsi="Arial" w:cs="Arial"/>
          <w:color w:val="242121"/>
        </w:rPr>
        <w:t xml:space="preserve"> enquiry.</w:t>
      </w:r>
    </w:p>
    <w:p w14:paraId="5D89393E" w14:textId="77777777" w:rsidR="00EB1C53" w:rsidRPr="0012401B" w:rsidRDefault="00EB1C53" w:rsidP="00EB1C53">
      <w:pPr>
        <w:pStyle w:val="ListParagraph"/>
        <w:rPr>
          <w:rFonts w:ascii="Arial" w:hAnsi="Arial" w:cs="Arial"/>
          <w:color w:val="242121"/>
        </w:rPr>
      </w:pPr>
    </w:p>
    <w:p w14:paraId="7465F648" w14:textId="4B12F0C9" w:rsidR="00EB1C53" w:rsidRPr="00AE5D49" w:rsidRDefault="00AE5D49" w:rsidP="00AE5D49">
      <w:pPr>
        <w:spacing w:line="480" w:lineRule="auto"/>
        <w:ind w:left="709" w:hanging="709"/>
        <w:rPr>
          <w:rFonts w:ascii="Arial" w:hAnsi="Arial" w:cs="Arial"/>
          <w:lang w:val="en-US"/>
        </w:rPr>
      </w:pPr>
      <w:r w:rsidRPr="00D736F6">
        <w:rPr>
          <w:rFonts w:ascii="Arial" w:hAnsi="Arial" w:cs="Arial"/>
          <w:lang w:val="en-US"/>
        </w:rPr>
        <w:t>[23]</w:t>
      </w:r>
      <w:r w:rsidRPr="00D736F6">
        <w:rPr>
          <w:rFonts w:ascii="Arial" w:hAnsi="Arial" w:cs="Arial"/>
          <w:lang w:val="en-US"/>
        </w:rPr>
        <w:tab/>
      </w:r>
      <w:r w:rsidR="00EB1C53" w:rsidRPr="00AE5D49">
        <w:rPr>
          <w:rFonts w:ascii="Arial" w:hAnsi="Arial" w:cs="Arial"/>
          <w:color w:val="242121"/>
        </w:rPr>
        <w:t xml:space="preserve">I however share the view of Makgoka JA who found in the matter of </w:t>
      </w:r>
      <w:r w:rsidR="00EB1C53" w:rsidRPr="00AE5D49">
        <w:rPr>
          <w:rFonts w:ascii="Times" w:hAnsi="Times" w:cs="Arial"/>
          <w:i/>
          <w:color w:val="242121"/>
          <w:sz w:val="26"/>
          <w:szCs w:val="26"/>
        </w:rPr>
        <w:t>Legacy Body Corporate</w:t>
      </w:r>
      <w:r w:rsidR="00EB1C53" w:rsidRPr="00AE5D49">
        <w:rPr>
          <w:rFonts w:ascii="Arial" w:hAnsi="Arial" w:cs="Arial"/>
          <w:color w:val="242121"/>
        </w:rPr>
        <w:t xml:space="preserve"> in respect of bodies corporate that:</w:t>
      </w:r>
    </w:p>
    <w:p w14:paraId="06A6248B" w14:textId="77777777" w:rsidR="00EB1C53" w:rsidRPr="00D736F6" w:rsidRDefault="00EB1C53" w:rsidP="00EB1C53">
      <w:pPr>
        <w:pStyle w:val="ListParagraph"/>
        <w:rPr>
          <w:rFonts w:ascii="Verdana" w:hAnsi="Verdana"/>
          <w:color w:val="242121"/>
        </w:rPr>
      </w:pPr>
    </w:p>
    <w:p w14:paraId="2ED489B1" w14:textId="77777777" w:rsidR="00EB1C53" w:rsidRPr="00444FD1" w:rsidRDefault="00EB1C53" w:rsidP="00EB1C53">
      <w:pPr>
        <w:pStyle w:val="ListParagraph"/>
        <w:spacing w:line="360" w:lineRule="auto"/>
        <w:ind w:left="1440"/>
        <w:rPr>
          <w:rFonts w:ascii="Times" w:hAnsi="Times" w:cs="Arial"/>
          <w:lang w:val="en-US"/>
        </w:rPr>
      </w:pPr>
      <w:r w:rsidRPr="00D736F6">
        <w:rPr>
          <w:rFonts w:ascii="Times" w:hAnsi="Times"/>
          <w:i/>
          <w:color w:val="242121"/>
        </w:rPr>
        <w:t>“</w:t>
      </w:r>
      <w:r>
        <w:rPr>
          <w:rFonts w:ascii="Times" w:hAnsi="Times"/>
          <w:i/>
          <w:color w:val="242121"/>
        </w:rPr>
        <w:t>…,</w:t>
      </w:r>
      <w:r w:rsidRPr="00D736F6">
        <w:rPr>
          <w:rFonts w:ascii="Times" w:hAnsi="Times"/>
          <w:i/>
          <w:color w:val="242121"/>
        </w:rPr>
        <w:t xml:space="preserve"> given the interrelatedness of the requirements, and the far-reaching implications the judgment of the high court holds for bodies corporate generally, I will consider the other two requirements.”</w:t>
      </w:r>
      <w:r w:rsidRPr="00FC1072">
        <w:rPr>
          <w:rStyle w:val="FootnoteReference"/>
          <w:rFonts w:ascii="Arial" w:hAnsi="Arial" w:cs="Arial"/>
          <w:color w:val="242121"/>
        </w:rPr>
        <w:footnoteReference w:id="7"/>
      </w:r>
    </w:p>
    <w:p w14:paraId="2AB310B0" w14:textId="77777777" w:rsidR="00EB1C53" w:rsidRPr="00D736F6" w:rsidRDefault="00EB1C53" w:rsidP="00EB1C53">
      <w:pPr>
        <w:pStyle w:val="ListParagraph"/>
        <w:rPr>
          <w:rFonts w:ascii="Arial" w:hAnsi="Arial" w:cs="Arial"/>
          <w:lang w:val="en-US"/>
        </w:rPr>
      </w:pPr>
    </w:p>
    <w:p w14:paraId="3293EB0F" w14:textId="1A0D156C" w:rsidR="00EB1C53" w:rsidRPr="00AE5D49" w:rsidRDefault="00AE5D49" w:rsidP="00AE5D49">
      <w:pPr>
        <w:spacing w:line="480" w:lineRule="auto"/>
        <w:ind w:left="709" w:hanging="709"/>
        <w:rPr>
          <w:rFonts w:ascii="Arial" w:hAnsi="Arial" w:cs="Arial"/>
          <w:lang w:val="en-US"/>
        </w:rPr>
      </w:pPr>
      <w:r>
        <w:rPr>
          <w:rFonts w:ascii="Arial" w:hAnsi="Arial" w:cs="Arial"/>
          <w:lang w:val="en-US"/>
        </w:rPr>
        <w:t>[24]</w:t>
      </w:r>
      <w:r>
        <w:rPr>
          <w:rFonts w:ascii="Arial" w:hAnsi="Arial" w:cs="Arial"/>
          <w:lang w:val="en-US"/>
        </w:rPr>
        <w:tab/>
      </w:r>
      <w:r w:rsidR="00EB1C53" w:rsidRPr="00AE5D49">
        <w:rPr>
          <w:rFonts w:ascii="Arial" w:hAnsi="Arial" w:cs="Arial"/>
          <w:lang w:val="en-US"/>
        </w:rPr>
        <w:t>I am of the view that the same should apply in this matter where no authority is to be found directly in point relating to companies and the decisions of its board of directors in respect of section 71.</w:t>
      </w:r>
    </w:p>
    <w:p w14:paraId="6FAD5DFC" w14:textId="77777777" w:rsidR="00EB1C53" w:rsidRPr="00D736F6" w:rsidRDefault="00EB1C53" w:rsidP="00EB1C53">
      <w:pPr>
        <w:pStyle w:val="ListParagraph"/>
        <w:ind w:left="709"/>
        <w:rPr>
          <w:rFonts w:ascii="Arial" w:hAnsi="Arial" w:cs="Arial"/>
          <w:lang w:val="en-US"/>
        </w:rPr>
      </w:pPr>
    </w:p>
    <w:p w14:paraId="68FB8DF2" w14:textId="20D57BDA" w:rsidR="00EB1C53" w:rsidRPr="00AE5D49" w:rsidRDefault="00AE5D49" w:rsidP="00AE5D49">
      <w:pPr>
        <w:spacing w:line="480" w:lineRule="auto"/>
        <w:ind w:left="709" w:hanging="709"/>
        <w:rPr>
          <w:rStyle w:val="apple-converted-space"/>
          <w:rFonts w:ascii="Arial" w:hAnsi="Arial" w:cs="Arial"/>
          <w:lang w:val="en-US"/>
        </w:rPr>
      </w:pPr>
      <w:r w:rsidRPr="00444FD1">
        <w:rPr>
          <w:rStyle w:val="apple-converted-space"/>
          <w:rFonts w:ascii="Arial" w:hAnsi="Arial" w:cs="Arial"/>
          <w:lang w:val="en-US"/>
        </w:rPr>
        <w:t>[25]</w:t>
      </w:r>
      <w:r w:rsidRPr="00444FD1">
        <w:rPr>
          <w:rStyle w:val="apple-converted-space"/>
          <w:rFonts w:ascii="Arial" w:hAnsi="Arial" w:cs="Arial"/>
          <w:lang w:val="en-US"/>
        </w:rPr>
        <w:tab/>
      </w:r>
      <w:r w:rsidR="00EB1C53" w:rsidRPr="00AE5D49">
        <w:rPr>
          <w:rFonts w:ascii="Arial" w:hAnsi="Arial" w:cs="Arial"/>
          <w:color w:val="242121"/>
        </w:rPr>
        <w:t>The question whether private entities are capable of exercising public powers or performing public functions is vexed.</w:t>
      </w:r>
    </w:p>
    <w:p w14:paraId="1581716E" w14:textId="77777777" w:rsidR="00EB1C53" w:rsidRPr="00444FD1" w:rsidRDefault="00EB1C53" w:rsidP="00EB1C53">
      <w:pPr>
        <w:pStyle w:val="ListParagraph"/>
        <w:rPr>
          <w:rFonts w:ascii="Arial" w:hAnsi="Arial" w:cs="Arial"/>
          <w:color w:val="242121"/>
          <w:lang w:val="en-GB"/>
        </w:rPr>
      </w:pPr>
    </w:p>
    <w:p w14:paraId="21E94DBF" w14:textId="01F57C5F" w:rsidR="00EB1C53" w:rsidRPr="00AE5D49" w:rsidRDefault="00AE5D49" w:rsidP="00AE5D49">
      <w:pPr>
        <w:spacing w:line="360" w:lineRule="auto"/>
        <w:ind w:left="709" w:hanging="709"/>
        <w:rPr>
          <w:rFonts w:ascii="Times" w:hAnsi="Times" w:cs="Arial"/>
          <w:i/>
          <w:lang w:val="en-US"/>
        </w:rPr>
      </w:pPr>
      <w:r w:rsidRPr="00B9315A">
        <w:rPr>
          <w:rFonts w:ascii="Arial" w:hAnsi="Arial" w:cs="Arial"/>
          <w:lang w:val="en-US"/>
        </w:rPr>
        <w:t>[26]</w:t>
      </w:r>
      <w:r w:rsidRPr="00B9315A">
        <w:rPr>
          <w:rFonts w:ascii="Arial" w:hAnsi="Arial" w:cs="Arial"/>
          <w:lang w:val="en-US"/>
        </w:rPr>
        <w:tab/>
      </w:r>
      <w:r w:rsidR="00EB1C53" w:rsidRPr="00AE5D49">
        <w:rPr>
          <w:rFonts w:ascii="Arial" w:hAnsi="Arial" w:cs="Arial"/>
          <w:color w:val="242121"/>
          <w:lang w:val="en-GB"/>
        </w:rPr>
        <w:t>In</w:t>
      </w:r>
      <w:r w:rsidR="00EB1C53" w:rsidRPr="00AE5D49">
        <w:rPr>
          <w:rStyle w:val="apple-converted-space"/>
          <w:rFonts w:ascii="Arial" w:hAnsi="Arial" w:cs="Arial"/>
          <w:color w:val="242121"/>
          <w:lang w:val="en-GB"/>
        </w:rPr>
        <w:t> </w:t>
      </w:r>
      <w:r w:rsidR="00EB1C53" w:rsidRPr="00AE5D49">
        <w:rPr>
          <w:rFonts w:ascii="Times" w:hAnsi="Times" w:cs="Arial"/>
          <w:i/>
          <w:iCs/>
          <w:color w:val="242121"/>
          <w:sz w:val="26"/>
          <w:szCs w:val="26"/>
        </w:rPr>
        <w:t>Chirwa</w:t>
      </w:r>
      <w:r w:rsidR="00EB1C53" w:rsidRPr="00FC1072">
        <w:rPr>
          <w:rStyle w:val="FootnoteReference"/>
          <w:rFonts w:ascii="Arial" w:hAnsi="Arial" w:cs="Arial"/>
          <w:iCs/>
          <w:color w:val="242121"/>
        </w:rPr>
        <w:footnoteReference w:id="8"/>
      </w:r>
      <w:r w:rsidR="00EB1C53" w:rsidRPr="00AE5D49">
        <w:rPr>
          <w:rStyle w:val="apple-converted-space"/>
          <w:rFonts w:ascii="Arial" w:hAnsi="Arial" w:cs="Arial"/>
          <w:i/>
          <w:iCs/>
          <w:color w:val="242121"/>
        </w:rPr>
        <w:t> </w:t>
      </w:r>
      <w:r w:rsidR="00EB1C53" w:rsidRPr="00AE5D49">
        <w:rPr>
          <w:rFonts w:ascii="Arial" w:hAnsi="Arial" w:cs="Arial"/>
          <w:color w:val="242121"/>
        </w:rPr>
        <w:t>it was held that</w:t>
      </w:r>
      <w:r w:rsidR="00EB1C53" w:rsidRPr="00AE5D49">
        <w:rPr>
          <w:rStyle w:val="apple-converted-space"/>
          <w:rFonts w:ascii="Arial" w:hAnsi="Arial" w:cs="Arial"/>
          <w:color w:val="242121"/>
        </w:rPr>
        <w:t> </w:t>
      </w:r>
      <w:r w:rsidR="00EB1C53" w:rsidRPr="00AE5D49">
        <w:rPr>
          <w:rFonts w:ascii="Arial" w:hAnsi="Arial" w:cs="Arial"/>
          <w:color w:val="242121"/>
          <w:lang w:val="en-GB"/>
        </w:rPr>
        <w:t xml:space="preserve">determining whether a power or function is </w:t>
      </w:r>
      <w:r w:rsidR="00EB1C53" w:rsidRPr="00AE5D49">
        <w:rPr>
          <w:rFonts w:ascii="Times" w:hAnsi="Times" w:cs="Arial"/>
          <w:i/>
          <w:color w:val="242121"/>
          <w:lang w:val="en-GB"/>
        </w:rPr>
        <w:t xml:space="preserve">‘public’ has to be determined with regard to all the relevant factors including: (a) the </w:t>
      </w:r>
      <w:r w:rsidR="00EB1C53" w:rsidRPr="00AE5D49">
        <w:rPr>
          <w:rFonts w:ascii="Times" w:hAnsi="Times" w:cs="Arial"/>
          <w:i/>
          <w:color w:val="242121"/>
          <w:lang w:val="en-GB"/>
        </w:rPr>
        <w:lastRenderedPageBreak/>
        <w:t>relationship of coercion or power that the actor has in its capacity as a public</w:t>
      </w:r>
      <w:r w:rsidR="00EB1C53" w:rsidRPr="00AE5D49">
        <w:rPr>
          <w:rFonts w:ascii="Arial" w:hAnsi="Arial" w:cs="Arial"/>
          <w:color w:val="242121"/>
          <w:lang w:val="en-GB"/>
        </w:rPr>
        <w:t xml:space="preserve"> </w:t>
      </w:r>
      <w:r w:rsidR="00EB1C53" w:rsidRPr="00AE5D49">
        <w:rPr>
          <w:rFonts w:ascii="Times" w:hAnsi="Times" w:cs="Arial"/>
          <w:i/>
          <w:color w:val="242121"/>
          <w:lang w:val="en-GB"/>
        </w:rPr>
        <w:t>institution; (b) the impact of the decision on the public; (c) the source of the power; and (d) whether there is a need for the decision to be exercised in the public interest. None of these factors will necessarily be determinative; instead, a court must exercise its discretion considering their relative weight in the context’.</w:t>
      </w:r>
    </w:p>
    <w:p w14:paraId="0E58687D" w14:textId="77777777" w:rsidR="00EB1C53" w:rsidRPr="00B9315A" w:rsidRDefault="00EB1C53" w:rsidP="00EB1C53">
      <w:pPr>
        <w:pStyle w:val="ListParagraph"/>
        <w:rPr>
          <w:rFonts w:ascii="Times" w:hAnsi="Times" w:cs="Arial"/>
          <w:i/>
          <w:lang w:val="en-US"/>
        </w:rPr>
      </w:pPr>
    </w:p>
    <w:p w14:paraId="70AD3D8D" w14:textId="7DD3CA48" w:rsidR="00EB1C53" w:rsidRPr="00AE5D49" w:rsidRDefault="00AE5D49" w:rsidP="00AE5D49">
      <w:pPr>
        <w:spacing w:line="480" w:lineRule="auto"/>
        <w:ind w:left="709" w:hanging="709"/>
        <w:rPr>
          <w:rFonts w:ascii="Arial" w:hAnsi="Arial" w:cs="Arial"/>
          <w:i/>
          <w:lang w:val="en-US"/>
        </w:rPr>
      </w:pPr>
      <w:r>
        <w:rPr>
          <w:rFonts w:ascii="Arial" w:hAnsi="Arial" w:cs="Arial"/>
          <w:lang w:val="en-US"/>
        </w:rPr>
        <w:t>[27]</w:t>
      </w:r>
      <w:r>
        <w:rPr>
          <w:rFonts w:ascii="Arial" w:hAnsi="Arial" w:cs="Arial"/>
          <w:lang w:val="en-US"/>
        </w:rPr>
        <w:tab/>
      </w:r>
      <w:r w:rsidR="00EB1C53" w:rsidRPr="00AE5D49">
        <w:rPr>
          <w:rFonts w:ascii="Arial" w:hAnsi="Arial" w:cs="Arial"/>
          <w:lang w:val="en-US"/>
        </w:rPr>
        <w:t xml:space="preserve">In the matter of </w:t>
      </w:r>
      <w:r w:rsidR="00EB1C53" w:rsidRPr="00AE5D49">
        <w:rPr>
          <w:rFonts w:ascii="Times" w:hAnsi="Times" w:cs="Arial"/>
          <w:i/>
          <w:sz w:val="26"/>
          <w:szCs w:val="26"/>
          <w:lang w:val="en-US"/>
        </w:rPr>
        <w:t>Legacy Body Corporate</w:t>
      </w:r>
      <w:r w:rsidR="00EB1C53" w:rsidRPr="00B9315A">
        <w:rPr>
          <w:rStyle w:val="FootnoteReference"/>
          <w:rFonts w:ascii="Arial" w:hAnsi="Arial" w:cs="Arial"/>
          <w:iCs/>
          <w:color w:val="242121"/>
        </w:rPr>
        <w:footnoteReference w:id="9"/>
      </w:r>
      <w:r w:rsidR="00EB1C53" w:rsidRPr="00AE5D49">
        <w:rPr>
          <w:rFonts w:ascii="Arial" w:hAnsi="Arial" w:cs="Arial"/>
          <w:i/>
          <w:lang w:val="en-US"/>
        </w:rPr>
        <w:t>,</w:t>
      </w:r>
      <w:r w:rsidR="00EB1C53" w:rsidRPr="00AE5D49">
        <w:rPr>
          <w:rFonts w:ascii="Arial" w:hAnsi="Arial" w:cs="Arial"/>
          <w:lang w:val="en-US"/>
        </w:rPr>
        <w:t xml:space="preserve"> the court applied the test as set out in </w:t>
      </w:r>
      <w:r w:rsidR="00EB1C53" w:rsidRPr="00AE5D49">
        <w:rPr>
          <w:rFonts w:ascii="Times" w:hAnsi="Times" w:cs="Arial"/>
          <w:i/>
          <w:iCs/>
          <w:color w:val="242121"/>
          <w:sz w:val="26"/>
          <w:szCs w:val="26"/>
        </w:rPr>
        <w:t>Calibre Clinical Consultants</w:t>
      </w:r>
      <w:r w:rsidR="00EB1C53" w:rsidRPr="00AE5D49">
        <w:rPr>
          <w:rFonts w:ascii="Arial" w:hAnsi="Arial" w:cs="Arial"/>
          <w:color w:val="242121"/>
        </w:rPr>
        <w:t xml:space="preserve"> </w:t>
      </w:r>
      <w:r w:rsidR="00EB1C53">
        <w:rPr>
          <w:rStyle w:val="FootnoteReference"/>
          <w:rFonts w:ascii="Arial" w:hAnsi="Arial" w:cs="Arial"/>
          <w:color w:val="242121"/>
        </w:rPr>
        <w:footnoteReference w:id="10"/>
      </w:r>
      <w:r w:rsidR="00EB1C53" w:rsidRPr="00AE5D49">
        <w:rPr>
          <w:rFonts w:ascii="Arial" w:hAnsi="Arial" w:cs="Arial"/>
          <w:color w:val="242121"/>
        </w:rPr>
        <w:t xml:space="preserve"> where the Supreme Court of Appeal cited with approval the following remarks by in</w:t>
      </w:r>
      <w:r w:rsidR="00EB1C53" w:rsidRPr="00AE5D49">
        <w:rPr>
          <w:rFonts w:ascii="Times" w:hAnsi="Times" w:cs="Arial"/>
          <w:color w:val="242121"/>
          <w:sz w:val="26"/>
          <w:szCs w:val="26"/>
        </w:rPr>
        <w:t> </w:t>
      </w:r>
      <w:r w:rsidR="00EB1C53" w:rsidRPr="00AE5D49">
        <w:rPr>
          <w:rFonts w:ascii="Times" w:hAnsi="Times" w:cs="Arial"/>
          <w:i/>
          <w:iCs/>
          <w:color w:val="242121"/>
          <w:sz w:val="26"/>
          <w:szCs w:val="26"/>
        </w:rPr>
        <w:t>YL v Birmingham City Council</w:t>
      </w:r>
      <w:r w:rsidR="00EB1C53" w:rsidRPr="00AE5D49">
        <w:rPr>
          <w:rFonts w:ascii="Arial" w:hAnsi="Arial" w:cs="Arial"/>
          <w:color w:val="242121"/>
        </w:rPr>
        <w:t>:</w:t>
      </w:r>
      <w:r w:rsidR="00EB1C53">
        <w:rPr>
          <w:rStyle w:val="FootnoteReference"/>
          <w:rFonts w:ascii="Arial" w:hAnsi="Arial" w:cs="Arial"/>
          <w:color w:val="242121"/>
        </w:rPr>
        <w:footnoteReference w:id="11"/>
      </w:r>
    </w:p>
    <w:p w14:paraId="411F48A0" w14:textId="77777777" w:rsidR="00EB1C53" w:rsidRPr="00FD4001" w:rsidRDefault="00EB1C53" w:rsidP="00EB1C53">
      <w:pPr>
        <w:spacing w:before="144" w:after="363" w:line="360" w:lineRule="auto"/>
        <w:ind w:left="1429"/>
        <w:rPr>
          <w:rFonts w:ascii="Times" w:hAnsi="Times"/>
          <w:i/>
          <w:color w:val="242121"/>
        </w:rPr>
      </w:pPr>
      <w:r>
        <w:rPr>
          <w:rFonts w:ascii="Times" w:hAnsi="Times"/>
          <w:i/>
          <w:color w:val="242121"/>
        </w:rPr>
        <w:t xml:space="preserve"> “</w:t>
      </w:r>
      <w:r w:rsidRPr="00B9315A">
        <w:rPr>
          <w:rFonts w:ascii="Times" w:hAnsi="Times"/>
          <w:i/>
          <w:color w:val="242121"/>
        </w:rPr>
        <w:t>[T]he role and responsibility of the state in relation to the subject matter in question . . . the nature and extent of any statutory power or duty in relation to the function in question . . . the extent to which the state, directly or indirectly, regulates, supervises and inspects the performance of the function in question, and imposes criminal penalties on those who fall below publicly promulgated standards in performing it . . . whether the function in question is one for which, whether directly or indirectly, and whether as a matter of course or as a last resort, the state is by one means or another willing to pay. . . .</w:t>
      </w:r>
      <w:r>
        <w:rPr>
          <w:rFonts w:ascii="Times" w:hAnsi="Times"/>
          <w:i/>
          <w:color w:val="242121"/>
        </w:rPr>
        <w:t>”</w:t>
      </w:r>
    </w:p>
    <w:p w14:paraId="68320C72" w14:textId="09444BB4" w:rsidR="00EB1C53" w:rsidRPr="00AE5D49" w:rsidRDefault="00AE5D49" w:rsidP="00AE5D49">
      <w:pPr>
        <w:spacing w:line="480" w:lineRule="auto"/>
        <w:ind w:left="709" w:hanging="709"/>
        <w:rPr>
          <w:rFonts w:ascii="Arial" w:hAnsi="Arial" w:cs="Arial"/>
          <w:i/>
          <w:lang w:val="en-US"/>
        </w:rPr>
      </w:pPr>
      <w:r w:rsidRPr="00FD4001">
        <w:rPr>
          <w:rFonts w:ascii="Arial" w:hAnsi="Arial" w:cs="Arial"/>
          <w:lang w:val="en-US"/>
        </w:rPr>
        <w:t>[28]</w:t>
      </w:r>
      <w:r w:rsidRPr="00FD4001">
        <w:rPr>
          <w:rFonts w:ascii="Arial" w:hAnsi="Arial" w:cs="Arial"/>
          <w:lang w:val="en-US"/>
        </w:rPr>
        <w:tab/>
      </w:r>
      <w:r w:rsidR="00EB1C53" w:rsidRPr="00AE5D49">
        <w:rPr>
          <w:rFonts w:ascii="Arial" w:hAnsi="Arial" w:cs="Arial"/>
          <w:color w:val="242121"/>
        </w:rPr>
        <w:t xml:space="preserve">The Supreme Court of Appeal in </w:t>
      </w:r>
      <w:r w:rsidR="00EB1C53" w:rsidRPr="00AE5D49">
        <w:rPr>
          <w:rFonts w:ascii="Times" w:hAnsi="Times" w:cs="Arial"/>
          <w:i/>
          <w:iCs/>
          <w:color w:val="242121"/>
          <w:sz w:val="26"/>
          <w:szCs w:val="26"/>
        </w:rPr>
        <w:t>Calibre Clinical Consultants</w:t>
      </w:r>
      <w:r w:rsidR="00EB1C53" w:rsidRPr="00FC1072">
        <w:rPr>
          <w:rStyle w:val="FootnoteReference"/>
          <w:rFonts w:ascii="Arial" w:hAnsi="Arial" w:cs="Arial"/>
          <w:iCs/>
          <w:color w:val="242121"/>
        </w:rPr>
        <w:footnoteReference w:id="12"/>
      </w:r>
      <w:r w:rsidR="00EB1C53" w:rsidRPr="00AE5D49">
        <w:rPr>
          <w:rFonts w:ascii="Arial" w:hAnsi="Arial" w:cs="Arial"/>
          <w:color w:val="242121"/>
        </w:rPr>
        <w:t xml:space="preserve"> went on to observe that </w:t>
      </w:r>
      <w:r w:rsidR="00EB1C53" w:rsidRPr="00AE5D49">
        <w:rPr>
          <w:rFonts w:ascii="Times" w:hAnsi="Times" w:cs="Arial"/>
          <w:i/>
          <w:color w:val="242121"/>
          <w:sz w:val="26"/>
          <w:szCs w:val="26"/>
        </w:rPr>
        <w:t>“courts have consistently looked at the presence or absence of features of the conduct concerned that is ‘governmental’ in nature”</w:t>
      </w:r>
      <w:r w:rsidR="00EB1C53" w:rsidRPr="00AE5D49">
        <w:rPr>
          <w:rFonts w:ascii="Arial" w:hAnsi="Arial" w:cs="Arial"/>
          <w:color w:val="242121"/>
        </w:rPr>
        <w:t>. Relevant considerations in this regard include:</w:t>
      </w:r>
    </w:p>
    <w:p w14:paraId="631467F3" w14:textId="77777777" w:rsidR="00EB1C53" w:rsidRPr="008155FE" w:rsidRDefault="00EB1C53" w:rsidP="00EB1C53">
      <w:pPr>
        <w:tabs>
          <w:tab w:val="left" w:pos="709"/>
        </w:tabs>
        <w:spacing w:before="144" w:after="288" w:line="360" w:lineRule="auto"/>
        <w:ind w:left="1440" w:hanging="709"/>
        <w:rPr>
          <w:rFonts w:ascii="Times" w:hAnsi="Times" w:cs="Arial"/>
          <w:color w:val="242121"/>
        </w:rPr>
      </w:pPr>
      <w:r>
        <w:rPr>
          <w:rFonts w:ascii="Verdana" w:hAnsi="Verdana"/>
          <w:color w:val="242121"/>
        </w:rPr>
        <w:tab/>
      </w:r>
      <w:r>
        <w:rPr>
          <w:rFonts w:ascii="Times" w:hAnsi="Times"/>
          <w:i/>
          <w:color w:val="242121"/>
        </w:rPr>
        <w:t>“</w:t>
      </w:r>
      <w:r w:rsidRPr="00B9315A">
        <w:rPr>
          <w:rFonts w:ascii="Times" w:hAnsi="Times"/>
          <w:i/>
          <w:color w:val="242121"/>
        </w:rPr>
        <w:t xml:space="preserve">[a] the extent to which the functions concerned are “woven into a system of governmental control”, or [b] “integrated into a system of statutory regulation”, or [c] [that] the   government “regulates, supervises and inspects the performance of the function”, or [d] it is “a task for which the public, in </w:t>
      </w:r>
      <w:r w:rsidRPr="00B9315A">
        <w:rPr>
          <w:rFonts w:ascii="Times" w:hAnsi="Times"/>
          <w:i/>
          <w:color w:val="242121"/>
        </w:rPr>
        <w:lastRenderedPageBreak/>
        <w:t>the shape of the state, have assumed responsibility”, or [e] it is “linked to the functions and powers of government”, or it [f] constitutes “a privatisation of the business of government itself”, or [g] it is publicly funded, or [h] there is “potentially a governmental interest in the decision-making power in question”, or [i] the body concerned is “taking the place of central government or local authorities”. . . .</w:t>
      </w:r>
      <w:r>
        <w:rPr>
          <w:rFonts w:ascii="Times" w:hAnsi="Times"/>
          <w:i/>
          <w:color w:val="242121"/>
        </w:rPr>
        <w:t>”</w:t>
      </w:r>
    </w:p>
    <w:p w14:paraId="20E4BCC1" w14:textId="551231F6" w:rsidR="00EB1C53" w:rsidRPr="00AE5D49" w:rsidRDefault="00AE5D49" w:rsidP="00AE5D49">
      <w:pPr>
        <w:spacing w:line="480" w:lineRule="auto"/>
        <w:ind w:left="709" w:hanging="709"/>
        <w:rPr>
          <w:rFonts w:ascii="Arial" w:hAnsi="Arial" w:cs="Arial"/>
          <w:lang w:val="en-US"/>
        </w:rPr>
      </w:pPr>
      <w:r>
        <w:rPr>
          <w:rFonts w:ascii="Arial" w:hAnsi="Arial" w:cs="Arial"/>
          <w:lang w:val="en-US"/>
        </w:rPr>
        <w:t>[29]</w:t>
      </w:r>
      <w:r>
        <w:rPr>
          <w:rFonts w:ascii="Arial" w:hAnsi="Arial" w:cs="Arial"/>
          <w:lang w:val="en-US"/>
        </w:rPr>
        <w:tab/>
      </w:r>
      <w:r w:rsidR="00EB1C53" w:rsidRPr="00AE5D49">
        <w:rPr>
          <w:rFonts w:ascii="Arial" w:hAnsi="Arial" w:cs="Arial"/>
          <w:lang w:val="en-US"/>
        </w:rPr>
        <w:t>On the facts and having regard to the purpose and content of the relevant section of the Companies Act</w:t>
      </w:r>
      <w:r w:rsidR="0050784F" w:rsidRPr="00AE5D49">
        <w:rPr>
          <w:rFonts w:ascii="Arial" w:hAnsi="Arial" w:cs="Arial"/>
          <w:lang w:val="en-US"/>
        </w:rPr>
        <w:t xml:space="preserve"> with which I will deal more fully below</w:t>
      </w:r>
      <w:r w:rsidR="00EB1C53" w:rsidRPr="00AE5D49">
        <w:rPr>
          <w:rFonts w:ascii="Arial" w:hAnsi="Arial" w:cs="Arial"/>
          <w:lang w:val="en-US"/>
        </w:rPr>
        <w:t>, I find none of these considerations to be present or applicable.</w:t>
      </w:r>
    </w:p>
    <w:p w14:paraId="31EC54DB" w14:textId="77777777" w:rsidR="00230CFC" w:rsidRDefault="00230CFC" w:rsidP="00230CFC">
      <w:pPr>
        <w:pStyle w:val="ListParagraph"/>
        <w:ind w:left="709"/>
        <w:rPr>
          <w:rFonts w:ascii="Arial" w:hAnsi="Arial" w:cs="Arial"/>
          <w:lang w:val="en-US"/>
        </w:rPr>
      </w:pPr>
    </w:p>
    <w:p w14:paraId="215EAFA5" w14:textId="626775E5" w:rsidR="00230CFC" w:rsidRPr="00AE5D49" w:rsidRDefault="00AE5D49" w:rsidP="00AE5D49">
      <w:pPr>
        <w:spacing w:line="480" w:lineRule="auto"/>
        <w:ind w:left="709" w:hanging="709"/>
        <w:rPr>
          <w:rFonts w:ascii="Arial" w:hAnsi="Arial" w:cs="Arial"/>
          <w:lang w:val="en-US"/>
        </w:rPr>
      </w:pPr>
      <w:r>
        <w:rPr>
          <w:rFonts w:ascii="Arial" w:hAnsi="Arial" w:cs="Arial"/>
          <w:lang w:val="en-US"/>
        </w:rPr>
        <w:t>[30]</w:t>
      </w:r>
      <w:r>
        <w:rPr>
          <w:rFonts w:ascii="Arial" w:hAnsi="Arial" w:cs="Arial"/>
          <w:lang w:val="en-US"/>
        </w:rPr>
        <w:tab/>
      </w:r>
      <w:r w:rsidR="00230CFC" w:rsidRPr="00AE5D49">
        <w:rPr>
          <w:rFonts w:ascii="Arial" w:hAnsi="Arial" w:cs="Arial"/>
          <w:lang w:val="en-US"/>
        </w:rPr>
        <w:t xml:space="preserve">The decision of ABSA Bank’s board to remove Mr Pityana, is also clearly not administrative action even in terms of the definition thereof in section 33 of the </w:t>
      </w:r>
      <w:r w:rsidR="00847E1F" w:rsidRPr="00AE5D49">
        <w:rPr>
          <w:rFonts w:ascii="Arial" w:hAnsi="Arial" w:cs="Arial"/>
          <w:lang w:val="en-US"/>
        </w:rPr>
        <w:t>C</w:t>
      </w:r>
      <w:r w:rsidR="00230CFC" w:rsidRPr="00AE5D49">
        <w:rPr>
          <w:rFonts w:ascii="Arial" w:hAnsi="Arial" w:cs="Arial"/>
          <w:lang w:val="en-US"/>
        </w:rPr>
        <w:t>onstitution.</w:t>
      </w:r>
    </w:p>
    <w:p w14:paraId="022A0C09" w14:textId="77777777" w:rsidR="00EB1C53" w:rsidRDefault="00EB1C53" w:rsidP="00EB1C53">
      <w:pPr>
        <w:pStyle w:val="ListParagraph"/>
        <w:ind w:left="709"/>
        <w:rPr>
          <w:rFonts w:ascii="Arial" w:hAnsi="Arial" w:cs="Arial"/>
          <w:lang w:val="en-US"/>
        </w:rPr>
      </w:pPr>
    </w:p>
    <w:p w14:paraId="221C7988" w14:textId="7D4537C6" w:rsidR="00EB1C53" w:rsidRPr="00AE5D49" w:rsidRDefault="00AE5D49" w:rsidP="00AE5D49">
      <w:pPr>
        <w:spacing w:line="480" w:lineRule="auto"/>
        <w:ind w:left="709" w:hanging="709"/>
        <w:rPr>
          <w:rFonts w:ascii="Arial" w:hAnsi="Arial" w:cs="Arial"/>
          <w:lang w:val="en-US"/>
        </w:rPr>
      </w:pPr>
      <w:r>
        <w:rPr>
          <w:rFonts w:ascii="Arial" w:hAnsi="Arial" w:cs="Arial"/>
          <w:lang w:val="en-US"/>
        </w:rPr>
        <w:t>[31]</w:t>
      </w:r>
      <w:r>
        <w:rPr>
          <w:rFonts w:ascii="Arial" w:hAnsi="Arial" w:cs="Arial"/>
          <w:lang w:val="en-US"/>
        </w:rPr>
        <w:tab/>
      </w:r>
      <w:r w:rsidR="00EB1C53" w:rsidRPr="00AE5D49">
        <w:rPr>
          <w:rFonts w:ascii="Arial" w:hAnsi="Arial" w:cs="Arial"/>
          <w:lang w:val="en-US"/>
        </w:rPr>
        <w:t>The decision of a Board to remove a director in terms of section 71(3)</w:t>
      </w:r>
      <w:r w:rsidR="00847E1F" w:rsidRPr="00AE5D49">
        <w:rPr>
          <w:rFonts w:ascii="Arial" w:hAnsi="Arial" w:cs="Arial"/>
          <w:lang w:val="en-US"/>
        </w:rPr>
        <w:t>,</w:t>
      </w:r>
      <w:r w:rsidR="00EB1C53" w:rsidRPr="00AE5D49">
        <w:rPr>
          <w:rFonts w:ascii="Arial" w:hAnsi="Arial" w:cs="Arial"/>
          <w:lang w:val="en-US"/>
        </w:rPr>
        <w:t xml:space="preserve"> as read with section 71(5) of the Companies Act</w:t>
      </w:r>
      <w:r w:rsidR="00847E1F" w:rsidRPr="00AE5D49">
        <w:rPr>
          <w:rFonts w:ascii="Arial" w:hAnsi="Arial" w:cs="Arial"/>
          <w:lang w:val="en-US"/>
        </w:rPr>
        <w:t>,</w:t>
      </w:r>
      <w:r w:rsidR="00EB1C53" w:rsidRPr="00AE5D49">
        <w:rPr>
          <w:rFonts w:ascii="Arial" w:hAnsi="Arial" w:cs="Arial"/>
          <w:lang w:val="en-US"/>
        </w:rPr>
        <w:t xml:space="preserve"> is therefore not </w:t>
      </w:r>
      <w:r w:rsidR="0050784F" w:rsidRPr="00AE5D49">
        <w:rPr>
          <w:rFonts w:ascii="Arial" w:hAnsi="Arial" w:cs="Arial"/>
          <w:lang w:val="en-US"/>
        </w:rPr>
        <w:t xml:space="preserve">an </w:t>
      </w:r>
      <w:r w:rsidR="00EB1C53" w:rsidRPr="00AE5D49">
        <w:rPr>
          <w:rFonts w:ascii="Arial" w:hAnsi="Arial" w:cs="Arial"/>
          <w:lang w:val="en-US"/>
        </w:rPr>
        <w:t>administrative decision</w:t>
      </w:r>
      <w:r w:rsidR="0050784F" w:rsidRPr="00AE5D49">
        <w:rPr>
          <w:rFonts w:ascii="Arial" w:hAnsi="Arial" w:cs="Arial"/>
          <w:lang w:val="en-US"/>
        </w:rPr>
        <w:t xml:space="preserve"> or administrative action</w:t>
      </w:r>
      <w:r w:rsidR="00EB1C53" w:rsidRPr="00AE5D49">
        <w:rPr>
          <w:rFonts w:ascii="Arial" w:hAnsi="Arial" w:cs="Arial"/>
          <w:lang w:val="en-US"/>
        </w:rPr>
        <w:t>, either as defined in the Constitution or PAJA.</w:t>
      </w:r>
    </w:p>
    <w:p w14:paraId="396F1C18" w14:textId="77777777" w:rsidR="00EB1C53" w:rsidRPr="004B1EC7" w:rsidRDefault="00EB1C53" w:rsidP="00EB1C53">
      <w:pPr>
        <w:pStyle w:val="ListParagraph"/>
        <w:rPr>
          <w:rFonts w:ascii="Arial" w:hAnsi="Arial" w:cs="Arial"/>
          <w:lang w:val="en-US"/>
        </w:rPr>
      </w:pPr>
    </w:p>
    <w:p w14:paraId="76958C59" w14:textId="363A950D" w:rsidR="00EB1C53" w:rsidRPr="00AE5D49" w:rsidRDefault="00AE5D49" w:rsidP="00AE5D49">
      <w:pPr>
        <w:spacing w:line="480" w:lineRule="auto"/>
        <w:ind w:left="709" w:hanging="709"/>
        <w:rPr>
          <w:rFonts w:ascii="Arial" w:hAnsi="Arial" w:cs="Arial"/>
          <w:lang w:val="en-US"/>
        </w:rPr>
      </w:pPr>
      <w:r>
        <w:rPr>
          <w:rFonts w:ascii="Arial" w:hAnsi="Arial" w:cs="Arial"/>
          <w:lang w:val="en-US"/>
        </w:rPr>
        <w:t>[32]</w:t>
      </w:r>
      <w:r>
        <w:rPr>
          <w:rFonts w:ascii="Arial" w:hAnsi="Arial" w:cs="Arial"/>
          <w:lang w:val="en-US"/>
        </w:rPr>
        <w:tab/>
      </w:r>
      <w:r w:rsidR="00EB1C53" w:rsidRPr="00AE5D49">
        <w:rPr>
          <w:rFonts w:ascii="Arial" w:hAnsi="Arial" w:cs="Arial"/>
          <w:lang w:val="en-US"/>
        </w:rPr>
        <w:t xml:space="preserve">The question as to the applicability of rule 53 however </w:t>
      </w:r>
      <w:r w:rsidR="0050784F" w:rsidRPr="00AE5D49">
        <w:rPr>
          <w:rFonts w:ascii="Arial" w:hAnsi="Arial" w:cs="Arial"/>
          <w:lang w:val="en-US"/>
        </w:rPr>
        <w:t xml:space="preserve">still </w:t>
      </w:r>
      <w:r w:rsidR="00EB1C53" w:rsidRPr="00AE5D49">
        <w:rPr>
          <w:rFonts w:ascii="Arial" w:hAnsi="Arial" w:cs="Arial"/>
          <w:lang w:val="en-US"/>
        </w:rPr>
        <w:t>remains unanswered.</w:t>
      </w:r>
    </w:p>
    <w:p w14:paraId="4B2ADDC9" w14:textId="77777777" w:rsidR="00230CFC" w:rsidRPr="00EB1C53" w:rsidRDefault="00230CFC" w:rsidP="00EB1C53">
      <w:pPr>
        <w:spacing w:line="480" w:lineRule="auto"/>
        <w:rPr>
          <w:rFonts w:ascii="Arial" w:hAnsi="Arial" w:cs="Arial"/>
          <w:lang w:val="en-US"/>
        </w:rPr>
      </w:pPr>
    </w:p>
    <w:p w14:paraId="5A3DD063" w14:textId="47642209" w:rsidR="00EB1C53" w:rsidRPr="00EB1C53" w:rsidRDefault="00EB1C53" w:rsidP="00EB1C53">
      <w:pPr>
        <w:spacing w:line="480" w:lineRule="auto"/>
        <w:rPr>
          <w:rFonts w:ascii="Arial" w:hAnsi="Arial" w:cs="Arial"/>
          <w:b/>
          <w:i/>
          <w:lang w:val="en-US"/>
        </w:rPr>
      </w:pPr>
      <w:r w:rsidRPr="00EB1C53">
        <w:rPr>
          <w:rFonts w:ascii="Arial" w:hAnsi="Arial" w:cs="Arial"/>
          <w:b/>
          <w:i/>
          <w:lang w:val="en-US"/>
        </w:rPr>
        <w:t>Rule 53</w:t>
      </w:r>
    </w:p>
    <w:p w14:paraId="10703A1D" w14:textId="77777777" w:rsidR="00EB1C53" w:rsidRDefault="00EB1C53" w:rsidP="00EB1C53">
      <w:pPr>
        <w:pStyle w:val="ListParagraph"/>
        <w:ind w:left="709"/>
        <w:rPr>
          <w:rFonts w:ascii="Arial" w:hAnsi="Arial" w:cs="Arial"/>
          <w:lang w:val="en-US"/>
        </w:rPr>
      </w:pPr>
    </w:p>
    <w:p w14:paraId="3C721D56" w14:textId="01EE2CFF" w:rsidR="00EB1C53" w:rsidRPr="00AE5D49" w:rsidRDefault="00AE5D49" w:rsidP="00AE5D49">
      <w:pPr>
        <w:spacing w:line="480" w:lineRule="auto"/>
        <w:ind w:left="709" w:hanging="709"/>
        <w:rPr>
          <w:rFonts w:ascii="Arial" w:hAnsi="Arial" w:cs="Arial"/>
          <w:lang w:val="en-US"/>
        </w:rPr>
      </w:pPr>
      <w:r>
        <w:rPr>
          <w:rFonts w:ascii="Arial" w:hAnsi="Arial" w:cs="Arial"/>
          <w:lang w:val="en-US"/>
        </w:rPr>
        <w:t>[33]</w:t>
      </w:r>
      <w:r>
        <w:rPr>
          <w:rFonts w:ascii="Arial" w:hAnsi="Arial" w:cs="Arial"/>
          <w:lang w:val="en-US"/>
        </w:rPr>
        <w:tab/>
      </w:r>
      <w:r w:rsidR="00EB1C53" w:rsidRPr="00AE5D49">
        <w:rPr>
          <w:rFonts w:ascii="Arial" w:hAnsi="Arial" w:cs="Arial"/>
          <w:lang w:val="en-US"/>
        </w:rPr>
        <w:t>The argument on behalf of ABSA Bank relies on a strict interpretation of the wording of Rule 53.</w:t>
      </w:r>
    </w:p>
    <w:p w14:paraId="00DC4BEE" w14:textId="77777777" w:rsidR="00EB1C53" w:rsidRPr="002014AA" w:rsidRDefault="00EB1C53" w:rsidP="00EB1C53">
      <w:pPr>
        <w:pStyle w:val="ListParagraph"/>
        <w:rPr>
          <w:rFonts w:ascii="Arial" w:hAnsi="Arial" w:cs="Arial"/>
          <w:lang w:val="en-US"/>
        </w:rPr>
      </w:pPr>
    </w:p>
    <w:p w14:paraId="1E599B37" w14:textId="10398FA7" w:rsidR="00EB1C53" w:rsidRPr="00AE5D49" w:rsidRDefault="00AE5D49" w:rsidP="00AE5D49">
      <w:pPr>
        <w:spacing w:line="480" w:lineRule="auto"/>
        <w:ind w:left="709" w:hanging="709"/>
        <w:rPr>
          <w:rFonts w:ascii="Arial" w:hAnsi="Arial" w:cs="Arial"/>
          <w:lang w:val="en-US"/>
        </w:rPr>
      </w:pPr>
      <w:r>
        <w:rPr>
          <w:rFonts w:ascii="Arial" w:hAnsi="Arial" w:cs="Arial"/>
          <w:lang w:val="en-US"/>
        </w:rPr>
        <w:t>[34]</w:t>
      </w:r>
      <w:r>
        <w:rPr>
          <w:rFonts w:ascii="Arial" w:hAnsi="Arial" w:cs="Arial"/>
          <w:lang w:val="en-US"/>
        </w:rPr>
        <w:tab/>
      </w:r>
      <w:r w:rsidR="00EB1C53" w:rsidRPr="00AE5D49">
        <w:rPr>
          <w:rFonts w:ascii="Arial" w:hAnsi="Arial" w:cs="Arial"/>
          <w:lang w:val="en-US"/>
        </w:rPr>
        <w:t>The relevant part of Rule 53 reads as follows:</w:t>
      </w:r>
    </w:p>
    <w:p w14:paraId="6EA457D5" w14:textId="77777777" w:rsidR="00EB1C53" w:rsidRPr="002014AA" w:rsidRDefault="00EB1C53" w:rsidP="00EB1C53">
      <w:pPr>
        <w:pStyle w:val="ListParagraph"/>
        <w:rPr>
          <w:rFonts w:ascii="Arial" w:hAnsi="Arial" w:cs="Arial"/>
          <w:lang w:val="en-US"/>
        </w:rPr>
      </w:pPr>
    </w:p>
    <w:p w14:paraId="31CA7D54" w14:textId="60E8FF7C" w:rsidR="00EB1C53" w:rsidRDefault="00EB1C53" w:rsidP="00EB1C53">
      <w:pPr>
        <w:autoSpaceDE w:val="0"/>
        <w:autoSpaceDN w:val="0"/>
        <w:adjustRightInd w:val="0"/>
        <w:spacing w:line="360" w:lineRule="auto"/>
        <w:ind w:left="1440"/>
        <w:rPr>
          <w:i/>
          <w:iCs/>
          <w:lang w:val="en-US"/>
        </w:rPr>
      </w:pPr>
      <w:r w:rsidRPr="002014AA">
        <w:rPr>
          <w:i/>
          <w:iCs/>
          <w:lang w:val="en-US"/>
        </w:rPr>
        <w:lastRenderedPageBreak/>
        <w:t>“</w:t>
      </w:r>
      <w:r>
        <w:rPr>
          <w:i/>
          <w:iCs/>
          <w:lang w:val="en-US"/>
        </w:rPr>
        <w:t xml:space="preserve">(1) </w:t>
      </w:r>
      <w:r w:rsidRPr="002014AA">
        <w:rPr>
          <w:i/>
          <w:iCs/>
          <w:lang w:val="en-US"/>
        </w:rPr>
        <w:t xml:space="preserve">Save where any law otherwise provides, all proceedings to bring under review the decision or proceedings of any inferior court and of any tribunal, board or officer performing </w:t>
      </w:r>
      <w:r w:rsidRPr="00230CFC">
        <w:rPr>
          <w:b/>
          <w:i/>
          <w:iCs/>
          <w:lang w:val="en-US"/>
        </w:rPr>
        <w:t>judicial, quasi-judicial or administrative functions</w:t>
      </w:r>
      <w:r w:rsidRPr="002014AA">
        <w:rPr>
          <w:i/>
          <w:iCs/>
          <w:lang w:val="en-US"/>
        </w:rPr>
        <w:t xml:space="preserve"> shall be by way of notice of motion directed and delivered by the party seeking to review such decision or proceedings to the magistrate, presiding officer or chairperson of the court, tribunal or board or to the officer, as the case may be, and to all other parties affected…”</w:t>
      </w:r>
    </w:p>
    <w:p w14:paraId="659E10FC" w14:textId="77777777" w:rsidR="00EB1C53" w:rsidRPr="002014AA" w:rsidRDefault="00EB1C53" w:rsidP="00EB1C53">
      <w:pPr>
        <w:autoSpaceDE w:val="0"/>
        <w:autoSpaceDN w:val="0"/>
        <w:adjustRightInd w:val="0"/>
        <w:ind w:left="1440"/>
        <w:rPr>
          <w:i/>
          <w:iCs/>
          <w:lang w:val="en-US"/>
        </w:rPr>
      </w:pPr>
    </w:p>
    <w:p w14:paraId="4036D3CF" w14:textId="7BFE84AF" w:rsidR="00EB1C53" w:rsidRDefault="00EB1C53" w:rsidP="00EB1C53">
      <w:pPr>
        <w:pStyle w:val="ListParagraph"/>
        <w:rPr>
          <w:rFonts w:ascii="Arial" w:hAnsi="Arial" w:cs="Arial"/>
          <w:lang w:val="en-US"/>
        </w:rPr>
      </w:pPr>
      <w:r>
        <w:rPr>
          <w:rFonts w:ascii="Arial" w:hAnsi="Arial" w:cs="Arial"/>
          <w:lang w:val="en-US"/>
        </w:rPr>
        <w:t>[Emphasis added]</w:t>
      </w:r>
    </w:p>
    <w:p w14:paraId="6E35386A" w14:textId="0AC22AAE" w:rsidR="00EB1C53" w:rsidRDefault="00EB1C53" w:rsidP="00EB1C53">
      <w:pPr>
        <w:pStyle w:val="ListParagraph"/>
        <w:rPr>
          <w:rFonts w:ascii="Arial" w:hAnsi="Arial" w:cs="Arial"/>
          <w:lang w:val="en-US"/>
        </w:rPr>
      </w:pPr>
    </w:p>
    <w:p w14:paraId="55EC058A" w14:textId="77777777" w:rsidR="00EB1C53" w:rsidRPr="008876F4" w:rsidRDefault="00EB1C53" w:rsidP="00EB1C53">
      <w:pPr>
        <w:pStyle w:val="ListParagraph"/>
        <w:rPr>
          <w:rFonts w:ascii="Arial" w:hAnsi="Arial" w:cs="Arial"/>
          <w:lang w:val="en-US"/>
        </w:rPr>
      </w:pPr>
    </w:p>
    <w:p w14:paraId="1268934E" w14:textId="124BD5C7" w:rsidR="00EB1C53" w:rsidRPr="00AE5D49" w:rsidRDefault="00AE5D49" w:rsidP="00AE5D49">
      <w:pPr>
        <w:spacing w:line="480" w:lineRule="auto"/>
        <w:ind w:left="709" w:hanging="709"/>
        <w:rPr>
          <w:rFonts w:ascii="Arial" w:hAnsi="Arial" w:cs="Arial"/>
          <w:lang w:val="en-US"/>
        </w:rPr>
      </w:pPr>
      <w:r>
        <w:rPr>
          <w:rFonts w:ascii="Arial" w:hAnsi="Arial" w:cs="Arial"/>
          <w:lang w:val="en-US"/>
        </w:rPr>
        <w:t>[35]</w:t>
      </w:r>
      <w:r>
        <w:rPr>
          <w:rFonts w:ascii="Arial" w:hAnsi="Arial" w:cs="Arial"/>
          <w:lang w:val="en-US"/>
        </w:rPr>
        <w:tab/>
      </w:r>
      <w:r w:rsidR="00EB1C53" w:rsidRPr="00AE5D49">
        <w:rPr>
          <w:rFonts w:ascii="Arial" w:hAnsi="Arial" w:cs="Arial"/>
          <w:lang w:val="en-US"/>
        </w:rPr>
        <w:t xml:space="preserve">It is clear that the Companies Act does not prescribe </w:t>
      </w:r>
      <w:r w:rsidR="00847E1F" w:rsidRPr="00AE5D49">
        <w:rPr>
          <w:rFonts w:ascii="Arial" w:hAnsi="Arial" w:cs="Arial"/>
          <w:lang w:val="en-US"/>
        </w:rPr>
        <w:t>whether</w:t>
      </w:r>
      <w:r w:rsidR="00EB1C53" w:rsidRPr="00AE5D49">
        <w:rPr>
          <w:rFonts w:ascii="Arial" w:hAnsi="Arial" w:cs="Arial"/>
          <w:lang w:val="en-US"/>
        </w:rPr>
        <w:t xml:space="preserve"> the provisions of rule 53 apply</w:t>
      </w:r>
      <w:r w:rsidR="00847E1F" w:rsidRPr="00AE5D49">
        <w:rPr>
          <w:rFonts w:ascii="Arial" w:hAnsi="Arial" w:cs="Arial"/>
          <w:lang w:val="en-US"/>
        </w:rPr>
        <w:t>,</w:t>
      </w:r>
      <w:r w:rsidR="00EB1C53" w:rsidRPr="00AE5D49">
        <w:rPr>
          <w:rFonts w:ascii="Arial" w:hAnsi="Arial" w:cs="Arial"/>
          <w:lang w:val="en-US"/>
        </w:rPr>
        <w:t xml:space="preserve"> nor does it exclude it.</w:t>
      </w:r>
    </w:p>
    <w:p w14:paraId="50E7C86A" w14:textId="77777777" w:rsidR="00EB1C53" w:rsidRDefault="00EB1C53" w:rsidP="00EB1C53">
      <w:pPr>
        <w:pStyle w:val="ListParagraph"/>
        <w:ind w:left="709"/>
        <w:rPr>
          <w:rFonts w:ascii="Arial" w:hAnsi="Arial" w:cs="Arial"/>
          <w:lang w:val="en-US"/>
        </w:rPr>
      </w:pPr>
    </w:p>
    <w:p w14:paraId="6700635F" w14:textId="2DD383B2" w:rsidR="00EB1C53" w:rsidRPr="00AE5D49" w:rsidRDefault="00AE5D49" w:rsidP="00AE5D49">
      <w:pPr>
        <w:spacing w:line="480" w:lineRule="auto"/>
        <w:ind w:left="709" w:hanging="709"/>
        <w:rPr>
          <w:rFonts w:ascii="Arial" w:hAnsi="Arial" w:cs="Arial"/>
          <w:lang w:val="en-US"/>
        </w:rPr>
      </w:pPr>
      <w:r w:rsidRPr="00FD4001">
        <w:rPr>
          <w:rFonts w:ascii="Arial" w:hAnsi="Arial" w:cs="Arial"/>
          <w:lang w:val="en-US"/>
        </w:rPr>
        <w:t>[36]</w:t>
      </w:r>
      <w:r w:rsidRPr="00FD4001">
        <w:rPr>
          <w:rFonts w:ascii="Arial" w:hAnsi="Arial" w:cs="Arial"/>
          <w:lang w:val="en-US"/>
        </w:rPr>
        <w:tab/>
      </w:r>
      <w:r w:rsidR="00EB1C53" w:rsidRPr="00AE5D49">
        <w:rPr>
          <w:rFonts w:ascii="Arial" w:hAnsi="Arial" w:cs="Arial"/>
          <w:color w:val="242121"/>
        </w:rPr>
        <w:t>The purpose of rule 53 is to facilitate and regulate review applications. Rule 53 imposes on the decision-maker an obligation to deliver the full record of proceedings sought to be corrected or set aside.</w:t>
      </w:r>
      <w:r w:rsidR="00847E1F" w:rsidRPr="00AE5D49">
        <w:rPr>
          <w:rFonts w:ascii="Arial" w:hAnsi="Arial" w:cs="Arial"/>
          <w:color w:val="242121"/>
        </w:rPr>
        <w:t xml:space="preserve"> That is trite.</w:t>
      </w:r>
    </w:p>
    <w:p w14:paraId="6FCA3C0C" w14:textId="77777777" w:rsidR="00EB1C53" w:rsidRPr="00EB1C53" w:rsidRDefault="00EB1C53" w:rsidP="00EB1C53">
      <w:pPr>
        <w:rPr>
          <w:rFonts w:ascii="Arial" w:hAnsi="Arial" w:cs="Arial"/>
          <w:lang w:val="en-US"/>
        </w:rPr>
      </w:pPr>
    </w:p>
    <w:p w14:paraId="70056E8F" w14:textId="728AFAC4" w:rsidR="00230CFC" w:rsidRPr="00AE5D49" w:rsidRDefault="00AE5D49" w:rsidP="00AE5D49">
      <w:pPr>
        <w:spacing w:line="480" w:lineRule="auto"/>
        <w:ind w:left="709" w:hanging="709"/>
        <w:rPr>
          <w:rFonts w:ascii="Arial" w:hAnsi="Arial" w:cs="Arial"/>
          <w:lang w:val="en-US"/>
        </w:rPr>
      </w:pPr>
      <w:r>
        <w:rPr>
          <w:rFonts w:ascii="Arial" w:hAnsi="Arial" w:cs="Arial"/>
          <w:lang w:val="en-US"/>
        </w:rPr>
        <w:t>[37]</w:t>
      </w:r>
      <w:r>
        <w:rPr>
          <w:rFonts w:ascii="Arial" w:hAnsi="Arial" w:cs="Arial"/>
          <w:lang w:val="en-US"/>
        </w:rPr>
        <w:tab/>
      </w:r>
      <w:r w:rsidR="00230CFC" w:rsidRPr="00AE5D49">
        <w:rPr>
          <w:rFonts w:ascii="Arial" w:hAnsi="Arial" w:cs="Arial"/>
          <w:lang w:val="en-US"/>
        </w:rPr>
        <w:t xml:space="preserve">As indicated above, the decision to remove a director is clearly not administrative action. However, such decision is not the only type </w:t>
      </w:r>
      <w:r w:rsidR="00847E1F" w:rsidRPr="00AE5D49">
        <w:rPr>
          <w:rFonts w:ascii="Arial" w:hAnsi="Arial" w:cs="Arial"/>
          <w:lang w:val="en-US"/>
        </w:rPr>
        <w:t xml:space="preserve">of decision </w:t>
      </w:r>
      <w:r w:rsidR="00230CFC" w:rsidRPr="00AE5D49">
        <w:rPr>
          <w:rFonts w:ascii="Arial" w:hAnsi="Arial" w:cs="Arial"/>
          <w:lang w:val="en-US"/>
        </w:rPr>
        <w:t xml:space="preserve">that can be reviewed and set aside. There exist also legality reviews and the common-law or contractual reviews, referred to in the matter of </w:t>
      </w:r>
      <w:r w:rsidR="00230CFC" w:rsidRPr="00AE5D49">
        <w:rPr>
          <w:rFonts w:ascii="Times" w:hAnsi="Times" w:cs="Arial"/>
          <w:i/>
          <w:color w:val="242121"/>
          <w:sz w:val="26"/>
          <w:szCs w:val="26"/>
        </w:rPr>
        <w:t>Legacy Body Corporate</w:t>
      </w:r>
      <w:r w:rsidR="00230CFC">
        <w:rPr>
          <w:rStyle w:val="FootnoteReference"/>
          <w:rFonts w:ascii="Arial" w:hAnsi="Arial" w:cs="Arial"/>
          <w:lang w:val="en-US"/>
        </w:rPr>
        <w:footnoteReference w:id="13"/>
      </w:r>
      <w:r w:rsidR="00230CFC" w:rsidRPr="00AE5D49">
        <w:rPr>
          <w:rFonts w:ascii="Times" w:hAnsi="Times" w:cs="Arial"/>
          <w:i/>
          <w:color w:val="242121"/>
          <w:sz w:val="26"/>
          <w:szCs w:val="26"/>
        </w:rPr>
        <w:t xml:space="preserve"> </w:t>
      </w:r>
      <w:r w:rsidR="00230CFC" w:rsidRPr="00AE5D49">
        <w:rPr>
          <w:rFonts w:ascii="Arial" w:hAnsi="Arial" w:cs="Arial"/>
          <w:lang w:val="en-US"/>
        </w:rPr>
        <w:t>as well as statutory reviews.</w:t>
      </w:r>
    </w:p>
    <w:p w14:paraId="755E0577" w14:textId="77777777" w:rsidR="00230CFC" w:rsidRPr="00230CFC" w:rsidRDefault="00230CFC" w:rsidP="00230CFC">
      <w:pPr>
        <w:pStyle w:val="ListParagraph"/>
        <w:rPr>
          <w:rFonts w:ascii="Arial" w:hAnsi="Arial" w:cs="Arial"/>
          <w:lang w:val="en-US"/>
        </w:rPr>
      </w:pPr>
    </w:p>
    <w:p w14:paraId="583E9EC6" w14:textId="2179DEF4" w:rsidR="00230CFC" w:rsidRPr="00AE5D49" w:rsidRDefault="00AE5D49" w:rsidP="00AE5D49">
      <w:pPr>
        <w:spacing w:line="480" w:lineRule="auto"/>
        <w:ind w:left="709" w:hanging="709"/>
        <w:rPr>
          <w:rFonts w:ascii="Arial" w:hAnsi="Arial" w:cs="Arial"/>
          <w:lang w:val="en-US"/>
        </w:rPr>
      </w:pPr>
      <w:r>
        <w:rPr>
          <w:rFonts w:ascii="Arial" w:hAnsi="Arial" w:cs="Arial"/>
          <w:lang w:val="en-US"/>
        </w:rPr>
        <w:t>[38]</w:t>
      </w:r>
      <w:r>
        <w:rPr>
          <w:rFonts w:ascii="Arial" w:hAnsi="Arial" w:cs="Arial"/>
          <w:lang w:val="en-US"/>
        </w:rPr>
        <w:tab/>
      </w:r>
      <w:r w:rsidR="00230CFC" w:rsidRPr="00AE5D49">
        <w:rPr>
          <w:rFonts w:ascii="Arial" w:hAnsi="Arial" w:cs="Arial"/>
          <w:lang w:val="en-US"/>
        </w:rPr>
        <w:t>It would be shortsighted to think that rule 53 automatically apply to all these types of review</w:t>
      </w:r>
      <w:r w:rsidR="00847E1F" w:rsidRPr="00AE5D49">
        <w:rPr>
          <w:rFonts w:ascii="Arial" w:hAnsi="Arial" w:cs="Arial"/>
          <w:lang w:val="en-US"/>
        </w:rPr>
        <w:t>.</w:t>
      </w:r>
    </w:p>
    <w:p w14:paraId="3CB86A5B" w14:textId="77777777" w:rsidR="00230CFC" w:rsidRDefault="00230CFC" w:rsidP="00230CFC">
      <w:pPr>
        <w:pStyle w:val="ListParagraph"/>
        <w:spacing w:line="480" w:lineRule="auto"/>
        <w:ind w:left="709"/>
        <w:rPr>
          <w:rFonts w:ascii="Arial" w:hAnsi="Arial" w:cs="Arial"/>
          <w:lang w:val="en-US"/>
        </w:rPr>
      </w:pPr>
    </w:p>
    <w:p w14:paraId="3C6E817C" w14:textId="619CFE40" w:rsidR="00EB1C53" w:rsidRPr="00AE5D49" w:rsidRDefault="00AE5D49" w:rsidP="00AE5D49">
      <w:pPr>
        <w:spacing w:line="480" w:lineRule="auto"/>
        <w:ind w:left="709" w:hanging="709"/>
        <w:rPr>
          <w:rFonts w:ascii="Arial" w:hAnsi="Arial" w:cs="Arial"/>
          <w:lang w:val="en-US"/>
        </w:rPr>
      </w:pPr>
      <w:r w:rsidRPr="00FD4001">
        <w:rPr>
          <w:rFonts w:ascii="Arial" w:hAnsi="Arial" w:cs="Arial"/>
          <w:lang w:val="en-US"/>
        </w:rPr>
        <w:lastRenderedPageBreak/>
        <w:t>[39]</w:t>
      </w:r>
      <w:r w:rsidRPr="00FD4001">
        <w:rPr>
          <w:rFonts w:ascii="Arial" w:hAnsi="Arial" w:cs="Arial"/>
          <w:lang w:val="en-US"/>
        </w:rPr>
        <w:tab/>
      </w:r>
      <w:r w:rsidR="00EB1C53" w:rsidRPr="00AE5D49">
        <w:rPr>
          <w:rFonts w:ascii="Arial" w:hAnsi="Arial" w:cs="Arial"/>
          <w:lang w:val="en-US"/>
        </w:rPr>
        <w:t xml:space="preserve">The Constitutional Court in the matter of </w:t>
      </w:r>
      <w:r w:rsidR="00EB1C53" w:rsidRPr="00AE5D49">
        <w:rPr>
          <w:rFonts w:ascii="Times" w:hAnsi="Times" w:cs="Arial"/>
          <w:bCs/>
          <w:i/>
          <w:sz w:val="26"/>
          <w:szCs w:val="26"/>
        </w:rPr>
        <w:t>President of the Republic of South Africa v Democratic Alliance and Others</w:t>
      </w:r>
      <w:r w:rsidR="00EB1C53" w:rsidRPr="00FD4001">
        <w:rPr>
          <w:rStyle w:val="FootnoteReference"/>
          <w:rFonts w:ascii="Arial" w:hAnsi="Arial" w:cs="Arial"/>
          <w:bCs/>
        </w:rPr>
        <w:footnoteReference w:id="14"/>
      </w:r>
      <w:r w:rsidR="00EB1C53" w:rsidRPr="00AE5D49">
        <w:rPr>
          <w:rFonts w:ascii="Arial" w:hAnsi="Arial" w:cs="Arial"/>
          <w:bCs/>
        </w:rPr>
        <w:t xml:space="preserve"> indicated that it did not have to find whether </w:t>
      </w:r>
      <w:r w:rsidR="00EB1C53" w:rsidRPr="00AE5D49">
        <w:rPr>
          <w:rFonts w:ascii="Arial" w:hAnsi="Arial" w:cs="Arial"/>
          <w:lang w:val="en-US"/>
        </w:rPr>
        <w:t>Rule 53 applied to the review of executive decisions. The reason being that the matter had become moot. The court a quo in that matter however found the rule to be applicable to executive decisions. I need luckily not venture into that terrain. The Constitutional Court however stated: - “</w:t>
      </w:r>
      <w:r w:rsidR="00EB1C53" w:rsidRPr="00AE5D49">
        <w:rPr>
          <w:rFonts w:ascii="TimesNewRomanPSMT" w:hAnsi="TimesNewRomanPSMT"/>
          <w:i/>
          <w:sz w:val="26"/>
          <w:szCs w:val="26"/>
        </w:rPr>
        <w:t xml:space="preserve">without deciding whether the principle applies to this matter, that executive decisions are generally reviewable under the principle of legality or rule 53”. </w:t>
      </w:r>
    </w:p>
    <w:p w14:paraId="766A45E3" w14:textId="77777777" w:rsidR="00EB1C53" w:rsidRPr="00FD4001" w:rsidRDefault="00EB1C53" w:rsidP="00EB1C53">
      <w:pPr>
        <w:pStyle w:val="ListParagraph"/>
        <w:rPr>
          <w:rFonts w:ascii="Arial" w:hAnsi="Arial" w:cs="Arial"/>
          <w:lang w:val="en-US"/>
        </w:rPr>
      </w:pPr>
    </w:p>
    <w:p w14:paraId="621E6A1B" w14:textId="54651106" w:rsidR="00230CFC" w:rsidRPr="00AE5D49" w:rsidRDefault="00AE5D49" w:rsidP="00AE5D49">
      <w:pPr>
        <w:spacing w:line="480" w:lineRule="auto"/>
        <w:ind w:left="709" w:hanging="709"/>
        <w:rPr>
          <w:rFonts w:ascii="Arial" w:hAnsi="Arial" w:cs="Arial"/>
          <w:lang w:val="en-US"/>
        </w:rPr>
      </w:pPr>
      <w:r>
        <w:rPr>
          <w:rFonts w:ascii="Arial" w:hAnsi="Arial" w:cs="Arial"/>
          <w:lang w:val="en-US"/>
        </w:rPr>
        <w:t>[40]</w:t>
      </w:r>
      <w:r>
        <w:rPr>
          <w:rFonts w:ascii="Arial" w:hAnsi="Arial" w:cs="Arial"/>
          <w:lang w:val="en-US"/>
        </w:rPr>
        <w:tab/>
      </w:r>
      <w:r w:rsidR="00230CFC" w:rsidRPr="00AE5D49">
        <w:rPr>
          <w:rFonts w:ascii="Arial" w:hAnsi="Arial" w:cs="Arial"/>
          <w:lang w:val="en-US"/>
        </w:rPr>
        <w:t>Firstly, the current decision in this matter is also not an executive decision or a legality review.</w:t>
      </w:r>
      <w:r w:rsidR="00847E1F" w:rsidRPr="00AE5D49">
        <w:rPr>
          <w:rFonts w:ascii="Arial" w:hAnsi="Arial" w:cs="Arial"/>
          <w:lang w:val="en-US"/>
        </w:rPr>
        <w:t xml:space="preserve"> In a legality review, as in this matter, the argument is that the applicant is or should be in possession of the record and therefore does not have to make use of the procedural advantage of obtaining a record.</w:t>
      </w:r>
    </w:p>
    <w:p w14:paraId="43D96EEA" w14:textId="77777777" w:rsidR="00230CFC" w:rsidRPr="00230CFC" w:rsidRDefault="00230CFC" w:rsidP="00230CFC">
      <w:pPr>
        <w:rPr>
          <w:rFonts w:ascii="Arial" w:hAnsi="Arial" w:cs="Arial"/>
          <w:lang w:val="en-US"/>
        </w:rPr>
      </w:pPr>
    </w:p>
    <w:p w14:paraId="3844A641" w14:textId="136D42EC" w:rsidR="00230CFC" w:rsidRPr="00AE5D49" w:rsidRDefault="00AE5D49" w:rsidP="00AE5D49">
      <w:pPr>
        <w:spacing w:line="480" w:lineRule="auto"/>
        <w:ind w:left="709" w:hanging="709"/>
        <w:rPr>
          <w:rFonts w:ascii="Arial" w:hAnsi="Arial" w:cs="Arial"/>
          <w:lang w:val="en-US"/>
        </w:rPr>
      </w:pPr>
      <w:r>
        <w:rPr>
          <w:rFonts w:ascii="Arial" w:hAnsi="Arial" w:cs="Arial"/>
          <w:lang w:val="en-US"/>
        </w:rPr>
        <w:t>[41]</w:t>
      </w:r>
      <w:r>
        <w:rPr>
          <w:rFonts w:ascii="Arial" w:hAnsi="Arial" w:cs="Arial"/>
          <w:lang w:val="en-US"/>
        </w:rPr>
        <w:tab/>
      </w:r>
      <w:r w:rsidR="00EB1C53" w:rsidRPr="00AE5D49">
        <w:rPr>
          <w:rFonts w:ascii="Arial" w:hAnsi="Arial" w:cs="Arial"/>
          <w:lang w:val="en-US"/>
        </w:rPr>
        <w:t>Th</w:t>
      </w:r>
      <w:r w:rsidR="00230CFC" w:rsidRPr="00AE5D49">
        <w:rPr>
          <w:rFonts w:ascii="Arial" w:hAnsi="Arial" w:cs="Arial"/>
          <w:lang w:val="en-US"/>
        </w:rPr>
        <w:t>e</w:t>
      </w:r>
      <w:r w:rsidR="00EB1C53" w:rsidRPr="00AE5D49">
        <w:rPr>
          <w:rFonts w:ascii="Arial" w:hAnsi="Arial" w:cs="Arial"/>
          <w:lang w:val="en-US"/>
        </w:rPr>
        <w:t xml:space="preserve"> </w:t>
      </w:r>
      <w:r w:rsidR="0050784F" w:rsidRPr="00AE5D49">
        <w:rPr>
          <w:rFonts w:ascii="Arial" w:hAnsi="Arial" w:cs="Arial"/>
          <w:lang w:val="en-US"/>
        </w:rPr>
        <w:t xml:space="preserve">statement </w:t>
      </w:r>
      <w:r w:rsidR="00847E1F" w:rsidRPr="00AE5D49">
        <w:rPr>
          <w:rFonts w:ascii="Arial" w:hAnsi="Arial" w:cs="Arial"/>
          <w:lang w:val="en-US"/>
        </w:rPr>
        <w:t xml:space="preserve">in the matter of </w:t>
      </w:r>
      <w:r w:rsidR="00847E1F" w:rsidRPr="00AE5D49">
        <w:rPr>
          <w:rFonts w:ascii="Times" w:hAnsi="Times" w:cs="Arial"/>
          <w:bCs/>
          <w:i/>
          <w:sz w:val="26"/>
          <w:szCs w:val="26"/>
        </w:rPr>
        <w:t>President of the Republic of South Africa v Democratic Alliance and Others</w:t>
      </w:r>
      <w:r w:rsidR="00847E1F" w:rsidRPr="00AE5D49">
        <w:rPr>
          <w:rFonts w:ascii="Arial" w:hAnsi="Arial" w:cs="Arial"/>
          <w:lang w:val="en-US"/>
        </w:rPr>
        <w:t xml:space="preserve"> </w:t>
      </w:r>
      <w:r w:rsidR="00230CFC" w:rsidRPr="00AE5D49">
        <w:rPr>
          <w:rFonts w:ascii="Arial" w:hAnsi="Arial" w:cs="Arial"/>
          <w:lang w:val="en-US"/>
        </w:rPr>
        <w:t xml:space="preserve">that executive decisions </w:t>
      </w:r>
      <w:r w:rsidR="00230CFC" w:rsidRPr="00AE5D49">
        <w:rPr>
          <w:rFonts w:ascii="TimesNewRomanPSMT" w:hAnsi="TimesNewRomanPSMT"/>
          <w:i/>
          <w:sz w:val="26"/>
          <w:szCs w:val="26"/>
        </w:rPr>
        <w:t>“generally reviewable under the principle of legality or rule 53”</w:t>
      </w:r>
      <w:r w:rsidR="00847E1F" w:rsidRPr="00AE5D49">
        <w:rPr>
          <w:rFonts w:ascii="TimesNewRomanPSMT" w:hAnsi="TimesNewRomanPSMT"/>
          <w:i/>
          <w:sz w:val="26"/>
          <w:szCs w:val="26"/>
        </w:rPr>
        <w:t>,</w:t>
      </w:r>
      <w:r w:rsidR="00230CFC" w:rsidRPr="00AE5D49">
        <w:rPr>
          <w:rFonts w:ascii="TimesNewRomanPSMT" w:hAnsi="TimesNewRomanPSMT"/>
          <w:i/>
          <w:sz w:val="26"/>
          <w:szCs w:val="26"/>
        </w:rPr>
        <w:t xml:space="preserve"> </w:t>
      </w:r>
      <w:r w:rsidR="00230CFC" w:rsidRPr="00AE5D49">
        <w:rPr>
          <w:rFonts w:ascii="Arial" w:hAnsi="Arial" w:cs="Arial"/>
        </w:rPr>
        <w:t>is clearly</w:t>
      </w:r>
      <w:r w:rsidR="00EB1C53" w:rsidRPr="00AE5D49">
        <w:rPr>
          <w:rFonts w:ascii="Arial" w:hAnsi="Arial" w:cs="Arial"/>
          <w:lang w:val="en-US"/>
        </w:rPr>
        <w:t xml:space="preserve"> obiter</w:t>
      </w:r>
      <w:r w:rsidR="0050784F" w:rsidRPr="00AE5D49">
        <w:rPr>
          <w:rFonts w:ascii="Arial" w:hAnsi="Arial" w:cs="Arial"/>
          <w:lang w:val="en-US"/>
        </w:rPr>
        <w:t xml:space="preserve"> and </w:t>
      </w:r>
      <w:r w:rsidR="00230CFC" w:rsidRPr="00AE5D49">
        <w:rPr>
          <w:rFonts w:ascii="Arial" w:hAnsi="Arial" w:cs="Arial"/>
          <w:lang w:val="en-US"/>
        </w:rPr>
        <w:t>mad</w:t>
      </w:r>
      <w:r w:rsidR="00847E1F" w:rsidRPr="00AE5D49">
        <w:rPr>
          <w:rFonts w:ascii="Arial" w:hAnsi="Arial" w:cs="Arial"/>
          <w:lang w:val="en-US"/>
        </w:rPr>
        <w:t>e</w:t>
      </w:r>
      <w:r w:rsidR="00230CFC" w:rsidRPr="00AE5D49">
        <w:rPr>
          <w:rFonts w:ascii="Arial" w:hAnsi="Arial" w:cs="Arial"/>
          <w:lang w:val="en-US"/>
        </w:rPr>
        <w:t xml:space="preserve"> without proper consideration.</w:t>
      </w:r>
      <w:r w:rsidR="00EB1C53" w:rsidRPr="00AE5D49">
        <w:rPr>
          <w:rFonts w:ascii="Arial" w:hAnsi="Arial" w:cs="Arial"/>
          <w:lang w:val="en-US"/>
        </w:rPr>
        <w:t xml:space="preserve"> Rule 53 provid</w:t>
      </w:r>
      <w:r w:rsidR="00230CFC" w:rsidRPr="00AE5D49">
        <w:rPr>
          <w:rFonts w:ascii="Arial" w:hAnsi="Arial" w:cs="Arial"/>
          <w:lang w:val="en-US"/>
        </w:rPr>
        <w:t>es</w:t>
      </w:r>
      <w:r w:rsidR="00EB1C53" w:rsidRPr="00AE5D49">
        <w:rPr>
          <w:rFonts w:ascii="Arial" w:hAnsi="Arial" w:cs="Arial"/>
          <w:lang w:val="en-US"/>
        </w:rPr>
        <w:t xml:space="preserve"> for a procedure </w:t>
      </w:r>
      <w:r w:rsidR="00230CFC" w:rsidRPr="00AE5D49">
        <w:rPr>
          <w:rFonts w:ascii="Arial" w:hAnsi="Arial" w:cs="Arial"/>
          <w:lang w:val="en-US"/>
        </w:rPr>
        <w:t>and does not grant any party or person a right to review.</w:t>
      </w:r>
      <w:r w:rsidR="00847E1F" w:rsidRPr="00AE5D49">
        <w:rPr>
          <w:rFonts w:ascii="Arial" w:hAnsi="Arial" w:cs="Arial"/>
          <w:lang w:val="en-US"/>
        </w:rPr>
        <w:t xml:space="preserve"> Simply put, rule 53 is not a basis for review.</w:t>
      </w:r>
    </w:p>
    <w:p w14:paraId="3CAAD425" w14:textId="77777777" w:rsidR="00230CFC" w:rsidRPr="00230CFC" w:rsidRDefault="00230CFC" w:rsidP="00230CFC">
      <w:pPr>
        <w:pStyle w:val="ListParagraph"/>
        <w:rPr>
          <w:rFonts w:ascii="Arial" w:hAnsi="Arial" w:cs="Arial"/>
          <w:lang w:val="en-US"/>
        </w:rPr>
      </w:pPr>
    </w:p>
    <w:p w14:paraId="60ACA200" w14:textId="07D81E2B" w:rsidR="00EB1C53" w:rsidRPr="00AE5D49" w:rsidRDefault="00AE5D49" w:rsidP="00AE5D49">
      <w:pPr>
        <w:spacing w:line="480" w:lineRule="auto"/>
        <w:ind w:left="709" w:hanging="709"/>
        <w:rPr>
          <w:rFonts w:ascii="Arial" w:hAnsi="Arial" w:cs="Arial"/>
          <w:lang w:val="en-US"/>
        </w:rPr>
      </w:pPr>
      <w:r>
        <w:rPr>
          <w:rFonts w:ascii="Arial" w:hAnsi="Arial" w:cs="Arial"/>
          <w:lang w:val="en-US"/>
        </w:rPr>
        <w:t>[42]</w:t>
      </w:r>
      <w:r>
        <w:rPr>
          <w:rFonts w:ascii="Arial" w:hAnsi="Arial" w:cs="Arial"/>
          <w:lang w:val="en-US"/>
        </w:rPr>
        <w:tab/>
      </w:r>
      <w:r w:rsidR="00EB1C53" w:rsidRPr="00AE5D49">
        <w:rPr>
          <w:rFonts w:ascii="Arial" w:hAnsi="Arial" w:cs="Arial"/>
          <w:lang w:val="en-US"/>
        </w:rPr>
        <w:t>That being said, the mere fact that a decision is sought to be set aside or reviewed does not automatically entitle an applicant to the procedural advantages of the rule</w:t>
      </w:r>
      <w:r w:rsidR="00847E1F" w:rsidRPr="00AE5D49">
        <w:rPr>
          <w:rFonts w:ascii="Arial" w:hAnsi="Arial" w:cs="Arial"/>
          <w:lang w:val="en-US"/>
        </w:rPr>
        <w:t xml:space="preserve"> as indicated above</w:t>
      </w:r>
      <w:r w:rsidR="00EB1C53" w:rsidRPr="00AE5D49">
        <w:rPr>
          <w:rFonts w:ascii="Arial" w:hAnsi="Arial" w:cs="Arial"/>
          <w:lang w:val="en-US"/>
        </w:rPr>
        <w:t>. The ratio behind the findings that the record is to be provided seemingly lies in the concept of “Access to Court”</w:t>
      </w:r>
      <w:r w:rsidR="00230CFC" w:rsidRPr="00AE5D49">
        <w:rPr>
          <w:rFonts w:ascii="Arial" w:hAnsi="Arial" w:cs="Arial"/>
          <w:lang w:val="en-US"/>
        </w:rPr>
        <w:t>.</w:t>
      </w:r>
    </w:p>
    <w:p w14:paraId="4D55A529" w14:textId="62467AF2" w:rsidR="00230CFC" w:rsidRPr="00230CFC" w:rsidRDefault="00230CFC" w:rsidP="00230CFC">
      <w:pPr>
        <w:spacing w:line="480" w:lineRule="auto"/>
        <w:rPr>
          <w:rFonts w:ascii="Arial" w:hAnsi="Arial" w:cs="Arial"/>
          <w:lang w:val="en-US"/>
        </w:rPr>
      </w:pPr>
    </w:p>
    <w:p w14:paraId="0E239DA8" w14:textId="17C8C99D" w:rsidR="00EB1C53" w:rsidRPr="00AE5D49" w:rsidRDefault="00AE5D49" w:rsidP="00AE5D49">
      <w:pPr>
        <w:spacing w:line="480" w:lineRule="auto"/>
        <w:ind w:left="709" w:hanging="709"/>
        <w:rPr>
          <w:rFonts w:ascii="Arial" w:hAnsi="Arial" w:cs="Arial"/>
          <w:lang w:val="en-US"/>
        </w:rPr>
      </w:pPr>
      <w:r w:rsidRPr="00EB1C53">
        <w:rPr>
          <w:rFonts w:ascii="Arial" w:hAnsi="Arial" w:cs="Arial"/>
          <w:lang w:val="en-US"/>
        </w:rPr>
        <w:t>[43]</w:t>
      </w:r>
      <w:r w:rsidRPr="00EB1C53">
        <w:rPr>
          <w:rFonts w:ascii="Arial" w:hAnsi="Arial" w:cs="Arial"/>
          <w:lang w:val="en-US"/>
        </w:rPr>
        <w:tab/>
      </w:r>
      <w:r w:rsidR="00EB1C53" w:rsidRPr="00AE5D49">
        <w:rPr>
          <w:rFonts w:ascii="Arial" w:hAnsi="Arial" w:cs="Arial"/>
          <w:lang w:val="en-US"/>
        </w:rPr>
        <w:t xml:space="preserve">The wording </w:t>
      </w:r>
      <w:r w:rsidR="00EB1C53" w:rsidRPr="00AE5D49">
        <w:rPr>
          <w:rFonts w:ascii="Arial" w:hAnsi="Arial" w:cs="Arial"/>
          <w:sz w:val="26"/>
          <w:szCs w:val="26"/>
          <w:lang w:val="en-US"/>
        </w:rPr>
        <w:t>“</w:t>
      </w:r>
      <w:r w:rsidR="00EB1C53" w:rsidRPr="00AE5D49">
        <w:rPr>
          <w:i/>
          <w:iCs/>
          <w:sz w:val="26"/>
          <w:szCs w:val="26"/>
          <w:lang w:val="en-US"/>
        </w:rPr>
        <w:t xml:space="preserve">all proceedings to bring under review the decision or proceedings of </w:t>
      </w:r>
      <w:r w:rsidR="00EB1C53" w:rsidRPr="00AE5D49">
        <w:rPr>
          <w:b/>
          <w:i/>
          <w:iCs/>
          <w:sz w:val="26"/>
          <w:szCs w:val="26"/>
          <w:lang w:val="en-US"/>
        </w:rPr>
        <w:t>any inferior court</w:t>
      </w:r>
      <w:r w:rsidR="00EB1C53" w:rsidRPr="00AE5D49">
        <w:rPr>
          <w:i/>
          <w:iCs/>
          <w:sz w:val="26"/>
          <w:szCs w:val="26"/>
          <w:lang w:val="en-US"/>
        </w:rPr>
        <w:t xml:space="preserve"> and of </w:t>
      </w:r>
      <w:r w:rsidR="00EB1C53" w:rsidRPr="00AE5D49">
        <w:rPr>
          <w:b/>
          <w:i/>
          <w:iCs/>
          <w:sz w:val="26"/>
          <w:szCs w:val="26"/>
          <w:lang w:val="en-US"/>
        </w:rPr>
        <w:t>any tribunal</w:t>
      </w:r>
      <w:r w:rsidR="00EB1C53" w:rsidRPr="00AE5D49">
        <w:rPr>
          <w:i/>
          <w:iCs/>
          <w:sz w:val="26"/>
          <w:szCs w:val="26"/>
          <w:lang w:val="en-US"/>
        </w:rPr>
        <w:t xml:space="preserve">, </w:t>
      </w:r>
      <w:r w:rsidR="00EB1C53" w:rsidRPr="00AE5D49">
        <w:rPr>
          <w:b/>
          <w:i/>
          <w:iCs/>
          <w:sz w:val="26"/>
          <w:szCs w:val="26"/>
          <w:lang w:val="en-US"/>
        </w:rPr>
        <w:t>board</w:t>
      </w:r>
      <w:r w:rsidR="00EB1C53" w:rsidRPr="00AE5D49">
        <w:rPr>
          <w:i/>
          <w:iCs/>
          <w:sz w:val="26"/>
          <w:szCs w:val="26"/>
          <w:lang w:val="en-US"/>
        </w:rPr>
        <w:t xml:space="preserve"> </w:t>
      </w:r>
      <w:r w:rsidR="00EB1C53" w:rsidRPr="00AE5D49">
        <w:rPr>
          <w:b/>
          <w:i/>
          <w:iCs/>
          <w:sz w:val="26"/>
          <w:szCs w:val="26"/>
          <w:lang w:val="en-US"/>
        </w:rPr>
        <w:t>or officer performing judicial, quasi-judicial or administrative functions</w:t>
      </w:r>
      <w:r w:rsidR="00EB1C53" w:rsidRPr="00AE5D49">
        <w:rPr>
          <w:i/>
          <w:iCs/>
          <w:sz w:val="26"/>
          <w:szCs w:val="26"/>
          <w:lang w:val="en-US"/>
        </w:rPr>
        <w:t>…</w:t>
      </w:r>
      <w:r w:rsidR="00EB1C53" w:rsidRPr="00AE5D49">
        <w:rPr>
          <w:i/>
          <w:iCs/>
          <w:lang w:val="en-US"/>
        </w:rPr>
        <w:t>”,</w:t>
      </w:r>
      <w:r w:rsidR="00EB1C53" w:rsidRPr="00AE5D49">
        <w:rPr>
          <w:rFonts w:ascii="Arial" w:hAnsi="Arial" w:cs="Arial"/>
          <w:iCs/>
          <w:lang w:val="en-US"/>
        </w:rPr>
        <w:t xml:space="preserve"> according to the argument does not apply to the current matter, as the decision was not </w:t>
      </w:r>
      <w:r w:rsidR="00EB1C53" w:rsidRPr="00AE5D49">
        <w:rPr>
          <w:rFonts w:ascii="Arial" w:hAnsi="Arial" w:cs="Arial"/>
          <w:iCs/>
          <w:sz w:val="26"/>
          <w:szCs w:val="26"/>
          <w:lang w:val="en-US"/>
        </w:rPr>
        <w:t>“</w:t>
      </w:r>
      <w:r w:rsidR="00EB1C53" w:rsidRPr="00AE5D49">
        <w:rPr>
          <w:i/>
          <w:iCs/>
          <w:sz w:val="26"/>
          <w:szCs w:val="26"/>
          <w:lang w:val="en-US"/>
        </w:rPr>
        <w:t>judicial, quasi-judicial or administrative functions”</w:t>
      </w:r>
      <w:r w:rsidR="00EB1C53" w:rsidRPr="00AE5D49">
        <w:rPr>
          <w:rFonts w:ascii="Arial" w:hAnsi="Arial" w:cs="Arial"/>
          <w:iCs/>
          <w:sz w:val="26"/>
          <w:szCs w:val="26"/>
          <w:lang w:val="en-US"/>
        </w:rPr>
        <w:t>.</w:t>
      </w:r>
    </w:p>
    <w:p w14:paraId="0763FB7E" w14:textId="77777777" w:rsidR="00EB1C53" w:rsidRPr="00EB1C53" w:rsidRDefault="00EB1C53" w:rsidP="00EB1C53">
      <w:pPr>
        <w:pStyle w:val="ListParagraph"/>
        <w:rPr>
          <w:rFonts w:ascii="Arial" w:hAnsi="Arial" w:cs="Arial"/>
          <w:lang w:val="en-US"/>
        </w:rPr>
      </w:pPr>
    </w:p>
    <w:p w14:paraId="79AFF409" w14:textId="1AD2611F" w:rsidR="00230CFC" w:rsidRPr="00AE5D49" w:rsidRDefault="00AE5D49" w:rsidP="00AE5D49">
      <w:pPr>
        <w:spacing w:line="480" w:lineRule="auto"/>
        <w:ind w:left="709" w:hanging="709"/>
        <w:rPr>
          <w:rFonts w:ascii="Arial" w:hAnsi="Arial" w:cs="Arial"/>
          <w:lang w:val="en-US"/>
        </w:rPr>
      </w:pPr>
      <w:r>
        <w:rPr>
          <w:rFonts w:ascii="Arial" w:hAnsi="Arial" w:cs="Arial"/>
          <w:lang w:val="en-US"/>
        </w:rPr>
        <w:t>[44]</w:t>
      </w:r>
      <w:r>
        <w:rPr>
          <w:rFonts w:ascii="Arial" w:hAnsi="Arial" w:cs="Arial"/>
          <w:lang w:val="en-US"/>
        </w:rPr>
        <w:tab/>
      </w:r>
      <w:r w:rsidR="00230CFC" w:rsidRPr="00AE5D49">
        <w:rPr>
          <w:rFonts w:ascii="Arial" w:hAnsi="Arial" w:cs="Arial"/>
          <w:lang w:val="en-US"/>
        </w:rPr>
        <w:t xml:space="preserve">Despite the wording of the rule and the fact that the impugned decision is clearly not that of </w:t>
      </w:r>
      <w:r w:rsidR="00230CFC" w:rsidRPr="00AE5D49">
        <w:rPr>
          <w:rFonts w:ascii="Arial" w:hAnsi="Arial" w:cs="Arial"/>
          <w:iCs/>
          <w:lang w:val="en-US"/>
        </w:rPr>
        <w:t>any inferior court or</w:t>
      </w:r>
      <w:r w:rsidR="00230CFC" w:rsidRPr="00AE5D49">
        <w:rPr>
          <w:rFonts w:ascii="Arial" w:hAnsi="Arial" w:cs="Arial"/>
          <w:b/>
          <w:iCs/>
          <w:lang w:val="en-US"/>
        </w:rPr>
        <w:t xml:space="preserve"> </w:t>
      </w:r>
      <w:r w:rsidR="00230CFC" w:rsidRPr="00AE5D49">
        <w:rPr>
          <w:rFonts w:ascii="Arial" w:hAnsi="Arial" w:cs="Arial"/>
          <w:iCs/>
          <w:lang w:val="en-US"/>
        </w:rPr>
        <w:t>tribunal, board or officer performing judicial, quasi-judicial or administrative functions, it is not</w:t>
      </w:r>
      <w:r w:rsidR="00230CFC" w:rsidRPr="00AE5D49">
        <w:rPr>
          <w:rFonts w:ascii="Arial" w:hAnsi="Arial" w:cs="Arial"/>
          <w:lang w:val="en-US"/>
        </w:rPr>
        <w:t xml:space="preserve"> determinative of whether the rule finds application.</w:t>
      </w:r>
      <w:r w:rsidR="00847E1F" w:rsidRPr="00AE5D49">
        <w:rPr>
          <w:rFonts w:ascii="Arial" w:hAnsi="Arial" w:cs="Arial"/>
          <w:lang w:val="en-US"/>
        </w:rPr>
        <w:t xml:space="preserve"> To argue that the rule is not applicable does not take into consideration that over a long period of time and even before the advent of the Constitutional era, the rule provided for and was used in proceedings for review for instance of the decisions of the Jockey Club. Those decisions are what is currently termed common law reviews. Currently those review applications more often than not involve decisions of voluntary associations, home owners’ associations where the relationship is based on contracts. Simply pot those decisions are not Administrative actions, cannot be set aside in terms of PAJA and are not legality reviews.</w:t>
      </w:r>
    </w:p>
    <w:p w14:paraId="4E2E9C2A" w14:textId="77777777" w:rsidR="00291712" w:rsidRPr="00291712" w:rsidRDefault="00291712" w:rsidP="00291712">
      <w:pPr>
        <w:pStyle w:val="ListParagraph"/>
        <w:rPr>
          <w:rFonts w:ascii="Arial" w:hAnsi="Arial" w:cs="Arial"/>
          <w:lang w:val="en-US"/>
        </w:rPr>
      </w:pPr>
    </w:p>
    <w:p w14:paraId="7E9C5325" w14:textId="4A67258B" w:rsidR="00291712" w:rsidRPr="00AE5D49" w:rsidRDefault="00AE5D49" w:rsidP="00AE5D49">
      <w:pPr>
        <w:spacing w:line="480" w:lineRule="auto"/>
        <w:ind w:left="709" w:hanging="709"/>
        <w:rPr>
          <w:rFonts w:ascii="Arial" w:hAnsi="Arial" w:cs="Arial"/>
          <w:lang w:val="en-GB"/>
        </w:rPr>
      </w:pPr>
      <w:r w:rsidRPr="00847E1F">
        <w:rPr>
          <w:rFonts w:ascii="Arial" w:hAnsi="Arial" w:cs="Arial"/>
          <w:lang w:val="en-GB"/>
        </w:rPr>
        <w:t>[45]</w:t>
      </w:r>
      <w:r w:rsidRPr="00847E1F">
        <w:rPr>
          <w:rFonts w:ascii="Arial" w:hAnsi="Arial" w:cs="Arial"/>
          <w:lang w:val="en-GB"/>
        </w:rPr>
        <w:tab/>
      </w:r>
      <w:r w:rsidR="00291712" w:rsidRPr="00AE5D49">
        <w:rPr>
          <w:rFonts w:ascii="Arial" w:hAnsi="Arial" w:cs="Arial"/>
          <w:lang w:val="en-US"/>
        </w:rPr>
        <w:t xml:space="preserve">Furthermore, it is clear that the rule being only procedural in nature, does not grant a party any right in respect of the review, except some procedural </w:t>
      </w:r>
      <w:r w:rsidR="00291712" w:rsidRPr="00AE5D49">
        <w:rPr>
          <w:rFonts w:ascii="Arial" w:hAnsi="Arial" w:cs="Arial"/>
          <w:lang w:val="en-GB"/>
        </w:rPr>
        <w:t>advantage and convenience.</w:t>
      </w:r>
      <w:r w:rsidR="00847E1F" w:rsidRPr="00AE5D49">
        <w:rPr>
          <w:rFonts w:ascii="Arial" w:hAnsi="Arial" w:cs="Arial"/>
          <w:lang w:val="en-GB"/>
        </w:rPr>
        <w:t xml:space="preserve"> Saying this I do not ignore the advantages for court of having the record available at the hearing.</w:t>
      </w:r>
    </w:p>
    <w:p w14:paraId="6F96534E" w14:textId="77777777" w:rsidR="00230CFC" w:rsidRPr="00291712" w:rsidRDefault="00230CFC" w:rsidP="00291712">
      <w:pPr>
        <w:rPr>
          <w:rFonts w:ascii="Arial" w:hAnsi="Arial" w:cs="Arial"/>
          <w:lang w:val="en-US"/>
        </w:rPr>
      </w:pPr>
    </w:p>
    <w:p w14:paraId="0935CA16" w14:textId="005C14A2" w:rsidR="00230CFC" w:rsidRPr="00AE5D49" w:rsidRDefault="00AE5D49" w:rsidP="00AE5D49">
      <w:pPr>
        <w:spacing w:line="480" w:lineRule="auto"/>
        <w:ind w:left="709" w:hanging="709"/>
        <w:rPr>
          <w:rFonts w:ascii="Arial" w:hAnsi="Arial" w:cs="Arial"/>
          <w:lang w:val="en-US"/>
        </w:rPr>
      </w:pPr>
      <w:r>
        <w:rPr>
          <w:rFonts w:ascii="Arial" w:hAnsi="Arial" w:cs="Arial"/>
          <w:lang w:val="en-US"/>
        </w:rPr>
        <w:t>[46]</w:t>
      </w:r>
      <w:r>
        <w:rPr>
          <w:rFonts w:ascii="Arial" w:hAnsi="Arial" w:cs="Arial"/>
          <w:lang w:val="en-US"/>
        </w:rPr>
        <w:tab/>
      </w:r>
      <w:r w:rsidR="00230CFC" w:rsidRPr="00AE5D49">
        <w:rPr>
          <w:rFonts w:ascii="Arial" w:hAnsi="Arial" w:cs="Arial"/>
          <w:lang w:val="en-US"/>
        </w:rPr>
        <w:t>This is however in my view not a reason why rule 53 should be applicable.</w:t>
      </w:r>
    </w:p>
    <w:p w14:paraId="67FDA819" w14:textId="77777777" w:rsidR="00EB1C53" w:rsidRPr="00EB1C53" w:rsidRDefault="00EB1C53" w:rsidP="00EB1C53">
      <w:pPr>
        <w:pStyle w:val="ListParagraph"/>
        <w:rPr>
          <w:rFonts w:ascii="Arial" w:hAnsi="Arial" w:cs="Arial"/>
          <w:lang w:val="en-US"/>
        </w:rPr>
      </w:pPr>
    </w:p>
    <w:p w14:paraId="6D476BC0" w14:textId="57F96BAA" w:rsidR="00EB1C53" w:rsidRPr="00AE5D49" w:rsidRDefault="00AE5D49" w:rsidP="00AE5D49">
      <w:pPr>
        <w:spacing w:line="480" w:lineRule="auto"/>
        <w:ind w:left="709" w:hanging="709"/>
        <w:rPr>
          <w:rFonts w:ascii="Arial" w:hAnsi="Arial" w:cs="Arial"/>
          <w:lang w:val="en-US"/>
        </w:rPr>
      </w:pPr>
      <w:r>
        <w:rPr>
          <w:rFonts w:ascii="Arial" w:hAnsi="Arial" w:cs="Arial"/>
          <w:lang w:val="en-US"/>
        </w:rPr>
        <w:t>[47]</w:t>
      </w:r>
      <w:r>
        <w:rPr>
          <w:rFonts w:ascii="Arial" w:hAnsi="Arial" w:cs="Arial"/>
          <w:lang w:val="en-US"/>
        </w:rPr>
        <w:tab/>
      </w:r>
      <w:r w:rsidR="00EB1C53" w:rsidRPr="00AE5D49">
        <w:rPr>
          <w:rFonts w:ascii="Arial" w:hAnsi="Arial" w:cs="Arial"/>
          <w:lang w:val="en-US"/>
        </w:rPr>
        <w:t>I now turn to the provisions of the Companies Act and the interpretation thereof</w:t>
      </w:r>
      <w:r w:rsidR="00230CFC" w:rsidRPr="00AE5D49">
        <w:rPr>
          <w:rFonts w:ascii="Arial" w:hAnsi="Arial" w:cs="Arial"/>
          <w:lang w:val="en-US"/>
        </w:rPr>
        <w:t>, which in my view will be determinative of the issue.</w:t>
      </w:r>
    </w:p>
    <w:p w14:paraId="31D5CA36" w14:textId="14076A46" w:rsidR="00FF2A87" w:rsidRDefault="00FF2A87" w:rsidP="00FF2A87">
      <w:pPr>
        <w:pStyle w:val="ListParagraph"/>
        <w:rPr>
          <w:rFonts w:ascii="Arial" w:hAnsi="Arial" w:cs="Arial"/>
          <w:lang w:val="en-US"/>
        </w:rPr>
      </w:pPr>
    </w:p>
    <w:p w14:paraId="7B84B4ED" w14:textId="77777777" w:rsidR="00EB1C53" w:rsidRPr="00FF2A87" w:rsidRDefault="00EB1C53" w:rsidP="00FF2A87">
      <w:pPr>
        <w:pStyle w:val="ListParagraph"/>
        <w:rPr>
          <w:rFonts w:ascii="Arial" w:hAnsi="Arial" w:cs="Arial"/>
          <w:lang w:val="en-US"/>
        </w:rPr>
      </w:pPr>
    </w:p>
    <w:p w14:paraId="5F7CFB1F" w14:textId="51F9E826" w:rsidR="008D5A37" w:rsidRPr="00EB1C53" w:rsidRDefault="00EB1C53" w:rsidP="00FF2A87">
      <w:pPr>
        <w:spacing w:line="480" w:lineRule="auto"/>
        <w:rPr>
          <w:rFonts w:ascii="Arial" w:hAnsi="Arial" w:cs="Arial"/>
          <w:b/>
          <w:i/>
          <w:lang w:val="en-US"/>
        </w:rPr>
      </w:pPr>
      <w:r>
        <w:rPr>
          <w:rFonts w:ascii="Arial" w:hAnsi="Arial" w:cs="Arial"/>
          <w:b/>
          <w:i/>
          <w:lang w:val="en-US"/>
        </w:rPr>
        <w:t>C</w:t>
      </w:r>
      <w:r w:rsidRPr="00EB1C53">
        <w:rPr>
          <w:rFonts w:ascii="Arial" w:hAnsi="Arial" w:cs="Arial"/>
          <w:b/>
          <w:i/>
          <w:lang w:val="en-US"/>
        </w:rPr>
        <w:t xml:space="preserve">ompanies </w:t>
      </w:r>
      <w:r>
        <w:rPr>
          <w:rFonts w:ascii="Arial" w:hAnsi="Arial" w:cs="Arial"/>
          <w:b/>
          <w:i/>
          <w:lang w:val="en-US"/>
        </w:rPr>
        <w:t>A</w:t>
      </w:r>
      <w:r w:rsidRPr="00EB1C53">
        <w:rPr>
          <w:rFonts w:ascii="Arial" w:hAnsi="Arial" w:cs="Arial"/>
          <w:b/>
          <w:i/>
          <w:lang w:val="en-US"/>
        </w:rPr>
        <w:t xml:space="preserve">ct </w:t>
      </w:r>
    </w:p>
    <w:p w14:paraId="1C8560D9" w14:textId="77777777" w:rsidR="005A43B4" w:rsidRDefault="005A43B4" w:rsidP="005A43B4">
      <w:pPr>
        <w:pStyle w:val="ListParagraph"/>
        <w:ind w:left="709"/>
        <w:rPr>
          <w:rFonts w:ascii="Arial" w:hAnsi="Arial" w:cs="Arial"/>
          <w:lang w:val="en-US"/>
        </w:rPr>
      </w:pPr>
    </w:p>
    <w:p w14:paraId="2D53875B" w14:textId="77710B96" w:rsidR="005A43B4" w:rsidRPr="00AE5D49" w:rsidRDefault="00AE5D49" w:rsidP="00AE5D49">
      <w:pPr>
        <w:spacing w:line="480" w:lineRule="auto"/>
        <w:ind w:left="709" w:hanging="709"/>
        <w:rPr>
          <w:rFonts w:ascii="Arial" w:hAnsi="Arial" w:cs="Arial"/>
          <w:lang w:val="en-US"/>
        </w:rPr>
      </w:pPr>
      <w:r>
        <w:rPr>
          <w:rFonts w:ascii="Arial" w:hAnsi="Arial" w:cs="Arial"/>
          <w:lang w:val="en-US"/>
        </w:rPr>
        <w:t>[48]</w:t>
      </w:r>
      <w:r>
        <w:rPr>
          <w:rFonts w:ascii="Arial" w:hAnsi="Arial" w:cs="Arial"/>
          <w:lang w:val="en-US"/>
        </w:rPr>
        <w:tab/>
      </w:r>
      <w:r w:rsidR="005D5E95" w:rsidRPr="00AE5D49">
        <w:rPr>
          <w:rFonts w:ascii="Arial" w:hAnsi="Arial" w:cs="Arial"/>
          <w:lang w:val="en-US"/>
        </w:rPr>
        <w:t>The applicable p</w:t>
      </w:r>
      <w:r w:rsidR="00FD4001" w:rsidRPr="00AE5D49">
        <w:rPr>
          <w:rFonts w:ascii="Arial" w:hAnsi="Arial" w:cs="Arial"/>
          <w:lang w:val="en-US"/>
        </w:rPr>
        <w:t>rovisions are</w:t>
      </w:r>
      <w:r w:rsidR="005D5E95" w:rsidRPr="00AE5D49">
        <w:rPr>
          <w:rFonts w:ascii="Arial" w:hAnsi="Arial" w:cs="Arial"/>
          <w:lang w:val="en-US"/>
        </w:rPr>
        <w:t xml:space="preserve"> found in section 71 of the Companies Act. At the heart to the removal of a director lies a vote, whether</w:t>
      </w:r>
      <w:r w:rsidR="00FD4001" w:rsidRPr="00AE5D49">
        <w:rPr>
          <w:rFonts w:ascii="Arial" w:hAnsi="Arial" w:cs="Arial"/>
          <w:lang w:val="en-US"/>
        </w:rPr>
        <w:t xml:space="preserve"> to </w:t>
      </w:r>
      <w:r w:rsidR="005D5E95" w:rsidRPr="00AE5D49">
        <w:rPr>
          <w:rFonts w:ascii="Arial" w:hAnsi="Arial" w:cs="Arial"/>
          <w:lang w:val="en-US"/>
        </w:rPr>
        <w:t xml:space="preserve">remove the </w:t>
      </w:r>
      <w:r w:rsidR="00FD4001" w:rsidRPr="00AE5D49">
        <w:rPr>
          <w:rFonts w:ascii="Arial" w:hAnsi="Arial" w:cs="Arial"/>
          <w:lang w:val="en-US"/>
        </w:rPr>
        <w:t xml:space="preserve">director. Two scenarios are provided for, namely a removal by </w:t>
      </w:r>
      <w:r w:rsidR="005D5E95" w:rsidRPr="00AE5D49">
        <w:rPr>
          <w:rFonts w:ascii="Arial" w:hAnsi="Arial" w:cs="Arial"/>
          <w:lang w:val="en-US"/>
        </w:rPr>
        <w:t>Shareholders or</w:t>
      </w:r>
      <w:r w:rsidR="00FD4001" w:rsidRPr="00AE5D49">
        <w:rPr>
          <w:rFonts w:ascii="Arial" w:hAnsi="Arial" w:cs="Arial"/>
          <w:lang w:val="en-US"/>
        </w:rPr>
        <w:t xml:space="preserve"> removal by the</w:t>
      </w:r>
      <w:r w:rsidR="005D5E95" w:rsidRPr="00AE5D49">
        <w:rPr>
          <w:rFonts w:ascii="Arial" w:hAnsi="Arial" w:cs="Arial"/>
          <w:lang w:val="en-US"/>
        </w:rPr>
        <w:t xml:space="preserve"> Board of directors</w:t>
      </w:r>
      <w:r w:rsidR="00FD4001" w:rsidRPr="00AE5D49">
        <w:rPr>
          <w:rFonts w:ascii="Arial" w:hAnsi="Arial" w:cs="Arial"/>
          <w:lang w:val="en-US"/>
        </w:rPr>
        <w:t xml:space="preserve"> if the company has more than two (2) directors</w:t>
      </w:r>
      <w:r w:rsidR="005D5E95" w:rsidRPr="00AE5D49">
        <w:rPr>
          <w:rFonts w:ascii="Arial" w:hAnsi="Arial" w:cs="Arial"/>
          <w:lang w:val="en-US"/>
        </w:rPr>
        <w:t>.</w:t>
      </w:r>
    </w:p>
    <w:p w14:paraId="42B6A663" w14:textId="77777777" w:rsidR="005D5E95" w:rsidRPr="001C78CF" w:rsidRDefault="005D5E95" w:rsidP="001C78CF">
      <w:pPr>
        <w:rPr>
          <w:rFonts w:ascii="Arial" w:hAnsi="Arial" w:cs="Arial"/>
          <w:lang w:val="en-US"/>
        </w:rPr>
      </w:pPr>
    </w:p>
    <w:p w14:paraId="034D5325" w14:textId="1427183F" w:rsidR="005D5E95" w:rsidRPr="00AE5D49" w:rsidRDefault="00AE5D49" w:rsidP="00AE5D49">
      <w:pPr>
        <w:spacing w:line="480" w:lineRule="auto"/>
        <w:ind w:left="709" w:hanging="709"/>
        <w:rPr>
          <w:rFonts w:ascii="Arial" w:hAnsi="Arial" w:cs="Arial"/>
          <w:lang w:val="en-US"/>
        </w:rPr>
      </w:pPr>
      <w:r>
        <w:rPr>
          <w:rFonts w:ascii="Arial" w:hAnsi="Arial" w:cs="Arial"/>
          <w:lang w:val="en-US"/>
        </w:rPr>
        <w:t>[49]</w:t>
      </w:r>
      <w:r>
        <w:rPr>
          <w:rFonts w:ascii="Arial" w:hAnsi="Arial" w:cs="Arial"/>
          <w:lang w:val="en-US"/>
        </w:rPr>
        <w:tab/>
      </w:r>
      <w:r w:rsidR="0040603F" w:rsidRPr="00AE5D49">
        <w:rPr>
          <w:rFonts w:ascii="Arial" w:hAnsi="Arial" w:cs="Arial"/>
          <w:lang w:val="en-US"/>
        </w:rPr>
        <w:t xml:space="preserve">It was common cause between the parties that </w:t>
      </w:r>
      <w:r w:rsidR="006D4C30" w:rsidRPr="00AE5D49">
        <w:rPr>
          <w:rFonts w:ascii="Arial" w:hAnsi="Arial" w:cs="Arial"/>
          <w:lang w:val="en-US"/>
        </w:rPr>
        <w:t xml:space="preserve">inter alia </w:t>
      </w:r>
      <w:r w:rsidR="0040603F" w:rsidRPr="00AE5D49">
        <w:rPr>
          <w:rFonts w:ascii="Arial" w:hAnsi="Arial" w:cs="Arial"/>
          <w:lang w:val="en-US"/>
        </w:rPr>
        <w:t>section 71(3)</w:t>
      </w:r>
      <w:r w:rsidR="006D4C30" w:rsidRPr="00AE5D49">
        <w:rPr>
          <w:rFonts w:ascii="Arial" w:hAnsi="Arial" w:cs="Arial"/>
          <w:lang w:val="en-US"/>
        </w:rPr>
        <w:t>, (4)</w:t>
      </w:r>
      <w:r w:rsidR="00FD4001" w:rsidRPr="00AE5D49">
        <w:rPr>
          <w:rFonts w:ascii="Arial" w:hAnsi="Arial" w:cs="Arial"/>
          <w:lang w:val="en-US"/>
        </w:rPr>
        <w:t xml:space="preserve"> and (5)</w:t>
      </w:r>
      <w:r w:rsidR="0040603F" w:rsidRPr="00AE5D49">
        <w:rPr>
          <w:rFonts w:ascii="Arial" w:hAnsi="Arial" w:cs="Arial"/>
          <w:lang w:val="en-US"/>
        </w:rPr>
        <w:t xml:space="preserve"> provides for the removal of Mr Pityana. It reads as follows:</w:t>
      </w:r>
    </w:p>
    <w:p w14:paraId="4C3658F4" w14:textId="77777777" w:rsidR="0040603F" w:rsidRPr="0040603F" w:rsidRDefault="0040603F" w:rsidP="0040603F">
      <w:pPr>
        <w:pStyle w:val="ListParagraph"/>
        <w:rPr>
          <w:rFonts w:ascii="Arial" w:hAnsi="Arial" w:cs="Arial"/>
          <w:lang w:val="en-US"/>
        </w:rPr>
      </w:pPr>
    </w:p>
    <w:p w14:paraId="4A983502" w14:textId="1D5D6555" w:rsidR="0040603F" w:rsidRPr="00A341A5" w:rsidRDefault="0040603F" w:rsidP="001C78CF">
      <w:pPr>
        <w:pStyle w:val="ListParagraph"/>
        <w:spacing w:line="360" w:lineRule="auto"/>
        <w:ind w:left="1134"/>
        <w:rPr>
          <w:rFonts w:ascii="Times" w:hAnsi="Times" w:cs="Arial"/>
          <w:i/>
          <w:lang w:val="en-US"/>
        </w:rPr>
      </w:pPr>
      <w:r w:rsidRPr="00A341A5">
        <w:rPr>
          <w:rFonts w:ascii="Times" w:hAnsi="Times" w:cs="Arial"/>
          <w:i/>
          <w:lang w:val="en-US"/>
        </w:rPr>
        <w:t xml:space="preserve">“(3) If a company has more than two directors, and </w:t>
      </w:r>
      <w:r w:rsidRPr="00A341A5">
        <w:rPr>
          <w:rFonts w:ascii="Times" w:hAnsi="Times" w:cs="Arial"/>
          <w:b/>
          <w:i/>
          <w:lang w:val="en-US"/>
        </w:rPr>
        <w:t>a shareholder or director has alleged that a director of a company</w:t>
      </w:r>
      <w:r w:rsidRPr="00A341A5">
        <w:rPr>
          <w:rFonts w:ascii="Times" w:hAnsi="Times" w:cs="Arial"/>
          <w:i/>
          <w:lang w:val="en-US"/>
        </w:rPr>
        <w:t xml:space="preserve"> – </w:t>
      </w:r>
    </w:p>
    <w:p w14:paraId="230523C1" w14:textId="77777777" w:rsidR="001C78CF" w:rsidRPr="00A341A5" w:rsidRDefault="001C78CF" w:rsidP="007E4B3F">
      <w:pPr>
        <w:pStyle w:val="ListParagraph"/>
        <w:ind w:left="1134"/>
        <w:rPr>
          <w:rFonts w:ascii="Times" w:hAnsi="Times" w:cs="Arial"/>
          <w:i/>
          <w:lang w:val="en-US"/>
        </w:rPr>
      </w:pPr>
    </w:p>
    <w:p w14:paraId="3CE1A23A" w14:textId="6880D42F" w:rsidR="0040603F" w:rsidRPr="00A341A5" w:rsidRDefault="00AE5D49" w:rsidP="00AE5D49">
      <w:pPr>
        <w:pStyle w:val="Default"/>
        <w:spacing w:line="360" w:lineRule="auto"/>
        <w:ind w:left="1560" w:hanging="426"/>
        <w:rPr>
          <w:rFonts w:ascii="Times" w:hAnsi="Times"/>
          <w:i/>
        </w:rPr>
      </w:pPr>
      <w:r w:rsidRPr="00A341A5">
        <w:rPr>
          <w:rFonts w:ascii="Times" w:hAnsi="Times"/>
          <w:i/>
        </w:rPr>
        <w:t>(a)</w:t>
      </w:r>
      <w:r w:rsidRPr="00A341A5">
        <w:rPr>
          <w:rFonts w:ascii="Times" w:hAnsi="Times"/>
          <w:i/>
        </w:rPr>
        <w:tab/>
      </w:r>
      <w:r w:rsidR="0040603F" w:rsidRPr="00A341A5">
        <w:rPr>
          <w:rFonts w:ascii="Times" w:hAnsi="Times"/>
          <w:i/>
        </w:rPr>
        <w:t xml:space="preserve">has become— </w:t>
      </w:r>
    </w:p>
    <w:p w14:paraId="6DFB93B0" w14:textId="360B3F1C" w:rsidR="0040603F" w:rsidRPr="00A341A5" w:rsidRDefault="00AE5D49" w:rsidP="00AE5D49">
      <w:pPr>
        <w:pStyle w:val="Default"/>
        <w:spacing w:line="360" w:lineRule="auto"/>
        <w:ind w:left="1560" w:hanging="426"/>
        <w:rPr>
          <w:rFonts w:ascii="Times" w:hAnsi="Times"/>
          <w:i/>
        </w:rPr>
      </w:pPr>
      <w:r w:rsidRPr="00A341A5">
        <w:rPr>
          <w:rFonts w:ascii="Times" w:hAnsi="Times"/>
          <w:i/>
        </w:rPr>
        <w:t>(i)</w:t>
      </w:r>
      <w:r w:rsidRPr="00A341A5">
        <w:rPr>
          <w:rFonts w:ascii="Times" w:hAnsi="Times"/>
          <w:i/>
        </w:rPr>
        <w:tab/>
      </w:r>
      <w:r w:rsidR="0040603F" w:rsidRPr="00A341A5">
        <w:rPr>
          <w:rFonts w:ascii="Times" w:hAnsi="Times"/>
          <w:i/>
        </w:rPr>
        <w:t>ineligible or disqualified in terms of section 69, other than on the grounds</w:t>
      </w:r>
      <w:r w:rsidR="001C78CF" w:rsidRPr="00A341A5">
        <w:rPr>
          <w:rFonts w:ascii="Times" w:hAnsi="Times"/>
          <w:i/>
        </w:rPr>
        <w:t xml:space="preserve"> </w:t>
      </w:r>
      <w:r w:rsidR="0040603F" w:rsidRPr="00A341A5">
        <w:rPr>
          <w:rFonts w:ascii="Times" w:hAnsi="Times"/>
          <w:i/>
        </w:rPr>
        <w:t>contemplated in section 69(8)(a); or</w:t>
      </w:r>
    </w:p>
    <w:p w14:paraId="1C243689" w14:textId="1FBD2398" w:rsidR="0040603F" w:rsidRPr="00A341A5" w:rsidRDefault="00AE5D49" w:rsidP="00AE5D49">
      <w:pPr>
        <w:pStyle w:val="Default"/>
        <w:spacing w:line="360" w:lineRule="auto"/>
        <w:ind w:left="1560" w:hanging="426"/>
        <w:rPr>
          <w:rFonts w:ascii="Times" w:hAnsi="Times"/>
          <w:i/>
        </w:rPr>
      </w:pPr>
      <w:r w:rsidRPr="00A341A5">
        <w:rPr>
          <w:rFonts w:ascii="Times" w:hAnsi="Times"/>
          <w:i/>
        </w:rPr>
        <w:t>(ii)</w:t>
      </w:r>
      <w:r w:rsidRPr="00A341A5">
        <w:rPr>
          <w:rFonts w:ascii="Times" w:hAnsi="Times"/>
          <w:i/>
        </w:rPr>
        <w:tab/>
      </w:r>
      <w:r w:rsidR="0040603F" w:rsidRPr="00A341A5">
        <w:rPr>
          <w:rFonts w:ascii="Times" w:hAnsi="Times"/>
          <w:i/>
        </w:rPr>
        <w:t xml:space="preserve">incapacitated to the extent that the director is unable to perform the functions of a director, and is unlikely to regain that capacity within a reasonable time; or </w:t>
      </w:r>
    </w:p>
    <w:p w14:paraId="72537A3B" w14:textId="4D50619A" w:rsidR="0040603F" w:rsidRPr="00A341A5" w:rsidRDefault="00AE5D49" w:rsidP="00AE5D49">
      <w:pPr>
        <w:pStyle w:val="Default"/>
        <w:spacing w:line="360" w:lineRule="auto"/>
        <w:ind w:left="1560" w:hanging="426"/>
        <w:rPr>
          <w:rFonts w:ascii="Times" w:hAnsi="Times"/>
          <w:b/>
          <w:i/>
        </w:rPr>
      </w:pPr>
      <w:r w:rsidRPr="00A341A5">
        <w:rPr>
          <w:rFonts w:ascii="Times" w:hAnsi="Times"/>
          <w:b/>
          <w:i/>
        </w:rPr>
        <w:t>(b)</w:t>
      </w:r>
      <w:r w:rsidRPr="00A341A5">
        <w:rPr>
          <w:rFonts w:ascii="Times" w:hAnsi="Times"/>
          <w:b/>
          <w:i/>
        </w:rPr>
        <w:tab/>
      </w:r>
      <w:r w:rsidR="0040603F" w:rsidRPr="00A341A5">
        <w:rPr>
          <w:rFonts w:ascii="Times" w:hAnsi="Times"/>
          <w:b/>
          <w:i/>
        </w:rPr>
        <w:t>has neglected, or been derelict in the performance of, the functions of director,</w:t>
      </w:r>
      <w:r w:rsidR="001C78CF" w:rsidRPr="00A341A5">
        <w:rPr>
          <w:rFonts w:ascii="Times" w:hAnsi="Times"/>
          <w:b/>
          <w:i/>
        </w:rPr>
        <w:t xml:space="preserve"> the board other than the director concerned, must determine the matter by resolution, and may remove a director whom it has determined to be ineligible or disqualified, incapacitated, or negligent or derelict, as the case may be.</w:t>
      </w:r>
      <w:r w:rsidR="006D4C30" w:rsidRPr="00A341A5">
        <w:rPr>
          <w:rFonts w:ascii="Times" w:hAnsi="Times"/>
          <w:i/>
        </w:rPr>
        <w:t>”</w:t>
      </w:r>
    </w:p>
    <w:p w14:paraId="525CDBB8" w14:textId="77777777" w:rsidR="006D4C30" w:rsidRPr="00A341A5" w:rsidRDefault="006D4C30" w:rsidP="006D4C30">
      <w:pPr>
        <w:pStyle w:val="Default"/>
        <w:rPr>
          <w:rFonts w:ascii="Times" w:hAnsi="Times"/>
          <w:b/>
          <w:i/>
        </w:rPr>
      </w:pPr>
    </w:p>
    <w:p w14:paraId="5C2411DA" w14:textId="4506039E" w:rsidR="006D4C30" w:rsidRPr="00A341A5" w:rsidRDefault="006D4C30" w:rsidP="006D4C30">
      <w:pPr>
        <w:pStyle w:val="Default"/>
        <w:spacing w:line="360" w:lineRule="auto"/>
        <w:ind w:left="1134"/>
        <w:rPr>
          <w:rFonts w:ascii="Times" w:hAnsi="Times"/>
          <w:i/>
        </w:rPr>
      </w:pPr>
      <w:r w:rsidRPr="00A341A5">
        <w:rPr>
          <w:rFonts w:ascii="Times" w:hAnsi="Times"/>
          <w:i/>
        </w:rPr>
        <w:t>(4)</w:t>
      </w:r>
      <w:r w:rsidRPr="00A341A5">
        <w:rPr>
          <w:rFonts w:ascii="Times" w:hAnsi="Times"/>
          <w:i/>
        </w:rPr>
        <w:tab/>
        <w:t>Before the board of a company may consider a resolution contemplated in subsection (3), the director concerned must be given—</w:t>
      </w:r>
    </w:p>
    <w:p w14:paraId="12C5B060" w14:textId="77777777" w:rsidR="006D4C30" w:rsidRPr="00A341A5" w:rsidRDefault="006D4C30" w:rsidP="006D4C30">
      <w:pPr>
        <w:pStyle w:val="Default"/>
        <w:ind w:left="1134"/>
        <w:rPr>
          <w:rFonts w:ascii="Times" w:hAnsi="Times"/>
          <w:i/>
        </w:rPr>
      </w:pPr>
    </w:p>
    <w:p w14:paraId="3F44BA66" w14:textId="75049EE3" w:rsidR="006D4C30" w:rsidRPr="00A341A5" w:rsidRDefault="00AE5D49" w:rsidP="00AE5D49">
      <w:pPr>
        <w:pStyle w:val="Default"/>
        <w:spacing w:line="360" w:lineRule="auto"/>
        <w:ind w:left="1494" w:hanging="360"/>
        <w:rPr>
          <w:rFonts w:ascii="Times" w:hAnsi="Times"/>
          <w:i/>
        </w:rPr>
      </w:pPr>
      <w:r w:rsidRPr="00A341A5">
        <w:rPr>
          <w:rFonts w:ascii="Times" w:hAnsi="Times"/>
          <w:i/>
        </w:rPr>
        <w:t>(a)</w:t>
      </w:r>
      <w:r w:rsidRPr="00A341A5">
        <w:rPr>
          <w:rFonts w:ascii="Times" w:hAnsi="Times"/>
          <w:i/>
        </w:rPr>
        <w:tab/>
      </w:r>
      <w:r w:rsidR="006D4C30" w:rsidRPr="00A341A5">
        <w:rPr>
          <w:rFonts w:ascii="Times" w:hAnsi="Times"/>
          <w:i/>
        </w:rPr>
        <w:t xml:space="preserve">notice of the meeting, including a copy of the proposed resolution and a statement </w:t>
      </w:r>
      <w:r w:rsidR="006D4C30" w:rsidRPr="0050784F">
        <w:rPr>
          <w:rFonts w:ascii="Times" w:hAnsi="Times"/>
          <w:b/>
          <w:i/>
        </w:rPr>
        <w:t>setting out reasons for the resolution, with sufficient specificity to reasonably permit the director to prepare and present a response</w:t>
      </w:r>
      <w:r w:rsidR="006D4C30" w:rsidRPr="00A341A5">
        <w:rPr>
          <w:rFonts w:ascii="Times" w:hAnsi="Times"/>
          <w:i/>
        </w:rPr>
        <w:t>; and</w:t>
      </w:r>
    </w:p>
    <w:p w14:paraId="2B5FAC85" w14:textId="40B1833D" w:rsidR="006D4C30" w:rsidRPr="00A341A5" w:rsidRDefault="00AE5D49" w:rsidP="00AE5D49">
      <w:pPr>
        <w:pStyle w:val="Default"/>
        <w:spacing w:line="360" w:lineRule="auto"/>
        <w:ind w:left="1494" w:hanging="360"/>
        <w:rPr>
          <w:rFonts w:ascii="Times" w:hAnsi="Times"/>
          <w:i/>
        </w:rPr>
      </w:pPr>
      <w:r w:rsidRPr="00A341A5">
        <w:rPr>
          <w:rFonts w:ascii="Times" w:hAnsi="Times"/>
          <w:i/>
        </w:rPr>
        <w:t>(b)</w:t>
      </w:r>
      <w:r w:rsidRPr="00A341A5">
        <w:rPr>
          <w:rFonts w:ascii="Times" w:hAnsi="Times"/>
          <w:i/>
        </w:rPr>
        <w:tab/>
      </w:r>
      <w:r w:rsidR="006D4C30" w:rsidRPr="00A341A5">
        <w:rPr>
          <w:rFonts w:ascii="Times" w:hAnsi="Times"/>
          <w:i/>
        </w:rPr>
        <w:t>a reasonable opportunity to make a presentation, in person or through a representative, to the meeting before the resolution is put to a vote.</w:t>
      </w:r>
    </w:p>
    <w:p w14:paraId="69D82752" w14:textId="24695B11" w:rsidR="00F5584A" w:rsidRPr="00A341A5" w:rsidRDefault="00F5584A" w:rsidP="00F5584A">
      <w:pPr>
        <w:pStyle w:val="Default"/>
        <w:rPr>
          <w:rFonts w:ascii="Times" w:hAnsi="Times"/>
          <w:i/>
        </w:rPr>
      </w:pPr>
    </w:p>
    <w:p w14:paraId="78D772B0" w14:textId="33A4FC36" w:rsidR="00F5584A" w:rsidRPr="00A341A5" w:rsidRDefault="00F5584A" w:rsidP="00F5584A">
      <w:pPr>
        <w:pStyle w:val="Default"/>
        <w:spacing w:line="360" w:lineRule="auto"/>
        <w:ind w:left="1134"/>
        <w:rPr>
          <w:rFonts w:ascii="Times" w:hAnsi="Times"/>
          <w:i/>
        </w:rPr>
      </w:pPr>
      <w:r w:rsidRPr="00A341A5">
        <w:rPr>
          <w:rFonts w:ascii="Times" w:hAnsi="Times"/>
          <w:i/>
        </w:rPr>
        <w:t>(5)</w:t>
      </w:r>
      <w:r w:rsidRPr="00A341A5">
        <w:rPr>
          <w:rFonts w:ascii="Times" w:hAnsi="Times"/>
          <w:i/>
        </w:rPr>
        <w:tab/>
      </w:r>
      <w:r w:rsidR="00F54EE1" w:rsidRPr="00A341A5">
        <w:rPr>
          <w:rFonts w:ascii="Times" w:hAnsi="Times"/>
          <w:i/>
        </w:rPr>
        <w:t xml:space="preserve"> </w:t>
      </w:r>
      <w:r w:rsidRPr="00A341A5">
        <w:rPr>
          <w:rFonts w:ascii="Times" w:hAnsi="Times"/>
          <w:i/>
        </w:rPr>
        <w:t xml:space="preserve">If, in terms of subsection (3), the board of a company has determined that a director is ineligible or disqualified, incapacitated, or has been negligent or derelict, as the case may be, </w:t>
      </w:r>
      <w:r w:rsidRPr="00A341A5">
        <w:rPr>
          <w:rFonts w:ascii="Times" w:hAnsi="Times"/>
          <w:b/>
          <w:i/>
        </w:rPr>
        <w:t xml:space="preserve">the director concerned, or a person who appointed that director </w:t>
      </w:r>
      <w:r w:rsidRPr="00A341A5">
        <w:rPr>
          <w:rFonts w:ascii="Times" w:hAnsi="Times"/>
          <w:i/>
        </w:rPr>
        <w:t xml:space="preserve">as contemplated in section 66(4)(a)(i), if applicable, </w:t>
      </w:r>
      <w:r w:rsidRPr="00A341A5">
        <w:rPr>
          <w:rFonts w:ascii="Times" w:hAnsi="Times"/>
          <w:b/>
          <w:i/>
        </w:rPr>
        <w:t>may apply within 20 business days to a court to review the determination of the board</w:t>
      </w:r>
      <w:r w:rsidRPr="00A341A5">
        <w:rPr>
          <w:rFonts w:ascii="Times" w:hAnsi="Times"/>
          <w:i/>
        </w:rPr>
        <w:t>.</w:t>
      </w:r>
      <w:r w:rsidR="00693280" w:rsidRPr="00A341A5">
        <w:rPr>
          <w:rFonts w:ascii="Times" w:hAnsi="Times"/>
          <w:i/>
        </w:rPr>
        <w:t>”</w:t>
      </w:r>
    </w:p>
    <w:p w14:paraId="5319BA00" w14:textId="060E70AC" w:rsidR="006D4C30" w:rsidRDefault="00F5584A" w:rsidP="00F5584A">
      <w:pPr>
        <w:spacing w:line="360" w:lineRule="auto"/>
        <w:ind w:left="720"/>
        <w:rPr>
          <w:rFonts w:ascii="Arial" w:hAnsi="Arial" w:cs="Arial"/>
          <w:lang w:val="en-US"/>
        </w:rPr>
      </w:pPr>
      <w:r>
        <w:rPr>
          <w:rFonts w:ascii="Arial" w:hAnsi="Arial" w:cs="Arial"/>
          <w:lang w:val="en-US"/>
        </w:rPr>
        <w:t>[Emphasis added]</w:t>
      </w:r>
    </w:p>
    <w:p w14:paraId="7305398B" w14:textId="77777777" w:rsidR="00F5584A" w:rsidRDefault="00F5584A" w:rsidP="00F5584A">
      <w:pPr>
        <w:spacing w:line="360" w:lineRule="auto"/>
        <w:ind w:left="720"/>
        <w:rPr>
          <w:rFonts w:ascii="Arial" w:hAnsi="Arial" w:cs="Arial"/>
          <w:lang w:val="en-US"/>
        </w:rPr>
      </w:pPr>
    </w:p>
    <w:p w14:paraId="7DCF0643" w14:textId="75A11BB9" w:rsidR="001C78CF" w:rsidRPr="00AE5D49" w:rsidRDefault="00AE5D49" w:rsidP="00AE5D49">
      <w:pPr>
        <w:spacing w:line="480" w:lineRule="auto"/>
        <w:ind w:left="709" w:hanging="709"/>
        <w:rPr>
          <w:rFonts w:ascii="Arial" w:hAnsi="Arial" w:cs="Arial"/>
          <w:lang w:val="en-US"/>
        </w:rPr>
      </w:pPr>
      <w:r>
        <w:rPr>
          <w:rFonts w:ascii="Arial" w:hAnsi="Arial" w:cs="Arial"/>
          <w:lang w:val="en-US"/>
        </w:rPr>
        <w:t>[50]</w:t>
      </w:r>
      <w:r>
        <w:rPr>
          <w:rFonts w:ascii="Arial" w:hAnsi="Arial" w:cs="Arial"/>
          <w:lang w:val="en-US"/>
        </w:rPr>
        <w:tab/>
      </w:r>
      <w:r w:rsidR="001E7AB0" w:rsidRPr="00AE5D49">
        <w:rPr>
          <w:rFonts w:ascii="Arial" w:hAnsi="Arial" w:cs="Arial"/>
          <w:lang w:val="en-US"/>
        </w:rPr>
        <w:t>I</w:t>
      </w:r>
      <w:r w:rsidR="00F5584A" w:rsidRPr="00AE5D49">
        <w:rPr>
          <w:rFonts w:ascii="Arial" w:hAnsi="Arial" w:cs="Arial"/>
          <w:lang w:val="en-US"/>
        </w:rPr>
        <w:t xml:space="preserve">t is clear that </w:t>
      </w:r>
      <w:r w:rsidR="00FD4001" w:rsidRPr="00AE5D49">
        <w:rPr>
          <w:rFonts w:ascii="Arial" w:hAnsi="Arial" w:cs="Arial"/>
          <w:lang w:val="en-US"/>
        </w:rPr>
        <w:t>sub</w:t>
      </w:r>
      <w:r w:rsidR="0050784F" w:rsidRPr="00AE5D49">
        <w:rPr>
          <w:rFonts w:ascii="Arial" w:hAnsi="Arial" w:cs="Arial"/>
          <w:lang w:val="en-US"/>
        </w:rPr>
        <w:t>-</w:t>
      </w:r>
      <w:r w:rsidR="00F5584A" w:rsidRPr="00AE5D49">
        <w:rPr>
          <w:rFonts w:ascii="Arial" w:hAnsi="Arial" w:cs="Arial"/>
          <w:lang w:val="en-US"/>
        </w:rPr>
        <w:t>section</w:t>
      </w:r>
      <w:r w:rsidR="00FD4001" w:rsidRPr="00AE5D49">
        <w:rPr>
          <w:rFonts w:ascii="Arial" w:hAnsi="Arial" w:cs="Arial"/>
          <w:lang w:val="en-US"/>
        </w:rPr>
        <w:t xml:space="preserve"> </w:t>
      </w:r>
      <w:r w:rsidR="00AE38C9" w:rsidRPr="00AE5D49">
        <w:rPr>
          <w:rFonts w:ascii="Arial" w:hAnsi="Arial" w:cs="Arial"/>
          <w:lang w:val="en-US"/>
        </w:rPr>
        <w:t>(5)</w:t>
      </w:r>
      <w:r w:rsidR="00F5584A" w:rsidRPr="00AE5D49">
        <w:rPr>
          <w:rFonts w:ascii="Arial" w:hAnsi="Arial" w:cs="Arial"/>
          <w:lang w:val="en-US"/>
        </w:rPr>
        <w:t xml:space="preserve"> is the section providing for the authority to have the determination </w:t>
      </w:r>
      <w:r w:rsidR="00FD4001" w:rsidRPr="00AE5D49">
        <w:rPr>
          <w:rFonts w:ascii="Arial" w:hAnsi="Arial" w:cs="Arial"/>
          <w:lang w:val="en-US"/>
        </w:rPr>
        <w:t>set aside</w:t>
      </w:r>
      <w:r w:rsidR="00F5584A" w:rsidRPr="00AE5D49">
        <w:rPr>
          <w:rFonts w:ascii="Arial" w:hAnsi="Arial" w:cs="Arial"/>
          <w:lang w:val="en-US"/>
        </w:rPr>
        <w:t>.</w:t>
      </w:r>
      <w:r w:rsidR="00F655BB" w:rsidRPr="00AE5D49">
        <w:rPr>
          <w:rFonts w:ascii="Arial" w:hAnsi="Arial" w:cs="Arial"/>
          <w:lang w:val="en-US"/>
        </w:rPr>
        <w:t xml:space="preserve"> </w:t>
      </w:r>
      <w:r w:rsidR="00AE38C9" w:rsidRPr="00AE5D49">
        <w:rPr>
          <w:rFonts w:ascii="Arial" w:hAnsi="Arial" w:cs="Arial"/>
          <w:lang w:val="en-US"/>
        </w:rPr>
        <w:t>In my view t</w:t>
      </w:r>
      <w:r w:rsidR="00F655BB" w:rsidRPr="00AE5D49">
        <w:rPr>
          <w:rFonts w:ascii="Arial" w:hAnsi="Arial" w:cs="Arial"/>
          <w:lang w:val="en-US"/>
        </w:rPr>
        <w:t xml:space="preserve">he interpretation of the </w:t>
      </w:r>
      <w:r w:rsidR="00693280" w:rsidRPr="00AE5D49">
        <w:rPr>
          <w:rFonts w:ascii="Arial" w:hAnsi="Arial" w:cs="Arial"/>
          <w:lang w:val="en-US"/>
        </w:rPr>
        <w:t>provisions of section 71 lies at the nub of this matter.</w:t>
      </w:r>
    </w:p>
    <w:p w14:paraId="36BB91E1" w14:textId="77777777" w:rsidR="009F6F63" w:rsidRDefault="009F6F63" w:rsidP="009F6F63">
      <w:pPr>
        <w:pStyle w:val="ListParagraph"/>
        <w:ind w:left="709"/>
        <w:rPr>
          <w:rFonts w:ascii="Arial" w:hAnsi="Arial" w:cs="Arial"/>
          <w:lang w:val="en-US"/>
        </w:rPr>
      </w:pPr>
    </w:p>
    <w:p w14:paraId="771134CA" w14:textId="3CA33079" w:rsidR="00741E9C" w:rsidRPr="00AE5D49" w:rsidRDefault="00AE5D49" w:rsidP="00AE5D49">
      <w:pPr>
        <w:spacing w:line="480" w:lineRule="auto"/>
        <w:ind w:left="709" w:hanging="709"/>
        <w:rPr>
          <w:rFonts w:ascii="Arial" w:hAnsi="Arial" w:cs="Arial"/>
          <w:lang w:val="en-US"/>
        </w:rPr>
      </w:pPr>
      <w:r>
        <w:rPr>
          <w:rFonts w:ascii="Arial" w:hAnsi="Arial" w:cs="Arial"/>
          <w:lang w:val="en-US"/>
        </w:rPr>
        <w:t>[51]</w:t>
      </w:r>
      <w:r>
        <w:rPr>
          <w:rFonts w:ascii="Arial" w:hAnsi="Arial" w:cs="Arial"/>
          <w:lang w:val="en-US"/>
        </w:rPr>
        <w:tab/>
      </w:r>
      <w:r w:rsidR="00741E9C" w:rsidRPr="00AE5D49">
        <w:rPr>
          <w:rFonts w:ascii="Arial" w:hAnsi="Arial" w:cs="Arial"/>
          <w:lang w:val="en-US"/>
        </w:rPr>
        <w:t xml:space="preserve">In passing, subsection (6) provides for the </w:t>
      </w:r>
      <w:r w:rsidR="006F36BA" w:rsidRPr="00AE5D49">
        <w:rPr>
          <w:rFonts w:ascii="Arial" w:hAnsi="Arial" w:cs="Arial"/>
          <w:lang w:val="en-US"/>
        </w:rPr>
        <w:t xml:space="preserve">court to review a decision where the board voted not to remove the particular director. In terms of that subsection the court may also review the proceedings, but it has specific powers as set out in subsection (6)(b). </w:t>
      </w:r>
    </w:p>
    <w:p w14:paraId="486A2D1B" w14:textId="7B4BCCBF" w:rsidR="00EB1C53" w:rsidRDefault="00EB1C53" w:rsidP="00EB1C53">
      <w:pPr>
        <w:rPr>
          <w:rFonts w:ascii="Arial" w:hAnsi="Arial" w:cs="Arial"/>
          <w:lang w:val="en-US"/>
        </w:rPr>
      </w:pPr>
    </w:p>
    <w:p w14:paraId="326859B9" w14:textId="77777777" w:rsidR="00EB1C53" w:rsidRPr="00EB1C53" w:rsidRDefault="00EB1C53" w:rsidP="00EB1C53">
      <w:pPr>
        <w:rPr>
          <w:rFonts w:ascii="Arial" w:hAnsi="Arial" w:cs="Arial"/>
          <w:lang w:val="en-US"/>
        </w:rPr>
      </w:pPr>
    </w:p>
    <w:p w14:paraId="75E7A90F" w14:textId="3012E7DD" w:rsidR="00FD4001" w:rsidRPr="00FD4001" w:rsidRDefault="00FD4001" w:rsidP="00FD4001">
      <w:pPr>
        <w:spacing w:line="480" w:lineRule="auto"/>
        <w:rPr>
          <w:rFonts w:ascii="Arial" w:hAnsi="Arial" w:cs="Arial"/>
          <w:b/>
          <w:i/>
          <w:lang w:val="en-US"/>
        </w:rPr>
      </w:pPr>
      <w:r w:rsidRPr="00FD4001">
        <w:rPr>
          <w:rFonts w:ascii="Arial" w:hAnsi="Arial" w:cs="Arial"/>
          <w:b/>
          <w:i/>
          <w:lang w:val="en-US"/>
        </w:rPr>
        <w:t>Interpretation of section 71(5)</w:t>
      </w:r>
    </w:p>
    <w:p w14:paraId="0D1DCBE4" w14:textId="77777777" w:rsidR="00064C3A" w:rsidRDefault="00064C3A" w:rsidP="00064C3A">
      <w:pPr>
        <w:pStyle w:val="ListParagraph"/>
        <w:ind w:left="709"/>
        <w:rPr>
          <w:rFonts w:ascii="Arial" w:hAnsi="Arial" w:cs="Arial"/>
          <w:lang w:val="en-US"/>
        </w:rPr>
      </w:pPr>
    </w:p>
    <w:p w14:paraId="0F072980" w14:textId="4741700A" w:rsidR="00274E9D" w:rsidRPr="00AE5D49" w:rsidRDefault="00AE5D49" w:rsidP="00AE5D49">
      <w:pPr>
        <w:spacing w:line="480" w:lineRule="auto"/>
        <w:ind w:left="709" w:hanging="709"/>
        <w:rPr>
          <w:rFonts w:ascii="Arial" w:hAnsi="Arial" w:cs="Arial"/>
          <w:lang w:val="en-US"/>
        </w:rPr>
      </w:pPr>
      <w:r w:rsidRPr="00274E9D">
        <w:rPr>
          <w:rFonts w:ascii="Arial" w:hAnsi="Arial" w:cs="Arial"/>
          <w:lang w:val="en-US"/>
        </w:rPr>
        <w:lastRenderedPageBreak/>
        <w:t>[52]</w:t>
      </w:r>
      <w:r w:rsidRPr="00274E9D">
        <w:rPr>
          <w:rFonts w:ascii="Arial" w:hAnsi="Arial" w:cs="Arial"/>
          <w:lang w:val="en-US"/>
        </w:rPr>
        <w:tab/>
      </w:r>
      <w:r w:rsidR="00274E9D" w:rsidRPr="00AE5D49">
        <w:rPr>
          <w:rFonts w:ascii="Arial" w:hAnsi="Arial" w:cs="Arial"/>
          <w:lang w:val="en-US"/>
        </w:rPr>
        <w:t>The Constitution requires a purposive approach to statutory interpretation.</w:t>
      </w:r>
      <w:r w:rsidR="00274E9D" w:rsidRPr="004531AC">
        <w:rPr>
          <w:rStyle w:val="FootnoteReference"/>
          <w:rFonts w:ascii="Arial" w:hAnsi="Arial" w:cs="Arial"/>
          <w:lang w:val="en-US"/>
        </w:rPr>
        <w:footnoteReference w:id="15"/>
      </w:r>
      <w:r w:rsidR="00274E9D" w:rsidRPr="00AE5D49">
        <w:rPr>
          <w:rFonts w:ascii="Arial" w:hAnsi="Arial" w:cs="Arial"/>
          <w:lang w:val="en-US"/>
        </w:rPr>
        <w:t xml:space="preserve"> In </w:t>
      </w:r>
      <w:r w:rsidR="00274E9D" w:rsidRPr="00AE5D49">
        <w:rPr>
          <w:rFonts w:ascii="Times" w:hAnsi="Times" w:cs="Arial"/>
          <w:i/>
          <w:sz w:val="26"/>
          <w:szCs w:val="26"/>
          <w:lang w:val="en-US"/>
        </w:rPr>
        <w:t>Bato Star Fishing (Pty) Ltd v Minister of Environmental Affairs and Tourism and Others</w:t>
      </w:r>
      <w:r w:rsidR="00274E9D" w:rsidRPr="00AE5D49">
        <w:rPr>
          <w:rFonts w:ascii="Arial" w:hAnsi="Arial" w:cs="Arial"/>
          <w:lang w:val="en-US"/>
        </w:rPr>
        <w:t>,</w:t>
      </w:r>
      <w:r w:rsidR="00274E9D">
        <w:rPr>
          <w:rStyle w:val="FootnoteReference"/>
          <w:rFonts w:ascii="Arial" w:hAnsi="Arial" w:cs="Arial"/>
          <w:lang w:val="en-US"/>
        </w:rPr>
        <w:footnoteReference w:id="16"/>
      </w:r>
      <w:r w:rsidR="00274E9D" w:rsidRPr="00AE5D49">
        <w:rPr>
          <w:rFonts w:ascii="Arial" w:hAnsi="Arial" w:cs="Arial"/>
          <w:lang w:val="en-US"/>
        </w:rPr>
        <w:t xml:space="preserve"> Ngcobo J stated:</w:t>
      </w:r>
    </w:p>
    <w:p w14:paraId="20CFBDB0" w14:textId="77777777" w:rsidR="00274E9D" w:rsidRPr="00A341A5" w:rsidRDefault="00274E9D" w:rsidP="00274E9D">
      <w:pPr>
        <w:autoSpaceDE w:val="0"/>
        <w:autoSpaceDN w:val="0"/>
        <w:adjustRightInd w:val="0"/>
        <w:spacing w:line="360" w:lineRule="auto"/>
        <w:ind w:firstLine="1276"/>
        <w:rPr>
          <w:rFonts w:ascii="Times" w:hAnsi="Times" w:cs="Arial"/>
          <w:i/>
          <w:lang w:val="en-US"/>
        </w:rPr>
      </w:pPr>
      <w:r w:rsidRPr="00A341A5">
        <w:rPr>
          <w:rFonts w:ascii="Times" w:hAnsi="Times" w:cs="Arial"/>
          <w:i/>
          <w:lang w:val="en-US"/>
        </w:rPr>
        <w:t>“The technique of paying attention to context in statutory construction is now</w:t>
      </w:r>
    </w:p>
    <w:p w14:paraId="5CACD207" w14:textId="77777777" w:rsidR="00274E9D" w:rsidRPr="00A341A5" w:rsidRDefault="00274E9D" w:rsidP="00274E9D">
      <w:pPr>
        <w:autoSpaceDE w:val="0"/>
        <w:autoSpaceDN w:val="0"/>
        <w:adjustRightInd w:val="0"/>
        <w:spacing w:line="360" w:lineRule="auto"/>
        <w:ind w:firstLine="1276"/>
        <w:rPr>
          <w:rFonts w:ascii="Times" w:hAnsi="Times" w:cs="Arial"/>
          <w:i/>
          <w:lang w:val="en-US"/>
        </w:rPr>
      </w:pPr>
      <w:r w:rsidRPr="00A341A5">
        <w:rPr>
          <w:rFonts w:ascii="Times" w:hAnsi="Times" w:cs="Arial"/>
          <w:i/>
          <w:lang w:val="en-US"/>
        </w:rPr>
        <w:t>required by the Constitution, in particular, s 39(2). As pointed out above, that</w:t>
      </w:r>
    </w:p>
    <w:p w14:paraId="0BFF1399" w14:textId="053D3072" w:rsidR="00274E9D" w:rsidRPr="00274E9D" w:rsidRDefault="00274E9D" w:rsidP="00274E9D">
      <w:pPr>
        <w:autoSpaceDE w:val="0"/>
        <w:autoSpaceDN w:val="0"/>
        <w:adjustRightInd w:val="0"/>
        <w:spacing w:line="360" w:lineRule="auto"/>
        <w:ind w:left="1276"/>
        <w:rPr>
          <w:rFonts w:ascii="Times" w:hAnsi="Times" w:cs="Arial"/>
          <w:i/>
          <w:lang w:val="en-US"/>
        </w:rPr>
      </w:pPr>
      <w:r w:rsidRPr="00A341A5">
        <w:rPr>
          <w:rFonts w:ascii="Times" w:hAnsi="Times" w:cs="Arial"/>
          <w:i/>
          <w:lang w:val="en-US"/>
        </w:rPr>
        <w:t>provision introduces a mandatory requirement to construe every piece of legislation in a manner that promotes the ‘spirit, purport and objects of the Bill of Rights.</w:t>
      </w:r>
      <w:r w:rsidR="00A341A5">
        <w:rPr>
          <w:rFonts w:ascii="Times" w:hAnsi="Times" w:cs="Arial"/>
          <w:i/>
          <w:lang w:val="en-US"/>
        </w:rPr>
        <w:t>”</w:t>
      </w:r>
    </w:p>
    <w:p w14:paraId="13323430" w14:textId="77777777" w:rsidR="00064C3A" w:rsidRPr="00064C3A" w:rsidRDefault="00064C3A" w:rsidP="00064C3A">
      <w:pPr>
        <w:rPr>
          <w:rFonts w:ascii="Arial" w:hAnsi="Arial" w:cs="Arial"/>
          <w:lang w:val="en-US"/>
        </w:rPr>
      </w:pPr>
    </w:p>
    <w:p w14:paraId="33219D88" w14:textId="73D4AB01" w:rsidR="00274E9D" w:rsidRPr="00AE5D49" w:rsidRDefault="00AE5D49" w:rsidP="00AE5D49">
      <w:pPr>
        <w:spacing w:line="480" w:lineRule="auto"/>
        <w:ind w:left="709" w:hanging="709"/>
        <w:rPr>
          <w:rFonts w:ascii="Arial" w:hAnsi="Arial" w:cs="Arial"/>
          <w:lang w:val="en-US"/>
        </w:rPr>
      </w:pPr>
      <w:r>
        <w:rPr>
          <w:rFonts w:ascii="Arial" w:hAnsi="Arial" w:cs="Arial"/>
          <w:lang w:val="en-US"/>
        </w:rPr>
        <w:t>[53]</w:t>
      </w:r>
      <w:r>
        <w:rPr>
          <w:rFonts w:ascii="Arial" w:hAnsi="Arial" w:cs="Arial"/>
          <w:lang w:val="en-US"/>
        </w:rPr>
        <w:tab/>
      </w:r>
      <w:r w:rsidR="00274E9D" w:rsidRPr="00AE5D49">
        <w:rPr>
          <w:rFonts w:ascii="Arial" w:hAnsi="Arial" w:cs="Arial"/>
          <w:lang w:val="en-US"/>
        </w:rPr>
        <w:t>This approach is one that has been applied to varying degrees by our courts under the common law</w:t>
      </w:r>
      <w:r w:rsidR="00274E9D">
        <w:rPr>
          <w:rStyle w:val="FootnoteReference"/>
          <w:rFonts w:ascii="Arial" w:hAnsi="Arial" w:cs="Arial"/>
          <w:lang w:val="en-US"/>
        </w:rPr>
        <w:footnoteReference w:id="17"/>
      </w:r>
      <w:r w:rsidR="00230CFC" w:rsidRPr="00AE5D49">
        <w:rPr>
          <w:rFonts w:ascii="Arial" w:hAnsi="Arial" w:cs="Arial"/>
          <w:lang w:val="en-US"/>
        </w:rPr>
        <w:t xml:space="preserve"> and t</w:t>
      </w:r>
      <w:r w:rsidR="00274E9D" w:rsidRPr="00AE5D49">
        <w:rPr>
          <w:rFonts w:ascii="Arial" w:hAnsi="Arial" w:cs="Arial"/>
          <w:lang w:val="en-US"/>
        </w:rPr>
        <w:t>he purpose of a statute plays an important role in establishing a context that clarifies the scope and intended effect of a law.</w:t>
      </w:r>
      <w:r w:rsidR="00274E9D">
        <w:rPr>
          <w:rStyle w:val="FootnoteReference"/>
          <w:rFonts w:ascii="Arial" w:hAnsi="Arial" w:cs="Arial"/>
          <w:lang w:val="en-US"/>
        </w:rPr>
        <w:footnoteReference w:id="18"/>
      </w:r>
    </w:p>
    <w:p w14:paraId="3868A3DD" w14:textId="77777777" w:rsidR="00064C3A" w:rsidRDefault="00064C3A" w:rsidP="00064C3A">
      <w:pPr>
        <w:pStyle w:val="ListParagraph"/>
        <w:ind w:left="709"/>
        <w:rPr>
          <w:rFonts w:ascii="Arial" w:hAnsi="Arial" w:cs="Arial"/>
          <w:lang w:val="en-US"/>
        </w:rPr>
      </w:pPr>
    </w:p>
    <w:p w14:paraId="79DF889B" w14:textId="679AE865" w:rsidR="00274E9D" w:rsidRPr="00AE5D49" w:rsidRDefault="00AE5D49" w:rsidP="00AE5D49">
      <w:pPr>
        <w:spacing w:line="480" w:lineRule="auto"/>
        <w:ind w:left="709" w:hanging="709"/>
        <w:rPr>
          <w:rFonts w:ascii="Arial" w:hAnsi="Arial" w:cs="Arial"/>
          <w:lang w:val="en-US"/>
        </w:rPr>
      </w:pPr>
      <w:r w:rsidRPr="00064C3A">
        <w:rPr>
          <w:rFonts w:ascii="Arial" w:hAnsi="Arial" w:cs="Arial"/>
          <w:lang w:val="en-US"/>
        </w:rPr>
        <w:t>[54]</w:t>
      </w:r>
      <w:r w:rsidRPr="00064C3A">
        <w:rPr>
          <w:rFonts w:ascii="Arial" w:hAnsi="Arial" w:cs="Arial"/>
          <w:lang w:val="en-US"/>
        </w:rPr>
        <w:tab/>
      </w:r>
      <w:r w:rsidR="00FD4001" w:rsidRPr="00AE5D49">
        <w:rPr>
          <w:rFonts w:ascii="Arial" w:hAnsi="Arial" w:cs="Arial"/>
          <w:lang w:val="en-US"/>
        </w:rPr>
        <w:t>In t</w:t>
      </w:r>
      <w:r w:rsidR="00274E9D" w:rsidRPr="00AE5D49">
        <w:rPr>
          <w:rFonts w:ascii="Arial" w:hAnsi="Arial" w:cs="Arial"/>
          <w:lang w:val="en-US"/>
        </w:rPr>
        <w:t xml:space="preserve">he dissenting judgment of Schreiner JA in </w:t>
      </w:r>
      <w:r w:rsidR="00274E9D" w:rsidRPr="00AE5D49">
        <w:rPr>
          <w:rFonts w:ascii="Times" w:hAnsi="Times" w:cs="Arial"/>
          <w:i/>
          <w:sz w:val="26"/>
          <w:szCs w:val="26"/>
          <w:lang w:val="en-US"/>
        </w:rPr>
        <w:t>Jaga v Dönges, NO and Another</w:t>
      </w:r>
      <w:r w:rsidR="00274E9D" w:rsidRPr="00AE5D49">
        <w:rPr>
          <w:rFonts w:ascii="Arial" w:hAnsi="Arial" w:cs="Arial"/>
          <w:lang w:val="en-US"/>
        </w:rPr>
        <w:t>,</w:t>
      </w:r>
      <w:r w:rsidR="00274E9D">
        <w:rPr>
          <w:rStyle w:val="FootnoteReference"/>
          <w:rFonts w:ascii="Arial" w:hAnsi="Arial" w:cs="Arial"/>
          <w:lang w:val="en-US"/>
        </w:rPr>
        <w:footnoteReference w:id="19"/>
      </w:r>
      <w:r w:rsidR="00274E9D" w:rsidRPr="00AE5D49">
        <w:rPr>
          <w:rFonts w:ascii="Arial" w:hAnsi="Arial" w:cs="Arial"/>
          <w:lang w:val="en-US"/>
        </w:rPr>
        <w:t xml:space="preserve"> cited </w:t>
      </w:r>
      <w:r w:rsidR="00FD4001" w:rsidRPr="00AE5D49">
        <w:rPr>
          <w:rFonts w:ascii="Arial" w:hAnsi="Arial" w:cs="Arial"/>
          <w:lang w:val="en-US"/>
        </w:rPr>
        <w:t xml:space="preserve">with approval </w:t>
      </w:r>
      <w:r w:rsidR="00274E9D" w:rsidRPr="00AE5D49">
        <w:rPr>
          <w:rFonts w:ascii="Arial" w:hAnsi="Arial" w:cs="Arial"/>
          <w:lang w:val="en-US"/>
        </w:rPr>
        <w:t xml:space="preserve">by Ngcobo J in </w:t>
      </w:r>
      <w:r w:rsidR="00274E9D" w:rsidRPr="00AE5D49">
        <w:rPr>
          <w:rFonts w:ascii="Times" w:hAnsi="Times" w:cs="Arial"/>
          <w:i/>
          <w:sz w:val="26"/>
          <w:szCs w:val="26"/>
          <w:lang w:val="en-US"/>
        </w:rPr>
        <w:t>Bato Star</w:t>
      </w:r>
      <w:r w:rsidR="00274E9D" w:rsidRPr="00AE5D49">
        <w:rPr>
          <w:rFonts w:ascii="Arial" w:hAnsi="Arial" w:cs="Arial"/>
          <w:lang w:val="en-US"/>
        </w:rPr>
        <w:t>,</w:t>
      </w:r>
      <w:r w:rsidR="00274E9D">
        <w:rPr>
          <w:rStyle w:val="FootnoteReference"/>
          <w:rFonts w:ascii="Arial" w:hAnsi="Arial" w:cs="Arial"/>
          <w:lang w:val="en-US"/>
        </w:rPr>
        <w:footnoteReference w:id="20"/>
      </w:r>
      <w:r w:rsidR="00274E9D" w:rsidRPr="00AE5D49">
        <w:rPr>
          <w:rFonts w:ascii="Arial" w:hAnsi="Arial" w:cs="Arial"/>
          <w:lang w:val="en-US"/>
        </w:rPr>
        <w:t xml:space="preserve"> articulates the importance of context in statutory interpretation:</w:t>
      </w:r>
    </w:p>
    <w:p w14:paraId="35CD571F" w14:textId="6557FAF8" w:rsidR="00064C3A" w:rsidRDefault="00274E9D" w:rsidP="00274E9D">
      <w:pPr>
        <w:autoSpaceDE w:val="0"/>
        <w:autoSpaceDN w:val="0"/>
        <w:adjustRightInd w:val="0"/>
        <w:spacing w:line="360" w:lineRule="auto"/>
        <w:ind w:left="1276"/>
        <w:rPr>
          <w:rFonts w:ascii="Arial" w:hAnsi="Arial" w:cs="Arial"/>
          <w:i/>
          <w:lang w:val="en-US"/>
        </w:rPr>
      </w:pPr>
      <w:r w:rsidRPr="00064C3A">
        <w:rPr>
          <w:rFonts w:ascii="Times" w:hAnsi="Times" w:cs="Arial"/>
          <w:i/>
          <w:lang w:val="en-US"/>
        </w:rPr>
        <w:t xml:space="preserve">“Certainly no less important than the oft repeated statement that the </w:t>
      </w:r>
      <w:r w:rsidRPr="00064C3A">
        <w:rPr>
          <w:rFonts w:ascii="Times" w:hAnsi="Times" w:cs="Arial"/>
          <w:b/>
          <w:i/>
          <w:lang w:val="en-US"/>
        </w:rPr>
        <w:t>words and expressions used in a statute must be interpreted according to their ordinary meaning</w:t>
      </w:r>
      <w:r w:rsidRPr="00064C3A">
        <w:rPr>
          <w:rFonts w:ascii="Times" w:hAnsi="Times" w:cs="Arial"/>
          <w:i/>
          <w:lang w:val="en-US"/>
        </w:rPr>
        <w:t xml:space="preserve"> is the statement that </w:t>
      </w:r>
      <w:r w:rsidRPr="00064C3A">
        <w:rPr>
          <w:rFonts w:ascii="Times" w:hAnsi="Times" w:cs="Arial"/>
          <w:b/>
          <w:i/>
          <w:lang w:val="en-US"/>
        </w:rPr>
        <w:t>they must be interpreted in the light of their context.</w:t>
      </w:r>
      <w:r w:rsidRPr="00064C3A">
        <w:rPr>
          <w:rFonts w:ascii="Times" w:hAnsi="Times" w:cs="Arial"/>
          <w:i/>
          <w:lang w:val="en-US"/>
        </w:rPr>
        <w:t xml:space="preserve"> But it may be useful to stress two points in relation to the application of this principle. </w:t>
      </w:r>
      <w:r w:rsidRPr="00064C3A">
        <w:rPr>
          <w:rFonts w:ascii="Times" w:hAnsi="Times" w:cs="Arial"/>
          <w:b/>
          <w:i/>
          <w:lang w:val="en-US"/>
        </w:rPr>
        <w:t xml:space="preserve">The first is that ‘the context’, as here used, is not limited to the language of the rest of the statute regarded as throwing light of a dictionary kind on the part to be interpreted. Often of more importance is the matter of </w:t>
      </w:r>
      <w:r w:rsidRPr="00064C3A">
        <w:rPr>
          <w:rFonts w:ascii="Times" w:hAnsi="Times" w:cs="Arial"/>
          <w:b/>
          <w:i/>
          <w:lang w:val="en-US"/>
        </w:rPr>
        <w:lastRenderedPageBreak/>
        <w:t>the statute, its apparent scope and purpose, and within limits, its background.</w:t>
      </w:r>
      <w:r w:rsidRPr="00064C3A">
        <w:rPr>
          <w:rFonts w:ascii="Times" w:hAnsi="Times" w:cs="Arial"/>
          <w:i/>
          <w:lang w:val="en-US"/>
        </w:rPr>
        <w:t>”</w:t>
      </w:r>
      <w:r w:rsidRPr="001935B3">
        <w:rPr>
          <w:rStyle w:val="FootnoteReference"/>
          <w:rFonts w:ascii="Arial" w:hAnsi="Arial" w:cs="Arial"/>
          <w:i/>
          <w:lang w:val="en-US"/>
        </w:rPr>
        <w:footnoteReference w:id="21"/>
      </w:r>
    </w:p>
    <w:p w14:paraId="6C2A1C0B" w14:textId="08067E1D" w:rsidR="00274E9D" w:rsidRPr="00064C3A" w:rsidRDefault="00064C3A" w:rsidP="00064C3A">
      <w:pPr>
        <w:autoSpaceDE w:val="0"/>
        <w:autoSpaceDN w:val="0"/>
        <w:adjustRightInd w:val="0"/>
        <w:spacing w:line="360" w:lineRule="auto"/>
        <w:ind w:firstLine="709"/>
        <w:rPr>
          <w:rFonts w:ascii="Arial" w:hAnsi="Arial" w:cs="Arial"/>
          <w:lang w:val="en-US"/>
        </w:rPr>
      </w:pPr>
      <w:r>
        <w:rPr>
          <w:rFonts w:ascii="Arial" w:hAnsi="Arial" w:cs="Arial"/>
          <w:lang w:val="en-US"/>
        </w:rPr>
        <w:t>[E</w:t>
      </w:r>
      <w:r w:rsidR="00274E9D">
        <w:rPr>
          <w:rFonts w:ascii="Arial" w:hAnsi="Arial" w:cs="Arial"/>
          <w:lang w:val="en-US"/>
        </w:rPr>
        <w:t>mphasis</w:t>
      </w:r>
      <w:r>
        <w:rPr>
          <w:rFonts w:ascii="Arial" w:hAnsi="Arial" w:cs="Arial"/>
          <w:lang w:val="en-US"/>
        </w:rPr>
        <w:t xml:space="preserve"> added</w:t>
      </w:r>
      <w:r w:rsidR="00274E9D">
        <w:rPr>
          <w:rFonts w:ascii="Arial" w:hAnsi="Arial" w:cs="Arial"/>
          <w:lang w:val="en-US"/>
        </w:rPr>
        <w:t>]</w:t>
      </w:r>
    </w:p>
    <w:p w14:paraId="4FD2C1FB" w14:textId="77777777" w:rsidR="006F36BA" w:rsidRPr="00B067E5" w:rsidRDefault="006F36BA" w:rsidP="006F36BA">
      <w:pPr>
        <w:rPr>
          <w:rFonts w:ascii="Arial" w:hAnsi="Arial" w:cs="Arial"/>
          <w:lang w:val="en-US"/>
        </w:rPr>
      </w:pPr>
    </w:p>
    <w:p w14:paraId="417B155B" w14:textId="60BF773A" w:rsidR="001C7BE2" w:rsidRPr="00AE5D49" w:rsidRDefault="00AE5D49" w:rsidP="00AE5D49">
      <w:pPr>
        <w:spacing w:line="480" w:lineRule="auto"/>
        <w:ind w:left="709" w:hanging="709"/>
        <w:rPr>
          <w:rFonts w:ascii="Arial" w:hAnsi="Arial" w:cs="Arial"/>
          <w:lang w:val="en-US"/>
        </w:rPr>
      </w:pPr>
      <w:r w:rsidRPr="00693280">
        <w:rPr>
          <w:rFonts w:ascii="Arial" w:hAnsi="Arial" w:cs="Arial"/>
          <w:lang w:val="en-US"/>
        </w:rPr>
        <w:t>[55]</w:t>
      </w:r>
      <w:r w:rsidRPr="00693280">
        <w:rPr>
          <w:rFonts w:ascii="Arial" w:hAnsi="Arial" w:cs="Arial"/>
          <w:lang w:val="en-US"/>
        </w:rPr>
        <w:tab/>
      </w:r>
      <w:r w:rsidR="00B067E5" w:rsidRPr="00AE5D49">
        <w:rPr>
          <w:rFonts w:ascii="Arial" w:hAnsi="Arial" w:cs="Arial"/>
          <w:lang w:val="en-US"/>
        </w:rPr>
        <w:t>This being said, it is clear that</w:t>
      </w:r>
      <w:r w:rsidR="00B26ED7" w:rsidRPr="00AE5D49">
        <w:rPr>
          <w:rFonts w:ascii="Arial" w:hAnsi="Arial" w:cs="Arial"/>
          <w:lang w:val="en-US"/>
        </w:rPr>
        <w:t xml:space="preserve"> </w:t>
      </w:r>
      <w:r w:rsidR="0018141A" w:rsidRPr="00AE5D49">
        <w:rPr>
          <w:rFonts w:ascii="Arial" w:hAnsi="Arial" w:cs="Arial"/>
          <w:lang w:val="en-US"/>
        </w:rPr>
        <w:t>the intent must be found in the wording of the enactment</w:t>
      </w:r>
      <w:r w:rsidR="00C23089" w:rsidRPr="00AE5D49">
        <w:rPr>
          <w:rFonts w:ascii="Arial" w:hAnsi="Arial" w:cs="Arial"/>
          <w:lang w:val="en-US"/>
        </w:rPr>
        <w:t>.</w:t>
      </w:r>
    </w:p>
    <w:p w14:paraId="0A3042F6" w14:textId="77777777" w:rsidR="001C78CF" w:rsidRDefault="001C78CF" w:rsidP="001C78CF">
      <w:pPr>
        <w:pStyle w:val="ListParagraph"/>
        <w:ind w:left="709"/>
        <w:rPr>
          <w:rFonts w:ascii="Arial" w:hAnsi="Arial" w:cs="Arial"/>
          <w:lang w:val="en-US"/>
        </w:rPr>
      </w:pPr>
    </w:p>
    <w:p w14:paraId="78858C57" w14:textId="47872747" w:rsidR="001C78CF" w:rsidRPr="00AE5D49" w:rsidRDefault="00AE5D49" w:rsidP="00AE5D49">
      <w:pPr>
        <w:spacing w:line="480" w:lineRule="auto"/>
        <w:ind w:left="709" w:hanging="709"/>
        <w:rPr>
          <w:rFonts w:ascii="Arial" w:hAnsi="Arial" w:cs="Arial"/>
          <w:lang w:val="en-US"/>
        </w:rPr>
      </w:pPr>
      <w:r>
        <w:rPr>
          <w:rFonts w:ascii="Arial" w:hAnsi="Arial" w:cs="Arial"/>
          <w:lang w:val="en-US"/>
        </w:rPr>
        <w:t>[56]</w:t>
      </w:r>
      <w:r>
        <w:rPr>
          <w:rFonts w:ascii="Arial" w:hAnsi="Arial" w:cs="Arial"/>
          <w:lang w:val="en-US"/>
        </w:rPr>
        <w:tab/>
      </w:r>
      <w:r w:rsidR="00FD4001" w:rsidRPr="00AE5D49">
        <w:rPr>
          <w:rFonts w:ascii="Arial" w:hAnsi="Arial" w:cs="Arial"/>
          <w:lang w:val="en-US"/>
        </w:rPr>
        <w:t>From sub-s</w:t>
      </w:r>
      <w:r w:rsidR="00AE38C9" w:rsidRPr="00AE5D49">
        <w:rPr>
          <w:rFonts w:ascii="Arial" w:hAnsi="Arial" w:cs="Arial"/>
          <w:lang w:val="en-US"/>
        </w:rPr>
        <w:t>ection</w:t>
      </w:r>
      <w:r w:rsidR="00FD4001" w:rsidRPr="00AE5D49">
        <w:rPr>
          <w:rFonts w:ascii="Arial" w:hAnsi="Arial" w:cs="Arial"/>
          <w:lang w:val="en-US"/>
        </w:rPr>
        <w:t xml:space="preserve"> </w:t>
      </w:r>
      <w:r w:rsidR="00F54EE1" w:rsidRPr="00AE5D49">
        <w:rPr>
          <w:rFonts w:ascii="Arial" w:hAnsi="Arial" w:cs="Arial"/>
          <w:lang w:val="en-US"/>
        </w:rPr>
        <w:t>(5) quoted above</w:t>
      </w:r>
      <w:r w:rsidR="00FD4001" w:rsidRPr="00AE5D49">
        <w:rPr>
          <w:rFonts w:ascii="Arial" w:hAnsi="Arial" w:cs="Arial"/>
          <w:lang w:val="en-US"/>
        </w:rPr>
        <w:t>,</w:t>
      </w:r>
      <w:r w:rsidR="00F54EE1" w:rsidRPr="00AE5D49">
        <w:rPr>
          <w:rFonts w:ascii="Arial" w:hAnsi="Arial" w:cs="Arial"/>
          <w:lang w:val="en-US"/>
        </w:rPr>
        <w:t xml:space="preserve"> </w:t>
      </w:r>
      <w:r w:rsidR="00FD4001" w:rsidRPr="00AE5D49">
        <w:rPr>
          <w:rFonts w:ascii="Arial" w:hAnsi="Arial" w:cs="Arial"/>
          <w:lang w:val="en-US"/>
        </w:rPr>
        <w:t>i</w:t>
      </w:r>
      <w:r w:rsidR="00F54EE1" w:rsidRPr="00AE5D49">
        <w:rPr>
          <w:rFonts w:ascii="Arial" w:hAnsi="Arial" w:cs="Arial"/>
          <w:lang w:val="en-US"/>
        </w:rPr>
        <w:t xml:space="preserve">t is clear that the director or person who appointed him/her, my have the decision </w:t>
      </w:r>
      <w:r w:rsidR="00FD4001" w:rsidRPr="00AE5D49">
        <w:rPr>
          <w:rFonts w:ascii="Arial" w:hAnsi="Arial" w:cs="Arial"/>
          <w:lang w:val="en-US"/>
        </w:rPr>
        <w:t>to remove that director</w:t>
      </w:r>
      <w:r w:rsidR="0050784F" w:rsidRPr="00AE5D49">
        <w:rPr>
          <w:rFonts w:ascii="Arial" w:hAnsi="Arial" w:cs="Arial"/>
          <w:lang w:val="en-US"/>
        </w:rPr>
        <w:t>,</w:t>
      </w:r>
      <w:r w:rsidR="00FD4001" w:rsidRPr="00AE5D49">
        <w:rPr>
          <w:rFonts w:ascii="Arial" w:hAnsi="Arial" w:cs="Arial"/>
          <w:lang w:val="en-US"/>
        </w:rPr>
        <w:t xml:space="preserve"> </w:t>
      </w:r>
      <w:r w:rsidR="00F54EE1" w:rsidRPr="00AE5D49">
        <w:rPr>
          <w:rFonts w:ascii="Arial" w:hAnsi="Arial" w:cs="Arial"/>
          <w:lang w:val="en-US"/>
        </w:rPr>
        <w:t xml:space="preserve">reviewed. </w:t>
      </w:r>
      <w:r w:rsidR="00A341A5" w:rsidRPr="00AE5D49">
        <w:rPr>
          <w:rFonts w:ascii="Arial" w:hAnsi="Arial" w:cs="Arial"/>
          <w:lang w:val="en-US"/>
        </w:rPr>
        <w:t>The question</w:t>
      </w:r>
      <w:r w:rsidR="00FD4001" w:rsidRPr="00AE5D49">
        <w:rPr>
          <w:rFonts w:ascii="Arial" w:hAnsi="Arial" w:cs="Arial"/>
          <w:lang w:val="en-US"/>
        </w:rPr>
        <w:t xml:space="preserve"> here</w:t>
      </w:r>
      <w:r w:rsidR="00A341A5" w:rsidRPr="00AE5D49">
        <w:rPr>
          <w:rFonts w:ascii="Arial" w:hAnsi="Arial" w:cs="Arial"/>
          <w:lang w:val="en-US"/>
        </w:rPr>
        <w:t xml:space="preserve"> is </w:t>
      </w:r>
      <w:r w:rsidR="00FD4001" w:rsidRPr="00AE5D49">
        <w:rPr>
          <w:rFonts w:ascii="Arial" w:hAnsi="Arial" w:cs="Arial"/>
          <w:lang w:val="en-US"/>
        </w:rPr>
        <w:t>however</w:t>
      </w:r>
      <w:r w:rsidR="00EB1C53" w:rsidRPr="00AE5D49">
        <w:rPr>
          <w:rFonts w:ascii="Arial" w:hAnsi="Arial" w:cs="Arial"/>
          <w:lang w:val="en-US"/>
        </w:rPr>
        <w:t>,</w:t>
      </w:r>
      <w:r w:rsidR="00FD4001" w:rsidRPr="00AE5D49">
        <w:rPr>
          <w:rFonts w:ascii="Arial" w:hAnsi="Arial" w:cs="Arial"/>
          <w:lang w:val="en-US"/>
        </w:rPr>
        <w:t xml:space="preserve"> </w:t>
      </w:r>
      <w:r w:rsidR="00A341A5" w:rsidRPr="00AE5D49">
        <w:rPr>
          <w:rFonts w:ascii="Arial" w:hAnsi="Arial" w:cs="Arial"/>
          <w:lang w:val="en-US"/>
        </w:rPr>
        <w:t>w</w:t>
      </w:r>
      <w:r w:rsidR="00F54EE1" w:rsidRPr="00AE5D49">
        <w:rPr>
          <w:rFonts w:ascii="Arial" w:hAnsi="Arial" w:cs="Arial"/>
          <w:lang w:val="en-US"/>
        </w:rPr>
        <w:t xml:space="preserve">hat </w:t>
      </w:r>
      <w:r w:rsidR="00A341A5" w:rsidRPr="00AE5D49">
        <w:rPr>
          <w:rFonts w:ascii="Arial" w:hAnsi="Arial" w:cs="Arial"/>
          <w:lang w:val="en-US"/>
        </w:rPr>
        <w:t>procedure the</w:t>
      </w:r>
      <w:r w:rsidR="00F54EE1" w:rsidRPr="00AE5D49">
        <w:rPr>
          <w:rFonts w:ascii="Arial" w:hAnsi="Arial" w:cs="Arial"/>
          <w:lang w:val="en-US"/>
        </w:rPr>
        <w:t xml:space="preserve"> </w:t>
      </w:r>
      <w:r w:rsidR="00A341A5" w:rsidRPr="00AE5D49">
        <w:rPr>
          <w:rFonts w:ascii="Arial" w:hAnsi="Arial" w:cs="Arial"/>
          <w:lang w:val="en-US"/>
        </w:rPr>
        <w:t xml:space="preserve">applicant </w:t>
      </w:r>
      <w:r w:rsidR="00FD4001" w:rsidRPr="00AE5D49">
        <w:rPr>
          <w:rFonts w:ascii="Arial" w:hAnsi="Arial" w:cs="Arial"/>
          <w:lang w:val="en-US"/>
        </w:rPr>
        <w:t xml:space="preserve">may or must </w:t>
      </w:r>
      <w:r w:rsidR="00A341A5" w:rsidRPr="00AE5D49">
        <w:rPr>
          <w:rFonts w:ascii="Arial" w:hAnsi="Arial" w:cs="Arial"/>
          <w:lang w:val="en-US"/>
        </w:rPr>
        <w:t xml:space="preserve">utilise? </w:t>
      </w:r>
    </w:p>
    <w:p w14:paraId="5A9E989F" w14:textId="77777777" w:rsidR="00F54EE1" w:rsidRPr="00F54EE1" w:rsidRDefault="00F54EE1" w:rsidP="00F54EE1">
      <w:pPr>
        <w:pStyle w:val="ListParagraph"/>
        <w:rPr>
          <w:rFonts w:ascii="Arial" w:hAnsi="Arial" w:cs="Arial"/>
          <w:lang w:val="en-US"/>
        </w:rPr>
      </w:pPr>
    </w:p>
    <w:p w14:paraId="58D2E105" w14:textId="018F9C0F" w:rsidR="007E4B3F" w:rsidRPr="00AE5D49" w:rsidRDefault="00AE5D49" w:rsidP="00AE5D49">
      <w:pPr>
        <w:spacing w:line="480" w:lineRule="auto"/>
        <w:ind w:left="709" w:hanging="709"/>
        <w:rPr>
          <w:rFonts w:ascii="Arial" w:hAnsi="Arial" w:cs="Arial"/>
          <w:lang w:val="en-US"/>
        </w:rPr>
      </w:pPr>
      <w:r>
        <w:rPr>
          <w:rFonts w:ascii="Arial" w:hAnsi="Arial" w:cs="Arial"/>
          <w:lang w:val="en-US"/>
        </w:rPr>
        <w:t>[57]</w:t>
      </w:r>
      <w:r>
        <w:rPr>
          <w:rFonts w:ascii="Arial" w:hAnsi="Arial" w:cs="Arial"/>
          <w:lang w:val="en-US"/>
        </w:rPr>
        <w:tab/>
      </w:r>
      <w:r w:rsidR="00DF696E" w:rsidRPr="00AE5D49">
        <w:rPr>
          <w:rFonts w:ascii="Arial" w:hAnsi="Arial" w:cs="Arial"/>
          <w:lang w:val="en-US"/>
        </w:rPr>
        <w:t>T</w:t>
      </w:r>
      <w:r w:rsidR="00F54EE1" w:rsidRPr="00AE5D49">
        <w:rPr>
          <w:rFonts w:ascii="Arial" w:hAnsi="Arial" w:cs="Arial"/>
          <w:lang w:val="en-US"/>
        </w:rPr>
        <w:t>he de</w:t>
      </w:r>
      <w:r w:rsidR="00FD4001" w:rsidRPr="00AE5D49">
        <w:rPr>
          <w:rFonts w:ascii="Arial" w:hAnsi="Arial" w:cs="Arial"/>
          <w:lang w:val="en-US"/>
        </w:rPr>
        <w:t>cision</w:t>
      </w:r>
      <w:r w:rsidR="00F54EE1" w:rsidRPr="00AE5D49">
        <w:rPr>
          <w:rFonts w:ascii="Arial" w:hAnsi="Arial" w:cs="Arial"/>
          <w:lang w:val="en-US"/>
        </w:rPr>
        <w:t xml:space="preserve"> </w:t>
      </w:r>
      <w:r w:rsidR="00A341A5" w:rsidRPr="00AE5D49">
        <w:rPr>
          <w:rFonts w:ascii="Arial" w:hAnsi="Arial" w:cs="Arial"/>
          <w:lang w:val="en-US"/>
        </w:rPr>
        <w:t xml:space="preserve">to remove the director </w:t>
      </w:r>
      <w:r w:rsidR="00F54EE1" w:rsidRPr="00AE5D49">
        <w:rPr>
          <w:rFonts w:ascii="Arial" w:hAnsi="Arial" w:cs="Arial"/>
          <w:lang w:val="en-US"/>
        </w:rPr>
        <w:t>must be made in terms of sub-section (3)</w:t>
      </w:r>
      <w:r w:rsidR="00DF696E" w:rsidRPr="00AE5D49">
        <w:rPr>
          <w:rFonts w:ascii="Arial" w:hAnsi="Arial" w:cs="Arial"/>
          <w:lang w:val="en-US"/>
        </w:rPr>
        <w:t>.</w:t>
      </w:r>
    </w:p>
    <w:p w14:paraId="2D0F59BB" w14:textId="77777777" w:rsidR="007E4B3F" w:rsidRPr="007E4B3F" w:rsidRDefault="007E4B3F" w:rsidP="007E4B3F">
      <w:pPr>
        <w:pStyle w:val="ListParagraph"/>
        <w:rPr>
          <w:rFonts w:ascii="Arial" w:hAnsi="Arial" w:cs="Arial"/>
          <w:lang w:val="en-US"/>
        </w:rPr>
      </w:pPr>
    </w:p>
    <w:p w14:paraId="37211A9F" w14:textId="270AAC34" w:rsidR="00DF696E" w:rsidRPr="00AE5D49" w:rsidRDefault="00AE5D49" w:rsidP="00AE5D49">
      <w:pPr>
        <w:spacing w:line="480" w:lineRule="auto"/>
        <w:ind w:left="709" w:hanging="709"/>
        <w:rPr>
          <w:rFonts w:ascii="Arial" w:hAnsi="Arial" w:cs="Arial"/>
          <w:lang w:val="en-US"/>
        </w:rPr>
      </w:pPr>
      <w:r w:rsidRPr="00DF696E">
        <w:rPr>
          <w:rFonts w:ascii="Arial" w:hAnsi="Arial" w:cs="Arial"/>
          <w:lang w:val="en-US"/>
        </w:rPr>
        <w:t>[58]</w:t>
      </w:r>
      <w:r w:rsidRPr="00DF696E">
        <w:rPr>
          <w:rFonts w:ascii="Arial" w:hAnsi="Arial" w:cs="Arial"/>
          <w:lang w:val="en-US"/>
        </w:rPr>
        <w:tab/>
      </w:r>
      <w:r w:rsidR="00F54EE1" w:rsidRPr="00AE5D49">
        <w:rPr>
          <w:rFonts w:ascii="Arial" w:hAnsi="Arial" w:cs="Arial"/>
          <w:lang w:val="en-US"/>
        </w:rPr>
        <w:t xml:space="preserve">Thus, the first requirement is that </w:t>
      </w:r>
      <w:r w:rsidR="00230CFC" w:rsidRPr="00AE5D49">
        <w:rPr>
          <w:rFonts w:ascii="Arial" w:hAnsi="Arial" w:cs="Arial"/>
          <w:lang w:val="en-US"/>
        </w:rPr>
        <w:t xml:space="preserve">at least </w:t>
      </w:r>
      <w:r w:rsidR="007E4B3F" w:rsidRPr="00AE5D49">
        <w:rPr>
          <w:rFonts w:ascii="Arial" w:hAnsi="Arial" w:cs="Arial"/>
          <w:lang w:val="en-US"/>
        </w:rPr>
        <w:t xml:space="preserve">an allegation </w:t>
      </w:r>
      <w:r w:rsidR="0050784F" w:rsidRPr="00AE5D49">
        <w:rPr>
          <w:rFonts w:ascii="Arial" w:hAnsi="Arial" w:cs="Arial"/>
          <w:lang w:val="en-US"/>
        </w:rPr>
        <w:t xml:space="preserve">must </w:t>
      </w:r>
      <w:r w:rsidR="007E4B3F" w:rsidRPr="00AE5D49">
        <w:rPr>
          <w:rFonts w:ascii="Arial" w:hAnsi="Arial" w:cs="Arial"/>
          <w:lang w:val="en-US"/>
        </w:rPr>
        <w:t xml:space="preserve">be made by a director or shareholder that the director </w:t>
      </w:r>
      <w:r w:rsidR="00DF696E" w:rsidRPr="00AE5D49">
        <w:rPr>
          <w:rFonts w:ascii="Arial" w:hAnsi="Arial" w:cs="Arial"/>
          <w:lang w:val="en-US"/>
        </w:rPr>
        <w:t xml:space="preserve">to be removed </w:t>
      </w:r>
      <w:r w:rsidR="00230CFC" w:rsidRPr="00AE5D49">
        <w:rPr>
          <w:rFonts w:ascii="Arial" w:hAnsi="Arial" w:cs="Arial"/>
          <w:lang w:val="en-US"/>
        </w:rPr>
        <w:t>or his actions fall within the categories set out therein. I do not need to decide wh</w:t>
      </w:r>
      <w:r w:rsidR="00DF696E" w:rsidRPr="00AE5D49">
        <w:rPr>
          <w:rFonts w:ascii="Arial" w:hAnsi="Arial" w:cs="Arial"/>
          <w:lang w:val="en-US"/>
        </w:rPr>
        <w:t>en the complaint or notice is to be made.</w:t>
      </w:r>
      <w:r w:rsidR="00230CFC" w:rsidRPr="00AE5D49">
        <w:rPr>
          <w:rFonts w:ascii="Arial" w:hAnsi="Arial" w:cs="Arial"/>
          <w:lang w:val="en-US"/>
        </w:rPr>
        <w:t xml:space="preserve"> I will call this the triggering event which may be an allegation that the director </w:t>
      </w:r>
      <w:r w:rsidR="007E4B3F" w:rsidRPr="00AE5D49">
        <w:rPr>
          <w:rFonts w:ascii="Times" w:hAnsi="Times" w:cs="Arial"/>
          <w:sz w:val="26"/>
          <w:szCs w:val="26"/>
          <w:lang w:val="en-US"/>
        </w:rPr>
        <w:t>“</w:t>
      </w:r>
      <w:r w:rsidR="007E4B3F" w:rsidRPr="00AE5D49">
        <w:rPr>
          <w:rFonts w:ascii="Times" w:hAnsi="Times" w:cs="Arial"/>
          <w:i/>
          <w:sz w:val="26"/>
          <w:szCs w:val="26"/>
        </w:rPr>
        <w:t>has neglected, or been derelict in the performance of, the functions of director....</w:t>
      </w:r>
      <w:r w:rsidR="00DF696E" w:rsidRPr="00AE5D49">
        <w:rPr>
          <w:rFonts w:ascii="Times" w:hAnsi="Times" w:cs="Arial"/>
          <w:i/>
          <w:sz w:val="26"/>
          <w:szCs w:val="26"/>
        </w:rPr>
        <w:t>”.</w:t>
      </w:r>
    </w:p>
    <w:p w14:paraId="0C070A53" w14:textId="77777777" w:rsidR="00DF696E" w:rsidRPr="00DF696E" w:rsidRDefault="00DF696E" w:rsidP="00DF696E">
      <w:pPr>
        <w:pStyle w:val="ListParagraph"/>
        <w:rPr>
          <w:rFonts w:ascii="Arial" w:hAnsi="Arial" w:cs="Arial"/>
        </w:rPr>
      </w:pPr>
    </w:p>
    <w:p w14:paraId="7DDEFC75" w14:textId="1C4AF568" w:rsidR="007E4B3F" w:rsidRPr="00AE5D49" w:rsidRDefault="00AE5D49" w:rsidP="00AE5D49">
      <w:pPr>
        <w:spacing w:line="480" w:lineRule="auto"/>
        <w:ind w:left="709" w:hanging="709"/>
        <w:rPr>
          <w:rFonts w:ascii="Arial" w:hAnsi="Arial" w:cs="Arial"/>
          <w:lang w:val="en-US"/>
        </w:rPr>
      </w:pPr>
      <w:r w:rsidRPr="00230CFC">
        <w:rPr>
          <w:rFonts w:ascii="Arial" w:hAnsi="Arial" w:cs="Arial"/>
          <w:lang w:val="en-US"/>
        </w:rPr>
        <w:t>[59]</w:t>
      </w:r>
      <w:r w:rsidRPr="00230CFC">
        <w:rPr>
          <w:rFonts w:ascii="Arial" w:hAnsi="Arial" w:cs="Arial"/>
          <w:lang w:val="en-US"/>
        </w:rPr>
        <w:tab/>
      </w:r>
      <w:r w:rsidR="00DF696E" w:rsidRPr="00AE5D49">
        <w:rPr>
          <w:rFonts w:ascii="Arial" w:hAnsi="Arial" w:cs="Arial"/>
        </w:rPr>
        <w:t>The second requirement is that of notice to the director, which notice must contain the reasons for the removal with sufficient specificity to enable the director to be removed to respond to the notice. I need similarly not deal with this issue.</w:t>
      </w:r>
    </w:p>
    <w:p w14:paraId="197E32E7" w14:textId="197398EB" w:rsidR="007E4B3F" w:rsidRDefault="007E4B3F" w:rsidP="007E4B3F">
      <w:pPr>
        <w:rPr>
          <w:rFonts w:ascii="Arial" w:hAnsi="Arial" w:cs="Arial"/>
          <w:lang w:val="en-US"/>
        </w:rPr>
      </w:pPr>
    </w:p>
    <w:p w14:paraId="6E599942" w14:textId="20C27AC3" w:rsidR="0050784F" w:rsidRPr="00AE5D49" w:rsidRDefault="00AE5D49" w:rsidP="00AE5D49">
      <w:pPr>
        <w:spacing w:line="480" w:lineRule="auto"/>
        <w:ind w:left="709" w:hanging="709"/>
        <w:rPr>
          <w:rFonts w:ascii="Arial" w:hAnsi="Arial" w:cs="Arial"/>
          <w:lang w:val="en-US"/>
        </w:rPr>
      </w:pPr>
      <w:r>
        <w:rPr>
          <w:rFonts w:ascii="Arial" w:hAnsi="Arial" w:cs="Arial"/>
          <w:lang w:val="en-US"/>
        </w:rPr>
        <w:lastRenderedPageBreak/>
        <w:t>[60]</w:t>
      </w:r>
      <w:r>
        <w:rPr>
          <w:rFonts w:ascii="Arial" w:hAnsi="Arial" w:cs="Arial"/>
          <w:lang w:val="en-US"/>
        </w:rPr>
        <w:tab/>
      </w:r>
      <w:r w:rsidR="0005036C" w:rsidRPr="00AE5D49">
        <w:rPr>
          <w:rFonts w:ascii="Arial" w:hAnsi="Arial" w:cs="Arial"/>
          <w:lang w:val="en-US"/>
        </w:rPr>
        <w:t>It is clear that t</w:t>
      </w:r>
      <w:r w:rsidR="001F194D" w:rsidRPr="00AE5D49">
        <w:rPr>
          <w:rFonts w:ascii="Arial" w:hAnsi="Arial" w:cs="Arial"/>
          <w:lang w:val="en-US"/>
        </w:rPr>
        <w:t xml:space="preserve">he procedural requirements set out in sub-section (4) must be followed before the </w:t>
      </w:r>
      <w:r w:rsidR="00F54EE1" w:rsidRPr="00AE5D49">
        <w:rPr>
          <w:rFonts w:ascii="Arial" w:hAnsi="Arial" w:cs="Arial"/>
          <w:lang w:val="en-US"/>
        </w:rPr>
        <w:t xml:space="preserve">determination </w:t>
      </w:r>
      <w:r w:rsidR="00230CFC" w:rsidRPr="00AE5D49">
        <w:rPr>
          <w:rFonts w:ascii="Arial" w:hAnsi="Arial" w:cs="Arial"/>
          <w:lang w:val="en-US"/>
        </w:rPr>
        <w:t xml:space="preserve">to remove the director </w:t>
      </w:r>
      <w:r w:rsidR="00EB1C53" w:rsidRPr="00AE5D49">
        <w:rPr>
          <w:rFonts w:ascii="Arial" w:hAnsi="Arial" w:cs="Arial"/>
          <w:lang w:val="en-US"/>
        </w:rPr>
        <w:t>can be</w:t>
      </w:r>
      <w:r w:rsidR="00F54EE1" w:rsidRPr="00AE5D49">
        <w:rPr>
          <w:rFonts w:ascii="Arial" w:hAnsi="Arial" w:cs="Arial"/>
          <w:lang w:val="en-US"/>
        </w:rPr>
        <w:t xml:space="preserve"> made</w:t>
      </w:r>
      <w:r w:rsidR="00230CFC" w:rsidRPr="00AE5D49">
        <w:rPr>
          <w:rFonts w:ascii="Arial" w:hAnsi="Arial" w:cs="Arial"/>
          <w:lang w:val="en-US"/>
        </w:rPr>
        <w:t>. That determination is made after notice and reasons containing sufficient specificity, is provided</w:t>
      </w:r>
      <w:r w:rsidR="00DF696E" w:rsidRPr="00AE5D49">
        <w:rPr>
          <w:rFonts w:ascii="Arial" w:hAnsi="Arial" w:cs="Arial"/>
          <w:lang w:val="en-US"/>
        </w:rPr>
        <w:t>. The reasons must be provided</w:t>
      </w:r>
      <w:r w:rsidR="00230CFC" w:rsidRPr="00AE5D49">
        <w:rPr>
          <w:rFonts w:ascii="Arial" w:hAnsi="Arial" w:cs="Arial"/>
          <w:lang w:val="en-US"/>
        </w:rPr>
        <w:t xml:space="preserve"> beforehand and the director or his representative </w:t>
      </w:r>
      <w:r w:rsidR="00DF696E" w:rsidRPr="00AE5D49">
        <w:rPr>
          <w:rFonts w:ascii="Arial" w:hAnsi="Arial" w:cs="Arial"/>
          <w:lang w:val="en-US"/>
        </w:rPr>
        <w:t>must be</w:t>
      </w:r>
      <w:r w:rsidR="00230CFC" w:rsidRPr="00AE5D49">
        <w:rPr>
          <w:rFonts w:ascii="Arial" w:hAnsi="Arial" w:cs="Arial"/>
          <w:lang w:val="en-US"/>
        </w:rPr>
        <w:t xml:space="preserve"> given an opportunity to be heard</w:t>
      </w:r>
      <w:r w:rsidR="00DF696E" w:rsidRPr="00AE5D49">
        <w:rPr>
          <w:rFonts w:ascii="Arial" w:hAnsi="Arial" w:cs="Arial"/>
          <w:lang w:val="en-US"/>
        </w:rPr>
        <w:t xml:space="preserve"> before the determination is to be made to remove him/her or not</w:t>
      </w:r>
      <w:r w:rsidR="00145ED7" w:rsidRPr="00AE5D49">
        <w:rPr>
          <w:rFonts w:ascii="Arial" w:hAnsi="Arial" w:cs="Arial"/>
          <w:lang w:val="en-US"/>
        </w:rPr>
        <w:t>, whereafter</w:t>
      </w:r>
      <w:r w:rsidR="00230CFC" w:rsidRPr="00AE5D49">
        <w:rPr>
          <w:rFonts w:ascii="Arial" w:hAnsi="Arial" w:cs="Arial"/>
          <w:lang w:val="en-US"/>
        </w:rPr>
        <w:t xml:space="preserve"> </w:t>
      </w:r>
      <w:r w:rsidR="00145ED7" w:rsidRPr="00AE5D49">
        <w:rPr>
          <w:rFonts w:ascii="Arial" w:hAnsi="Arial" w:cs="Arial"/>
          <w:lang w:val="en-US"/>
        </w:rPr>
        <w:t xml:space="preserve">the </w:t>
      </w:r>
      <w:r w:rsidR="00230CFC" w:rsidRPr="00AE5D49">
        <w:rPr>
          <w:rFonts w:ascii="Arial" w:hAnsi="Arial" w:cs="Arial"/>
          <w:lang w:val="en-US"/>
        </w:rPr>
        <w:t>matter is determined by vote.</w:t>
      </w:r>
    </w:p>
    <w:p w14:paraId="046016C1" w14:textId="77777777" w:rsidR="00230CFC" w:rsidRPr="00230CFC" w:rsidRDefault="00230CFC" w:rsidP="00230CFC">
      <w:pPr>
        <w:pStyle w:val="ListParagraph"/>
        <w:rPr>
          <w:rFonts w:ascii="Arial" w:hAnsi="Arial" w:cs="Arial"/>
          <w:lang w:val="en-US"/>
        </w:rPr>
      </w:pPr>
    </w:p>
    <w:p w14:paraId="6231C886" w14:textId="0D384232" w:rsidR="0050784F" w:rsidRPr="00AE5D49" w:rsidRDefault="00AE5D49" w:rsidP="00AE5D49">
      <w:pPr>
        <w:spacing w:line="480" w:lineRule="auto"/>
        <w:ind w:left="709" w:hanging="709"/>
        <w:rPr>
          <w:rFonts w:ascii="Arial" w:hAnsi="Arial" w:cs="Arial"/>
          <w:lang w:val="en-US"/>
        </w:rPr>
      </w:pPr>
      <w:r>
        <w:rPr>
          <w:rFonts w:ascii="Arial" w:hAnsi="Arial" w:cs="Arial"/>
          <w:lang w:val="en-US"/>
        </w:rPr>
        <w:t>[61]</w:t>
      </w:r>
      <w:r>
        <w:rPr>
          <w:rFonts w:ascii="Arial" w:hAnsi="Arial" w:cs="Arial"/>
          <w:lang w:val="en-US"/>
        </w:rPr>
        <w:tab/>
      </w:r>
      <w:r w:rsidR="0050784F" w:rsidRPr="00AE5D49">
        <w:rPr>
          <w:rFonts w:ascii="Arial" w:hAnsi="Arial" w:cs="Arial"/>
          <w:lang w:val="en-US"/>
        </w:rPr>
        <w:t>It is clear that no indication is given what procedure is applicable to a review as set out in section 71(5). Furthermore, it is to be remembered that not only the director who has been removed, may apply for a review, but also the person who was entitled to appoint him/her.</w:t>
      </w:r>
      <w:r w:rsidR="00DF696E" w:rsidRPr="00AE5D49">
        <w:rPr>
          <w:rFonts w:ascii="Arial" w:hAnsi="Arial" w:cs="Arial"/>
          <w:lang w:val="en-US"/>
        </w:rPr>
        <w:t xml:space="preserve"> No requirement is stated that the person who appointed the director be informed of the reasons or even partake in the process. For all intents and purposes that person or entity can be in the dark. I must however must not interpret the section on the current facts, but I must apply the interpretation to the facts.</w:t>
      </w:r>
    </w:p>
    <w:p w14:paraId="42FFD32D" w14:textId="77777777" w:rsidR="00DF696E" w:rsidRPr="00DF696E" w:rsidRDefault="00DF696E" w:rsidP="00DF696E">
      <w:pPr>
        <w:pStyle w:val="ListParagraph"/>
        <w:rPr>
          <w:rFonts w:ascii="Arial" w:hAnsi="Arial" w:cs="Arial"/>
          <w:lang w:val="en-US"/>
        </w:rPr>
      </w:pPr>
    </w:p>
    <w:p w14:paraId="4B3B74E2" w14:textId="25E8BBFA" w:rsidR="00DF696E" w:rsidRPr="00AE5D49" w:rsidRDefault="00AE5D49" w:rsidP="00AE5D49">
      <w:pPr>
        <w:spacing w:line="480" w:lineRule="auto"/>
        <w:ind w:left="709" w:hanging="709"/>
        <w:rPr>
          <w:rFonts w:ascii="Arial" w:hAnsi="Arial" w:cs="Arial"/>
          <w:lang w:val="en-US"/>
        </w:rPr>
      </w:pPr>
      <w:r w:rsidRPr="00230CFC">
        <w:rPr>
          <w:rFonts w:ascii="Arial" w:hAnsi="Arial" w:cs="Arial"/>
          <w:lang w:val="en-US"/>
        </w:rPr>
        <w:t>[62]</w:t>
      </w:r>
      <w:r w:rsidRPr="00230CFC">
        <w:rPr>
          <w:rFonts w:ascii="Arial" w:hAnsi="Arial" w:cs="Arial"/>
          <w:lang w:val="en-US"/>
        </w:rPr>
        <w:tab/>
      </w:r>
      <w:r w:rsidR="00DF696E" w:rsidRPr="00AE5D49">
        <w:rPr>
          <w:rFonts w:ascii="Arial" w:hAnsi="Arial" w:cs="Arial"/>
          <w:lang w:val="en-US"/>
        </w:rPr>
        <w:t>That having been said, I cannot make a finding as in the case of a legality review, that the record or reasons is or will be available to the applicant. It is clear that the director to be removed must have the reasons and must have attended the meeting, at least through a representative.</w:t>
      </w:r>
    </w:p>
    <w:p w14:paraId="5DC710CE" w14:textId="77777777" w:rsidR="0050784F" w:rsidRPr="0050784F" w:rsidRDefault="0050784F" w:rsidP="0050784F">
      <w:pPr>
        <w:pStyle w:val="ListParagraph"/>
        <w:rPr>
          <w:rFonts w:ascii="Arial" w:hAnsi="Arial" w:cs="Arial"/>
          <w:lang w:val="en-US"/>
        </w:rPr>
      </w:pPr>
    </w:p>
    <w:p w14:paraId="02163336" w14:textId="77D8C00F" w:rsidR="0050784F" w:rsidRPr="00AE5D49" w:rsidRDefault="00AE5D49" w:rsidP="00AE5D49">
      <w:pPr>
        <w:spacing w:line="480" w:lineRule="auto"/>
        <w:ind w:left="709" w:hanging="709"/>
        <w:rPr>
          <w:rFonts w:ascii="Arial" w:hAnsi="Arial" w:cs="Arial"/>
          <w:lang w:val="en-US"/>
        </w:rPr>
      </w:pPr>
      <w:r>
        <w:rPr>
          <w:rFonts w:ascii="Arial" w:hAnsi="Arial" w:cs="Arial"/>
          <w:lang w:val="en-US"/>
        </w:rPr>
        <w:t>[63]</w:t>
      </w:r>
      <w:r>
        <w:rPr>
          <w:rFonts w:ascii="Arial" w:hAnsi="Arial" w:cs="Arial"/>
          <w:lang w:val="en-US"/>
        </w:rPr>
        <w:tab/>
      </w:r>
      <w:r w:rsidR="00230CFC" w:rsidRPr="00AE5D49">
        <w:rPr>
          <w:rFonts w:ascii="Arial" w:hAnsi="Arial" w:cs="Arial"/>
          <w:lang w:val="en-US"/>
        </w:rPr>
        <w:t>As stated above, t</w:t>
      </w:r>
      <w:r w:rsidR="0050784F" w:rsidRPr="00AE5D49">
        <w:rPr>
          <w:rFonts w:ascii="Arial" w:hAnsi="Arial" w:cs="Arial"/>
          <w:lang w:val="en-US"/>
        </w:rPr>
        <w:t xml:space="preserve">he procedural requirements for the </w:t>
      </w:r>
      <w:r w:rsidR="00DF696E" w:rsidRPr="00AE5D49">
        <w:rPr>
          <w:rFonts w:ascii="Arial" w:hAnsi="Arial" w:cs="Arial"/>
          <w:lang w:val="en-US"/>
        </w:rPr>
        <w:t>determination to remove,</w:t>
      </w:r>
      <w:r w:rsidR="0050784F" w:rsidRPr="00AE5D49">
        <w:rPr>
          <w:rFonts w:ascii="Arial" w:hAnsi="Arial" w:cs="Arial"/>
          <w:lang w:val="en-US"/>
        </w:rPr>
        <w:t xml:space="preserve"> is clear.</w:t>
      </w:r>
    </w:p>
    <w:p w14:paraId="0C0BC8EC" w14:textId="77777777" w:rsidR="00230CFC" w:rsidRPr="00230CFC" w:rsidRDefault="00230CFC" w:rsidP="00230CFC">
      <w:pPr>
        <w:pStyle w:val="ListParagraph"/>
        <w:rPr>
          <w:rFonts w:ascii="Arial" w:hAnsi="Arial" w:cs="Arial"/>
          <w:lang w:val="en-US"/>
        </w:rPr>
      </w:pPr>
    </w:p>
    <w:p w14:paraId="296FA11E" w14:textId="44FA40DC" w:rsidR="0050784F" w:rsidRPr="00AE5D49" w:rsidRDefault="00AE5D49" w:rsidP="00AE5D49">
      <w:pPr>
        <w:spacing w:line="480" w:lineRule="auto"/>
        <w:ind w:left="709" w:hanging="709"/>
        <w:rPr>
          <w:rFonts w:ascii="Arial" w:hAnsi="Arial" w:cs="Arial"/>
          <w:lang w:val="en-US"/>
        </w:rPr>
      </w:pPr>
      <w:r>
        <w:rPr>
          <w:rFonts w:ascii="Arial" w:hAnsi="Arial" w:cs="Arial"/>
          <w:lang w:val="en-US"/>
        </w:rPr>
        <w:lastRenderedPageBreak/>
        <w:t>[64]</w:t>
      </w:r>
      <w:r>
        <w:rPr>
          <w:rFonts w:ascii="Arial" w:hAnsi="Arial" w:cs="Arial"/>
          <w:lang w:val="en-US"/>
        </w:rPr>
        <w:tab/>
      </w:r>
      <w:r w:rsidR="00DF696E" w:rsidRPr="00AE5D49">
        <w:rPr>
          <w:rFonts w:ascii="Arial" w:hAnsi="Arial" w:cs="Arial"/>
          <w:lang w:val="en-US"/>
        </w:rPr>
        <w:t>As stated above,</w:t>
      </w:r>
      <w:r w:rsidR="0050784F" w:rsidRPr="00AE5D49">
        <w:rPr>
          <w:rFonts w:ascii="Arial" w:hAnsi="Arial" w:cs="Arial"/>
          <w:lang w:val="en-US"/>
        </w:rPr>
        <w:t xml:space="preserve"> I need not go into more details</w:t>
      </w:r>
      <w:r w:rsidR="00230CFC" w:rsidRPr="00AE5D49">
        <w:rPr>
          <w:rFonts w:ascii="Arial" w:hAnsi="Arial" w:cs="Arial"/>
          <w:lang w:val="en-US"/>
        </w:rPr>
        <w:t xml:space="preserve"> for instance what will suffice to trigger the section. That in my view will be determined by the facts in each matter.</w:t>
      </w:r>
    </w:p>
    <w:p w14:paraId="5AB60B92" w14:textId="77777777" w:rsidR="00230CFC" w:rsidRPr="00230CFC" w:rsidRDefault="00230CFC" w:rsidP="00230CFC">
      <w:pPr>
        <w:pStyle w:val="ListParagraph"/>
        <w:rPr>
          <w:rFonts w:ascii="Arial" w:hAnsi="Arial" w:cs="Arial"/>
          <w:lang w:val="en-US"/>
        </w:rPr>
      </w:pPr>
    </w:p>
    <w:p w14:paraId="02F06096" w14:textId="302CA50E" w:rsidR="00230CFC" w:rsidRPr="00AE5D49" w:rsidRDefault="00AE5D49" w:rsidP="00AE5D49">
      <w:pPr>
        <w:spacing w:line="480" w:lineRule="auto"/>
        <w:ind w:left="709" w:hanging="709"/>
        <w:rPr>
          <w:rFonts w:ascii="Arial" w:hAnsi="Arial" w:cs="Arial"/>
          <w:lang w:val="en-US"/>
        </w:rPr>
      </w:pPr>
      <w:r>
        <w:rPr>
          <w:rFonts w:ascii="Arial" w:hAnsi="Arial" w:cs="Arial"/>
          <w:lang w:val="en-US"/>
        </w:rPr>
        <w:t>[65]</w:t>
      </w:r>
      <w:r>
        <w:rPr>
          <w:rFonts w:ascii="Arial" w:hAnsi="Arial" w:cs="Arial"/>
          <w:lang w:val="en-US"/>
        </w:rPr>
        <w:tab/>
      </w:r>
      <w:r w:rsidR="00230CFC" w:rsidRPr="00AE5D49">
        <w:rPr>
          <w:rFonts w:ascii="Arial" w:hAnsi="Arial" w:cs="Arial"/>
          <w:lang w:val="en-US"/>
        </w:rPr>
        <w:t>The question is whether the record is needed in such a review as for</w:t>
      </w:r>
      <w:r w:rsidR="00A058F2" w:rsidRPr="00AE5D49">
        <w:rPr>
          <w:rFonts w:ascii="Arial" w:hAnsi="Arial" w:cs="Arial"/>
          <w:lang w:val="en-US"/>
        </w:rPr>
        <w:t>e</w:t>
      </w:r>
      <w:r w:rsidR="00230CFC" w:rsidRPr="00AE5D49">
        <w:rPr>
          <w:rFonts w:ascii="Arial" w:hAnsi="Arial" w:cs="Arial"/>
          <w:lang w:val="en-US"/>
        </w:rPr>
        <w:t>seen in section 71(5).</w:t>
      </w:r>
      <w:r w:rsidR="00DF696E" w:rsidRPr="00AE5D49">
        <w:rPr>
          <w:rFonts w:ascii="Arial" w:hAnsi="Arial" w:cs="Arial"/>
          <w:lang w:val="en-US"/>
        </w:rPr>
        <w:t xml:space="preserve"> Or put differently, may the applicant make use of the procedural advantage created in rule 53?</w:t>
      </w:r>
    </w:p>
    <w:p w14:paraId="5CC2F0C4" w14:textId="77777777" w:rsidR="00DF696E" w:rsidRPr="00DF696E" w:rsidRDefault="00DF696E" w:rsidP="00DF696E">
      <w:pPr>
        <w:pStyle w:val="ListParagraph"/>
        <w:rPr>
          <w:rFonts w:ascii="Arial" w:hAnsi="Arial" w:cs="Arial"/>
          <w:lang w:val="en-US"/>
        </w:rPr>
      </w:pPr>
    </w:p>
    <w:p w14:paraId="40461C92" w14:textId="77777777" w:rsidR="00DF696E" w:rsidRPr="00DF696E" w:rsidRDefault="00DF696E" w:rsidP="00DF696E">
      <w:pPr>
        <w:rPr>
          <w:rFonts w:ascii="Arial" w:hAnsi="Arial" w:cs="Arial"/>
          <w:lang w:val="en-US"/>
        </w:rPr>
      </w:pPr>
    </w:p>
    <w:p w14:paraId="0BFB713B" w14:textId="77777777" w:rsidR="00230CFC" w:rsidRPr="00230CFC" w:rsidRDefault="00230CFC" w:rsidP="00230CFC">
      <w:pPr>
        <w:pStyle w:val="ListParagraph"/>
        <w:rPr>
          <w:rFonts w:ascii="Arial" w:hAnsi="Arial" w:cs="Arial"/>
          <w:lang w:val="en-US"/>
        </w:rPr>
      </w:pPr>
    </w:p>
    <w:p w14:paraId="08785903" w14:textId="58CAE79D" w:rsidR="00230CFC" w:rsidRPr="00230CFC" w:rsidRDefault="00230CFC" w:rsidP="00230CFC">
      <w:pPr>
        <w:spacing w:line="480" w:lineRule="auto"/>
        <w:rPr>
          <w:rFonts w:ascii="Arial" w:hAnsi="Arial" w:cs="Arial"/>
          <w:b/>
          <w:i/>
          <w:lang w:val="en-US"/>
        </w:rPr>
      </w:pPr>
      <w:r w:rsidRPr="00291712">
        <w:rPr>
          <w:rFonts w:ascii="Arial" w:hAnsi="Arial" w:cs="Arial"/>
          <w:b/>
          <w:i/>
          <w:lang w:val="en-US"/>
        </w:rPr>
        <w:t>Is record needed?</w:t>
      </w:r>
    </w:p>
    <w:p w14:paraId="3A84C002" w14:textId="77777777" w:rsidR="0050784F" w:rsidRPr="0050784F" w:rsidRDefault="0050784F" w:rsidP="0050784F">
      <w:pPr>
        <w:pStyle w:val="ListParagraph"/>
        <w:rPr>
          <w:rFonts w:ascii="Arial" w:hAnsi="Arial" w:cs="Arial"/>
          <w:lang w:val="en-US"/>
        </w:rPr>
      </w:pPr>
    </w:p>
    <w:p w14:paraId="70DBDA1B" w14:textId="6DEA242D" w:rsidR="00291712" w:rsidRPr="00AE5D49" w:rsidRDefault="00AE5D49" w:rsidP="00AE5D49">
      <w:pPr>
        <w:spacing w:line="480" w:lineRule="auto"/>
        <w:ind w:left="709" w:hanging="709"/>
        <w:rPr>
          <w:rFonts w:ascii="Arial" w:hAnsi="Arial" w:cs="Arial"/>
          <w:lang w:val="en-US"/>
        </w:rPr>
      </w:pPr>
      <w:r w:rsidRPr="008A2658">
        <w:rPr>
          <w:rFonts w:ascii="Arial" w:hAnsi="Arial" w:cs="Arial"/>
          <w:lang w:val="en-US"/>
        </w:rPr>
        <w:t>[66]</w:t>
      </w:r>
      <w:r w:rsidRPr="008A2658">
        <w:rPr>
          <w:rFonts w:ascii="Arial" w:hAnsi="Arial" w:cs="Arial"/>
          <w:lang w:val="en-US"/>
        </w:rPr>
        <w:tab/>
      </w:r>
      <w:r w:rsidR="00291712" w:rsidRPr="00AE5D49">
        <w:rPr>
          <w:rFonts w:ascii="Arial" w:hAnsi="Arial" w:cs="Arial"/>
        </w:rPr>
        <w:t xml:space="preserve">In </w:t>
      </w:r>
      <w:r w:rsidR="00291712" w:rsidRPr="00AE5D49">
        <w:rPr>
          <w:rFonts w:ascii="Times" w:hAnsi="Times" w:cs="Arial"/>
          <w:i/>
          <w:sz w:val="26"/>
          <w:szCs w:val="26"/>
        </w:rPr>
        <w:t>Jockey Club of South Africa v Forbes</w:t>
      </w:r>
      <w:r w:rsidR="00291712" w:rsidRPr="008A2658">
        <w:rPr>
          <w:rStyle w:val="FootnoteReference"/>
          <w:rFonts w:ascii="Arial" w:hAnsi="Arial" w:cs="Arial"/>
          <w:i/>
        </w:rPr>
        <w:footnoteReference w:id="22"/>
      </w:r>
      <w:r w:rsidR="00291712" w:rsidRPr="00AE5D49">
        <w:rPr>
          <w:rFonts w:ascii="Arial" w:hAnsi="Arial" w:cs="Arial"/>
          <w:i/>
        </w:rPr>
        <w:t xml:space="preserve"> </w:t>
      </w:r>
      <w:r w:rsidR="00291712" w:rsidRPr="00AE5D49">
        <w:rPr>
          <w:rFonts w:ascii="Arial" w:hAnsi="Arial" w:cs="Arial"/>
        </w:rPr>
        <w:t>the Appeal Court, as it was then called, found that the purpose of rule 53 is</w:t>
      </w:r>
      <w:r w:rsidR="00291712" w:rsidRPr="00AE5D49">
        <w:rPr>
          <w:rFonts w:ascii="Arial" w:hAnsi="Arial" w:cs="Arial"/>
          <w:i/>
        </w:rPr>
        <w:t xml:space="preserve"> </w:t>
      </w:r>
      <w:r w:rsidR="00291712" w:rsidRPr="00AE5D49">
        <w:rPr>
          <w:rFonts w:ascii="Arial" w:hAnsi="Arial" w:cs="Arial"/>
        </w:rPr>
        <w:t>to facilitate and regulate applications for review by granting the</w:t>
      </w:r>
      <w:r w:rsidR="00291712" w:rsidRPr="00AE5D49">
        <w:rPr>
          <w:rFonts w:ascii="Arial" w:hAnsi="Arial" w:cs="Arial"/>
          <w:i/>
        </w:rPr>
        <w:t xml:space="preserve"> </w:t>
      </w:r>
      <w:r w:rsidR="00291712" w:rsidRPr="00AE5D49">
        <w:rPr>
          <w:rFonts w:ascii="Arial" w:hAnsi="Arial" w:cs="Arial"/>
        </w:rPr>
        <w:t>aggrieved party seeking to review a decision access to the record</w:t>
      </w:r>
      <w:r w:rsidR="00291712" w:rsidRPr="00AE5D49">
        <w:rPr>
          <w:rFonts w:ascii="Arial" w:hAnsi="Arial" w:cs="Arial"/>
          <w:i/>
        </w:rPr>
        <w:t xml:space="preserve"> </w:t>
      </w:r>
      <w:r w:rsidR="00291712" w:rsidRPr="00AE5D49">
        <w:rPr>
          <w:rFonts w:ascii="Arial" w:hAnsi="Arial" w:cs="Arial"/>
        </w:rPr>
        <w:t>of the proceedings in which the decision was made, to place the</w:t>
      </w:r>
      <w:r w:rsidR="00291712" w:rsidRPr="00AE5D49">
        <w:rPr>
          <w:rFonts w:ascii="Arial" w:hAnsi="Arial" w:cs="Arial"/>
          <w:i/>
        </w:rPr>
        <w:t xml:space="preserve"> </w:t>
      </w:r>
      <w:r w:rsidR="00291712" w:rsidRPr="00AE5D49">
        <w:rPr>
          <w:rFonts w:ascii="Arial" w:hAnsi="Arial" w:cs="Arial"/>
        </w:rPr>
        <w:t>relevant evidential material before court.</w:t>
      </w:r>
    </w:p>
    <w:p w14:paraId="3D4B1E77" w14:textId="77777777" w:rsidR="00291712" w:rsidRPr="00EB1C53" w:rsidRDefault="00291712" w:rsidP="00291712">
      <w:pPr>
        <w:rPr>
          <w:rFonts w:ascii="Arial" w:hAnsi="Arial" w:cs="Arial"/>
          <w:lang w:val="en-US"/>
        </w:rPr>
      </w:pPr>
    </w:p>
    <w:p w14:paraId="05DCA15D" w14:textId="1F6CBBB9" w:rsidR="00291712" w:rsidRPr="00AE5D49" w:rsidRDefault="00AE5D49" w:rsidP="00AE5D49">
      <w:pPr>
        <w:spacing w:line="480" w:lineRule="auto"/>
        <w:ind w:left="709" w:hanging="709"/>
        <w:rPr>
          <w:rFonts w:ascii="Arial" w:hAnsi="Arial" w:cs="Arial"/>
          <w:lang w:val="en-US"/>
        </w:rPr>
      </w:pPr>
      <w:r>
        <w:rPr>
          <w:rFonts w:ascii="Arial" w:hAnsi="Arial" w:cs="Arial"/>
          <w:lang w:val="en-US"/>
        </w:rPr>
        <w:t>[67]</w:t>
      </w:r>
      <w:r>
        <w:rPr>
          <w:rFonts w:ascii="Arial" w:hAnsi="Arial" w:cs="Arial"/>
          <w:lang w:val="en-US"/>
        </w:rPr>
        <w:tab/>
      </w:r>
      <w:r w:rsidR="00291712" w:rsidRPr="00AE5D49">
        <w:rPr>
          <w:rFonts w:ascii="Arial" w:hAnsi="Arial" w:cs="Arial"/>
          <w:lang w:val="en-US"/>
        </w:rPr>
        <w:t>When a party is requesting the record, the founding affidavit is not to be relied upon to determine the relevancy of the record or parts thereof as the applicant may still amend or supplement his/her case.</w:t>
      </w:r>
    </w:p>
    <w:p w14:paraId="7C271000" w14:textId="77777777" w:rsidR="00291712" w:rsidRPr="00230CFC" w:rsidRDefault="00291712" w:rsidP="00291712">
      <w:pPr>
        <w:pStyle w:val="ListParagraph"/>
        <w:rPr>
          <w:rFonts w:ascii="Arial" w:hAnsi="Arial" w:cs="Arial"/>
          <w:lang w:val="en-US"/>
        </w:rPr>
      </w:pPr>
    </w:p>
    <w:p w14:paraId="65797D5E" w14:textId="5C988418" w:rsidR="00291712" w:rsidRPr="00AE5D49" w:rsidRDefault="00AE5D49" w:rsidP="00AE5D49">
      <w:pPr>
        <w:spacing w:line="480" w:lineRule="auto"/>
        <w:ind w:left="709" w:hanging="709"/>
        <w:rPr>
          <w:rFonts w:ascii="Arial" w:hAnsi="Arial" w:cs="Arial"/>
          <w:lang w:val="en-US"/>
        </w:rPr>
      </w:pPr>
      <w:r>
        <w:rPr>
          <w:rFonts w:ascii="Arial" w:hAnsi="Arial" w:cs="Arial"/>
          <w:lang w:val="en-US"/>
        </w:rPr>
        <w:t>[68]</w:t>
      </w:r>
      <w:r>
        <w:rPr>
          <w:rFonts w:ascii="Arial" w:hAnsi="Arial" w:cs="Arial"/>
          <w:lang w:val="en-US"/>
        </w:rPr>
        <w:tab/>
      </w:r>
      <w:r w:rsidR="00291712" w:rsidRPr="00AE5D49">
        <w:rPr>
          <w:rFonts w:ascii="Arial" w:hAnsi="Arial" w:cs="Arial"/>
          <w:lang w:val="en-US"/>
        </w:rPr>
        <w:t>In this matter</w:t>
      </w:r>
      <w:r w:rsidR="00DF696E" w:rsidRPr="00AE5D49">
        <w:rPr>
          <w:rFonts w:ascii="Arial" w:hAnsi="Arial" w:cs="Arial"/>
          <w:lang w:val="en-US"/>
        </w:rPr>
        <w:t>,</w:t>
      </w:r>
      <w:r w:rsidR="00291712" w:rsidRPr="00AE5D49">
        <w:rPr>
          <w:rFonts w:ascii="Arial" w:hAnsi="Arial" w:cs="Arial"/>
          <w:lang w:val="en-US"/>
        </w:rPr>
        <w:t xml:space="preserve"> there </w:t>
      </w:r>
      <w:r w:rsidR="00DF696E" w:rsidRPr="00AE5D49">
        <w:rPr>
          <w:rFonts w:ascii="Arial" w:hAnsi="Arial" w:cs="Arial"/>
          <w:lang w:val="en-US"/>
        </w:rPr>
        <w:t>seems to be</w:t>
      </w:r>
      <w:r w:rsidR="00291712" w:rsidRPr="00AE5D49">
        <w:rPr>
          <w:rFonts w:ascii="Arial" w:hAnsi="Arial" w:cs="Arial"/>
          <w:lang w:val="en-US"/>
        </w:rPr>
        <w:t xml:space="preserve"> no reason to seek the record</w:t>
      </w:r>
      <w:r w:rsidR="00DF696E" w:rsidRPr="00AE5D49">
        <w:rPr>
          <w:rFonts w:ascii="Arial" w:hAnsi="Arial" w:cs="Arial"/>
          <w:lang w:val="en-US"/>
        </w:rPr>
        <w:t xml:space="preserve"> as the reasons and documents have been provided to Mr Pityana before the determination was made to remove him as a director. Even if o</w:t>
      </w:r>
      <w:r w:rsidR="00291712" w:rsidRPr="00AE5D49">
        <w:rPr>
          <w:rFonts w:ascii="Arial" w:hAnsi="Arial" w:cs="Arial"/>
          <w:lang w:val="en-US"/>
        </w:rPr>
        <w:t>nly the procedure is reviewed</w:t>
      </w:r>
      <w:r w:rsidR="00DF696E" w:rsidRPr="00AE5D49">
        <w:rPr>
          <w:rFonts w:ascii="Arial" w:hAnsi="Arial" w:cs="Arial"/>
          <w:lang w:val="en-US"/>
        </w:rPr>
        <w:t>, as was the case in reviews under the common law, an applicant was still entitled to make use of the advantages rule 53 creates.</w:t>
      </w:r>
      <w:r w:rsidR="00291712" w:rsidRPr="00AE5D49">
        <w:rPr>
          <w:rFonts w:ascii="Arial" w:hAnsi="Arial" w:cs="Arial"/>
          <w:lang w:val="en-US"/>
        </w:rPr>
        <w:t xml:space="preserve"> </w:t>
      </w:r>
      <w:r w:rsidR="00DF696E" w:rsidRPr="00AE5D49">
        <w:rPr>
          <w:rFonts w:ascii="Arial" w:hAnsi="Arial" w:cs="Arial"/>
          <w:lang w:val="en-US"/>
        </w:rPr>
        <w:t xml:space="preserve">Despite it </w:t>
      </w:r>
      <w:r w:rsidR="00DF696E" w:rsidRPr="00AE5D49">
        <w:rPr>
          <w:rFonts w:ascii="Arial" w:hAnsi="Arial" w:cs="Arial"/>
          <w:lang w:val="en-US"/>
        </w:rPr>
        <w:lastRenderedPageBreak/>
        <w:t>being</w:t>
      </w:r>
      <w:r w:rsidR="00291712" w:rsidRPr="00AE5D49">
        <w:rPr>
          <w:rFonts w:ascii="Arial" w:hAnsi="Arial" w:cs="Arial"/>
          <w:lang w:val="en-US"/>
        </w:rPr>
        <w:t xml:space="preserve"> clear from the wording of section 71</w:t>
      </w:r>
      <w:r w:rsidR="00DF696E" w:rsidRPr="00AE5D49">
        <w:rPr>
          <w:rFonts w:ascii="Arial" w:hAnsi="Arial" w:cs="Arial"/>
          <w:lang w:val="en-US"/>
        </w:rPr>
        <w:t xml:space="preserve"> that the review is limited and mostly only directed at the procedure followed, there is still some kind of review on the merits</w:t>
      </w:r>
      <w:r w:rsidR="00291712" w:rsidRPr="00AE5D49">
        <w:rPr>
          <w:rFonts w:ascii="Arial" w:hAnsi="Arial" w:cs="Arial"/>
          <w:lang w:val="en-US"/>
        </w:rPr>
        <w:t xml:space="preserve">. </w:t>
      </w:r>
      <w:r w:rsidR="00DF696E" w:rsidRPr="00AE5D49">
        <w:rPr>
          <w:rFonts w:ascii="Arial" w:hAnsi="Arial" w:cs="Arial"/>
          <w:lang w:val="en-US"/>
        </w:rPr>
        <w:t>If for instance,</w:t>
      </w:r>
      <w:r w:rsidR="00291712" w:rsidRPr="00AE5D49">
        <w:rPr>
          <w:rFonts w:ascii="Arial" w:hAnsi="Arial" w:cs="Arial"/>
          <w:lang w:val="en-US"/>
        </w:rPr>
        <w:t xml:space="preserve"> the reasons are not provided, no record is needed to show that there had been non-compliance with the section</w:t>
      </w:r>
      <w:r w:rsidR="00DF696E" w:rsidRPr="00AE5D49">
        <w:rPr>
          <w:rFonts w:ascii="Arial" w:hAnsi="Arial" w:cs="Arial"/>
          <w:lang w:val="en-US"/>
        </w:rPr>
        <w:t xml:space="preserve"> and I can foresee that a party in such a matter need not make use of the advantages of rule 53.</w:t>
      </w:r>
    </w:p>
    <w:p w14:paraId="56010178" w14:textId="77777777" w:rsidR="00DF696E" w:rsidRPr="00DF696E" w:rsidRDefault="00DF696E" w:rsidP="00DF696E">
      <w:pPr>
        <w:pStyle w:val="ListParagraph"/>
        <w:rPr>
          <w:rFonts w:ascii="Arial" w:hAnsi="Arial" w:cs="Arial"/>
          <w:lang w:val="en-US"/>
        </w:rPr>
      </w:pPr>
    </w:p>
    <w:p w14:paraId="5B473675" w14:textId="65993742" w:rsidR="00DF696E" w:rsidRPr="00AE5D49" w:rsidRDefault="00AE5D49" w:rsidP="00AE5D49">
      <w:pPr>
        <w:spacing w:line="480" w:lineRule="auto"/>
        <w:ind w:left="709" w:hanging="709"/>
        <w:rPr>
          <w:rFonts w:ascii="Arial" w:hAnsi="Arial" w:cs="Arial"/>
          <w:lang w:val="en-US"/>
        </w:rPr>
      </w:pPr>
      <w:r>
        <w:rPr>
          <w:rFonts w:ascii="Arial" w:hAnsi="Arial" w:cs="Arial"/>
          <w:lang w:val="en-US"/>
        </w:rPr>
        <w:t>[69]</w:t>
      </w:r>
      <w:r>
        <w:rPr>
          <w:rFonts w:ascii="Arial" w:hAnsi="Arial" w:cs="Arial"/>
          <w:lang w:val="en-US"/>
        </w:rPr>
        <w:tab/>
      </w:r>
      <w:r w:rsidR="00DF696E" w:rsidRPr="00AE5D49">
        <w:rPr>
          <w:rFonts w:ascii="Arial" w:hAnsi="Arial" w:cs="Arial"/>
          <w:lang w:val="en-US"/>
        </w:rPr>
        <w:t>Despite the fact that the reasons and record may be available to a director as he/she should have been provided with the relevant reasons as required in terms of rule 53, there are other persons who may also make use of the same section to review the determination to remove who had no access to the reasons or record. That is the very reason why the rule was created.</w:t>
      </w:r>
    </w:p>
    <w:p w14:paraId="6961453A" w14:textId="77777777" w:rsidR="00DF696E" w:rsidRPr="00DF696E" w:rsidRDefault="00DF696E" w:rsidP="00DF696E">
      <w:pPr>
        <w:pStyle w:val="ListParagraph"/>
        <w:rPr>
          <w:rFonts w:ascii="Arial" w:hAnsi="Arial" w:cs="Arial"/>
          <w:lang w:val="en-US"/>
        </w:rPr>
      </w:pPr>
    </w:p>
    <w:p w14:paraId="1C725631" w14:textId="5C376C98" w:rsidR="00DF696E" w:rsidRPr="00AE5D49" w:rsidRDefault="00AE5D49" w:rsidP="00AE5D49">
      <w:pPr>
        <w:spacing w:line="480" w:lineRule="auto"/>
        <w:ind w:left="709" w:hanging="709"/>
        <w:rPr>
          <w:rFonts w:ascii="Arial" w:hAnsi="Arial" w:cs="Arial"/>
          <w:lang w:val="en-US"/>
        </w:rPr>
      </w:pPr>
      <w:r>
        <w:rPr>
          <w:rFonts w:ascii="Arial" w:hAnsi="Arial" w:cs="Arial"/>
          <w:lang w:val="en-US"/>
        </w:rPr>
        <w:t>[70]</w:t>
      </w:r>
      <w:r>
        <w:rPr>
          <w:rFonts w:ascii="Arial" w:hAnsi="Arial" w:cs="Arial"/>
          <w:lang w:val="en-US"/>
        </w:rPr>
        <w:tab/>
      </w:r>
      <w:r w:rsidR="00DF696E" w:rsidRPr="00AE5D49">
        <w:rPr>
          <w:rFonts w:ascii="Arial" w:hAnsi="Arial" w:cs="Arial"/>
          <w:lang w:val="en-US"/>
        </w:rPr>
        <w:t>I therefore find that rule 53 is available to any applicant applying for a review of the determination.</w:t>
      </w:r>
    </w:p>
    <w:p w14:paraId="69BA64DB" w14:textId="77777777" w:rsidR="00DF696E" w:rsidRPr="00DF696E" w:rsidRDefault="00DF696E" w:rsidP="00DF696E">
      <w:pPr>
        <w:pStyle w:val="ListParagraph"/>
        <w:rPr>
          <w:rFonts w:ascii="Arial" w:hAnsi="Arial" w:cs="Arial"/>
          <w:lang w:val="en-US"/>
        </w:rPr>
      </w:pPr>
    </w:p>
    <w:p w14:paraId="43B118C8" w14:textId="309EB94A" w:rsidR="00291712" w:rsidRPr="00AE5D49" w:rsidRDefault="00AE5D49" w:rsidP="00AE5D49">
      <w:pPr>
        <w:spacing w:line="480" w:lineRule="auto"/>
        <w:ind w:left="709" w:hanging="709"/>
        <w:rPr>
          <w:rFonts w:ascii="Arial" w:hAnsi="Arial" w:cs="Arial"/>
          <w:lang w:val="en-US"/>
        </w:rPr>
      </w:pPr>
      <w:r w:rsidRPr="00DF696E">
        <w:rPr>
          <w:rFonts w:ascii="Arial" w:hAnsi="Arial" w:cs="Arial"/>
          <w:lang w:val="en-US"/>
        </w:rPr>
        <w:t>[71]</w:t>
      </w:r>
      <w:r w:rsidRPr="00DF696E">
        <w:rPr>
          <w:rFonts w:ascii="Arial" w:hAnsi="Arial" w:cs="Arial"/>
          <w:lang w:val="en-US"/>
        </w:rPr>
        <w:tab/>
      </w:r>
      <w:r w:rsidR="00291712" w:rsidRPr="00AE5D49">
        <w:rPr>
          <w:rFonts w:ascii="Arial" w:hAnsi="Arial" w:cs="Arial"/>
          <w:lang w:val="en-US"/>
        </w:rPr>
        <w:t xml:space="preserve">Mr Pityana </w:t>
      </w:r>
      <w:r w:rsidR="00DF696E" w:rsidRPr="00AE5D49">
        <w:rPr>
          <w:rFonts w:ascii="Arial" w:hAnsi="Arial" w:cs="Arial"/>
          <w:lang w:val="en-US"/>
        </w:rPr>
        <w:t xml:space="preserve">however </w:t>
      </w:r>
      <w:r w:rsidR="00291712" w:rsidRPr="00AE5D49">
        <w:rPr>
          <w:rFonts w:ascii="Arial" w:hAnsi="Arial" w:cs="Arial"/>
          <w:lang w:val="en-US"/>
        </w:rPr>
        <w:t xml:space="preserve">pertinently states in the founding affidavit to the main application what is required and that he relies on the provisions of Rule 53 to be able to obtain those documents as part of the record. On Mr Pityana’s version these documents did not form part of the discussions or proceedings during which </w:t>
      </w:r>
      <w:r w:rsidR="00DF696E" w:rsidRPr="00AE5D49">
        <w:rPr>
          <w:rFonts w:ascii="Arial" w:hAnsi="Arial" w:cs="Arial"/>
          <w:lang w:val="en-US"/>
        </w:rPr>
        <w:t xml:space="preserve">the determination was made to remove him as director. It is not at this stage possible to determine, nor am I called upon whether those minutes and documents called for indeed exist or even form part of the record. Documents do not form part of a record of a decision simply because the applicant or respondent believe that it is part thereof. </w:t>
      </w:r>
      <w:r w:rsidR="00291712" w:rsidRPr="00AE5D49">
        <w:rPr>
          <w:rFonts w:ascii="Arial" w:hAnsi="Arial" w:cs="Arial"/>
          <w:lang w:val="en-US"/>
        </w:rPr>
        <w:t xml:space="preserve"> </w:t>
      </w:r>
      <w:r w:rsidR="00DF696E" w:rsidRPr="00AE5D49">
        <w:rPr>
          <w:rFonts w:ascii="Arial" w:hAnsi="Arial" w:cs="Arial"/>
          <w:lang w:val="en-US"/>
        </w:rPr>
        <w:t xml:space="preserve">I am not called upon to make that decision. </w:t>
      </w:r>
      <w:r w:rsidR="00DF696E" w:rsidRPr="00AE5D49">
        <w:rPr>
          <w:rFonts w:ascii="Times" w:hAnsi="Times" w:cs="Arial"/>
          <w:i/>
          <w:sz w:val="26"/>
          <w:szCs w:val="26"/>
          <w:lang w:val="en-US"/>
        </w:rPr>
        <w:t>Prima facie</w:t>
      </w:r>
      <w:r w:rsidR="00DF696E" w:rsidRPr="00AE5D49">
        <w:rPr>
          <w:rFonts w:ascii="Arial" w:hAnsi="Arial" w:cs="Arial"/>
          <w:lang w:val="en-US"/>
        </w:rPr>
        <w:t>,</w:t>
      </w:r>
      <w:r w:rsidR="00291712" w:rsidRPr="00AE5D49">
        <w:rPr>
          <w:rFonts w:ascii="Arial" w:hAnsi="Arial" w:cs="Arial"/>
          <w:lang w:val="en-US"/>
        </w:rPr>
        <w:t xml:space="preserve"> </w:t>
      </w:r>
      <w:r w:rsidR="00DF696E" w:rsidRPr="00AE5D49">
        <w:rPr>
          <w:rFonts w:ascii="Arial" w:hAnsi="Arial" w:cs="Arial"/>
          <w:lang w:val="en-US"/>
        </w:rPr>
        <w:t>i</w:t>
      </w:r>
      <w:r w:rsidR="00291712" w:rsidRPr="00AE5D49">
        <w:rPr>
          <w:rFonts w:ascii="Arial" w:hAnsi="Arial" w:cs="Arial"/>
          <w:lang w:val="en-US"/>
        </w:rPr>
        <w:t xml:space="preserve">t </w:t>
      </w:r>
      <w:r w:rsidR="00DF696E" w:rsidRPr="00AE5D49">
        <w:rPr>
          <w:rFonts w:ascii="Arial" w:hAnsi="Arial" w:cs="Arial"/>
          <w:lang w:val="en-US"/>
        </w:rPr>
        <w:t>seems</w:t>
      </w:r>
      <w:r w:rsidR="00291712" w:rsidRPr="00AE5D49">
        <w:rPr>
          <w:rFonts w:ascii="Arial" w:hAnsi="Arial" w:cs="Arial"/>
          <w:lang w:val="en-US"/>
        </w:rPr>
        <w:t xml:space="preserve"> doubtful whether </w:t>
      </w:r>
      <w:r w:rsidR="00DF696E" w:rsidRPr="00AE5D49">
        <w:rPr>
          <w:rFonts w:ascii="Arial" w:hAnsi="Arial" w:cs="Arial"/>
          <w:lang w:val="en-US"/>
        </w:rPr>
        <w:t>the documents specifically so mentioned</w:t>
      </w:r>
      <w:r w:rsidR="00291712" w:rsidRPr="00AE5D49">
        <w:rPr>
          <w:rFonts w:ascii="Arial" w:hAnsi="Arial" w:cs="Arial"/>
          <w:lang w:val="en-US"/>
        </w:rPr>
        <w:t xml:space="preserve"> </w:t>
      </w:r>
      <w:r w:rsidR="00DF696E" w:rsidRPr="00AE5D49">
        <w:rPr>
          <w:rFonts w:ascii="Arial" w:hAnsi="Arial" w:cs="Arial"/>
          <w:lang w:val="en-US"/>
        </w:rPr>
        <w:t>forms</w:t>
      </w:r>
      <w:r w:rsidR="00291712" w:rsidRPr="00AE5D49">
        <w:rPr>
          <w:rFonts w:ascii="Arial" w:hAnsi="Arial" w:cs="Arial"/>
          <w:lang w:val="en-US"/>
        </w:rPr>
        <w:t xml:space="preserve"> part of the record, but I need not make a </w:t>
      </w:r>
      <w:r w:rsidR="00291712" w:rsidRPr="00AE5D49">
        <w:rPr>
          <w:rFonts w:ascii="Arial" w:hAnsi="Arial" w:cs="Arial"/>
          <w:lang w:val="en-US"/>
        </w:rPr>
        <w:lastRenderedPageBreak/>
        <w:t>finding in that respect.</w:t>
      </w:r>
      <w:r w:rsidR="00DF696E" w:rsidRPr="00AE5D49">
        <w:rPr>
          <w:rFonts w:ascii="Arial" w:hAnsi="Arial" w:cs="Arial"/>
          <w:lang w:val="en-US"/>
        </w:rPr>
        <w:t xml:space="preserve"> That is for ABSA Bank to determine. Should they determine that the documents so identified do not prom part of the record, Mr Pityana can approach the court to compel delivery thereof.</w:t>
      </w:r>
    </w:p>
    <w:p w14:paraId="7C1080B7" w14:textId="77777777" w:rsidR="00291712" w:rsidRPr="002950FC" w:rsidRDefault="00291712" w:rsidP="00291712">
      <w:pPr>
        <w:pStyle w:val="ListParagraph"/>
        <w:rPr>
          <w:rFonts w:ascii="Arial" w:hAnsi="Arial" w:cs="Arial"/>
          <w:lang w:val="en-US"/>
        </w:rPr>
      </w:pPr>
    </w:p>
    <w:p w14:paraId="2026DCBA" w14:textId="3F8489AD" w:rsidR="00291712" w:rsidRPr="00AE5D49" w:rsidRDefault="00AE5D49" w:rsidP="00AE5D49">
      <w:pPr>
        <w:spacing w:line="480" w:lineRule="auto"/>
        <w:ind w:left="709" w:hanging="709"/>
        <w:rPr>
          <w:rFonts w:ascii="Arial" w:hAnsi="Arial" w:cs="Arial"/>
          <w:lang w:val="en-US"/>
        </w:rPr>
      </w:pPr>
      <w:r>
        <w:rPr>
          <w:rFonts w:ascii="Arial" w:hAnsi="Arial" w:cs="Arial"/>
          <w:lang w:val="en-US"/>
        </w:rPr>
        <w:t>[72]</w:t>
      </w:r>
      <w:r>
        <w:rPr>
          <w:rFonts w:ascii="Arial" w:hAnsi="Arial" w:cs="Arial"/>
          <w:lang w:val="en-US"/>
        </w:rPr>
        <w:tab/>
      </w:r>
      <w:r w:rsidR="00291712" w:rsidRPr="00AE5D49">
        <w:rPr>
          <w:rFonts w:ascii="Arial" w:hAnsi="Arial" w:cs="Arial"/>
          <w:lang w:val="en-US"/>
        </w:rPr>
        <w:t>The argument by ABSA Bank that the wording of rule 53 simply means that the rule cannot apply to the current matter as it is not judicial, quasi-judicial or administrative action, is clearly misplaced as the courts have never interpreted the rule in that way.</w:t>
      </w:r>
    </w:p>
    <w:p w14:paraId="4C205CAB" w14:textId="77777777" w:rsidR="00291712" w:rsidRPr="00291712" w:rsidRDefault="00291712" w:rsidP="00291712">
      <w:pPr>
        <w:pStyle w:val="ListParagraph"/>
        <w:rPr>
          <w:rFonts w:ascii="Arial" w:hAnsi="Arial" w:cs="Arial"/>
          <w:lang w:val="en-US"/>
        </w:rPr>
      </w:pPr>
    </w:p>
    <w:p w14:paraId="0906275A" w14:textId="369787A2" w:rsidR="00291712" w:rsidRPr="00AE5D49" w:rsidRDefault="00AE5D49" w:rsidP="00AE5D49">
      <w:pPr>
        <w:spacing w:line="480" w:lineRule="auto"/>
        <w:ind w:left="709" w:hanging="709"/>
        <w:rPr>
          <w:rFonts w:ascii="Arial" w:hAnsi="Arial" w:cs="Arial"/>
          <w:lang w:val="en-US"/>
        </w:rPr>
      </w:pPr>
      <w:r>
        <w:rPr>
          <w:rFonts w:ascii="Arial" w:hAnsi="Arial" w:cs="Arial"/>
          <w:lang w:val="en-US"/>
        </w:rPr>
        <w:t>[73]</w:t>
      </w:r>
      <w:r>
        <w:rPr>
          <w:rFonts w:ascii="Arial" w:hAnsi="Arial" w:cs="Arial"/>
          <w:lang w:val="en-US"/>
        </w:rPr>
        <w:tab/>
      </w:r>
      <w:r w:rsidR="00291712" w:rsidRPr="00AE5D49">
        <w:rPr>
          <w:rFonts w:ascii="Arial" w:hAnsi="Arial" w:cs="Arial"/>
          <w:lang w:val="en-US"/>
        </w:rPr>
        <w:t>However, the argument on behalf of ABSA Bank is correct that the review contemplated in terms of section 71(5) is sui generis</w:t>
      </w:r>
      <w:r w:rsidR="00DF696E" w:rsidRPr="00AE5D49">
        <w:rPr>
          <w:rFonts w:ascii="Arial" w:hAnsi="Arial" w:cs="Arial"/>
          <w:lang w:val="en-US"/>
        </w:rPr>
        <w:t>. That however, as indicated above does not mean that an applicant is not entitled to make use of the advantages of the rule. It is illogical to interpret the section that a person entitled to appoint a director and who had no access to the documents and/or reasons provided for the determination, will be entitled thereto, but the director who was removed is not.</w:t>
      </w:r>
    </w:p>
    <w:p w14:paraId="2787EDDD" w14:textId="77777777" w:rsidR="0050784F" w:rsidRPr="00291712" w:rsidRDefault="0050784F" w:rsidP="00291712">
      <w:pPr>
        <w:rPr>
          <w:rFonts w:ascii="Arial" w:hAnsi="Arial" w:cs="Arial"/>
          <w:lang w:val="en-US"/>
        </w:rPr>
      </w:pPr>
    </w:p>
    <w:p w14:paraId="49BFF626" w14:textId="73313394" w:rsidR="00E36F62" w:rsidRPr="00AE5D49" w:rsidRDefault="00AE5D49" w:rsidP="00AE5D49">
      <w:pPr>
        <w:spacing w:line="480" w:lineRule="auto"/>
        <w:ind w:left="709" w:hanging="709"/>
        <w:rPr>
          <w:rFonts w:ascii="Arial" w:hAnsi="Arial" w:cs="Arial"/>
          <w:lang w:val="en-US"/>
        </w:rPr>
      </w:pPr>
      <w:r w:rsidRPr="00DF696E">
        <w:rPr>
          <w:rFonts w:ascii="Arial" w:hAnsi="Arial" w:cs="Arial"/>
          <w:lang w:val="en-US"/>
        </w:rPr>
        <w:t>[74]</w:t>
      </w:r>
      <w:r w:rsidRPr="00DF696E">
        <w:rPr>
          <w:rFonts w:ascii="Arial" w:hAnsi="Arial" w:cs="Arial"/>
          <w:lang w:val="en-US"/>
        </w:rPr>
        <w:tab/>
      </w:r>
      <w:r w:rsidR="0050784F" w:rsidRPr="00AE5D49">
        <w:rPr>
          <w:rFonts w:ascii="Arial" w:hAnsi="Arial" w:cs="Arial"/>
          <w:lang w:val="en-US"/>
        </w:rPr>
        <w:t>This being said, I do not find that</w:t>
      </w:r>
      <w:r w:rsidR="001F194D" w:rsidRPr="00AE5D49">
        <w:rPr>
          <w:rFonts w:ascii="Arial" w:hAnsi="Arial" w:cs="Arial"/>
          <w:iCs/>
          <w:lang w:val="en-US"/>
        </w:rPr>
        <w:t xml:space="preserve"> review</w:t>
      </w:r>
      <w:r w:rsidR="007E269F" w:rsidRPr="00AE5D49">
        <w:rPr>
          <w:rFonts w:ascii="Arial" w:hAnsi="Arial" w:cs="Arial"/>
          <w:iCs/>
          <w:lang w:val="en-US"/>
        </w:rPr>
        <w:t>s</w:t>
      </w:r>
      <w:r w:rsidR="001F194D" w:rsidRPr="00AE5D49">
        <w:rPr>
          <w:rFonts w:ascii="Arial" w:hAnsi="Arial" w:cs="Arial"/>
          <w:iCs/>
          <w:lang w:val="en-US"/>
        </w:rPr>
        <w:t xml:space="preserve"> </w:t>
      </w:r>
      <w:r w:rsidR="0050784F" w:rsidRPr="00AE5D49">
        <w:rPr>
          <w:rFonts w:ascii="Arial" w:hAnsi="Arial" w:cs="Arial"/>
          <w:iCs/>
          <w:lang w:val="en-US"/>
        </w:rPr>
        <w:t xml:space="preserve">do not </w:t>
      </w:r>
      <w:r w:rsidR="001F194D" w:rsidRPr="00AE5D49">
        <w:rPr>
          <w:rFonts w:ascii="Arial" w:hAnsi="Arial" w:cs="Arial"/>
          <w:iCs/>
          <w:lang w:val="en-US"/>
        </w:rPr>
        <w:t xml:space="preserve">involve </w:t>
      </w:r>
      <w:r w:rsidR="0050784F" w:rsidRPr="00AE5D49">
        <w:rPr>
          <w:rFonts w:ascii="Arial" w:hAnsi="Arial" w:cs="Arial"/>
          <w:iCs/>
          <w:lang w:val="en-US"/>
        </w:rPr>
        <w:t xml:space="preserve">only </w:t>
      </w:r>
      <w:r w:rsidR="001F194D" w:rsidRPr="00AE5D49">
        <w:rPr>
          <w:rFonts w:ascii="Arial" w:hAnsi="Arial" w:cs="Arial"/>
          <w:iCs/>
          <w:lang w:val="en-US"/>
        </w:rPr>
        <w:t>an enquiry into the procedural aspects of the decision.</w:t>
      </w:r>
      <w:r w:rsidR="00E36F62">
        <w:rPr>
          <w:rStyle w:val="FootnoteReference"/>
          <w:rFonts w:ascii="Arial" w:hAnsi="Arial" w:cs="Arial"/>
          <w:iCs/>
          <w:lang w:val="en-US"/>
        </w:rPr>
        <w:footnoteReference w:id="23"/>
      </w:r>
      <w:r w:rsidR="00EB1C53" w:rsidRPr="00AE5D49">
        <w:rPr>
          <w:rFonts w:ascii="Arial" w:hAnsi="Arial" w:cs="Arial"/>
          <w:iCs/>
          <w:lang w:val="en-US"/>
        </w:rPr>
        <w:t xml:space="preserve"> However</w:t>
      </w:r>
      <w:r w:rsidR="0050784F" w:rsidRPr="00AE5D49">
        <w:rPr>
          <w:rFonts w:ascii="Arial" w:hAnsi="Arial" w:cs="Arial"/>
          <w:iCs/>
          <w:lang w:val="en-US"/>
        </w:rPr>
        <w:t>,</w:t>
      </w:r>
      <w:r w:rsidR="00EB1C53" w:rsidRPr="00AE5D49">
        <w:rPr>
          <w:rFonts w:ascii="Arial" w:hAnsi="Arial" w:cs="Arial"/>
          <w:iCs/>
          <w:lang w:val="en-US"/>
        </w:rPr>
        <w:t xml:space="preserve"> I will hereunder make a few remarks having interpreted the provisions as there seems to be no caselaw available on the interpretation on section 71.</w:t>
      </w:r>
    </w:p>
    <w:p w14:paraId="6DA336C8" w14:textId="77777777" w:rsidR="00DF696E" w:rsidRPr="00DF696E" w:rsidRDefault="00DF696E" w:rsidP="00DF696E">
      <w:pPr>
        <w:pStyle w:val="ListParagraph"/>
        <w:rPr>
          <w:rFonts w:ascii="Arial" w:hAnsi="Arial" w:cs="Arial"/>
          <w:lang w:val="en-US"/>
        </w:rPr>
      </w:pPr>
    </w:p>
    <w:p w14:paraId="41016597" w14:textId="6F68A39F" w:rsidR="00DF696E" w:rsidRPr="00AE5D49" w:rsidRDefault="00AE5D49" w:rsidP="00AE5D49">
      <w:pPr>
        <w:spacing w:line="480" w:lineRule="auto"/>
        <w:ind w:left="709" w:hanging="709"/>
        <w:rPr>
          <w:rFonts w:ascii="Arial" w:hAnsi="Arial" w:cs="Arial"/>
          <w:lang w:val="en-US"/>
        </w:rPr>
      </w:pPr>
      <w:r w:rsidRPr="00DF696E">
        <w:rPr>
          <w:rFonts w:ascii="Arial" w:hAnsi="Arial" w:cs="Arial"/>
          <w:lang w:val="en-US"/>
        </w:rPr>
        <w:t>[75]</w:t>
      </w:r>
      <w:r w:rsidRPr="00DF696E">
        <w:rPr>
          <w:rFonts w:ascii="Arial" w:hAnsi="Arial" w:cs="Arial"/>
          <w:lang w:val="en-US"/>
        </w:rPr>
        <w:tab/>
      </w:r>
      <w:r w:rsidR="00DF696E" w:rsidRPr="00AE5D49">
        <w:rPr>
          <w:rFonts w:ascii="Arial" w:hAnsi="Arial" w:cs="Arial"/>
          <w:lang w:val="en-US"/>
        </w:rPr>
        <w:t>The view that the review is of limited nature is supported by the South African Law Journal.</w:t>
      </w:r>
      <w:r w:rsidR="00DF696E">
        <w:rPr>
          <w:rStyle w:val="FootnoteReference"/>
          <w:rFonts w:ascii="Arial" w:hAnsi="Arial" w:cs="Arial"/>
          <w:lang w:val="en-US"/>
        </w:rPr>
        <w:footnoteReference w:id="24"/>
      </w:r>
      <w:r w:rsidR="00DF696E" w:rsidRPr="00AE5D49">
        <w:rPr>
          <w:rFonts w:ascii="Arial" w:hAnsi="Arial" w:cs="Arial"/>
          <w:lang w:val="en-US"/>
        </w:rPr>
        <w:t xml:space="preserve"> Me Cassim who authored the article in the Law Journal did not </w:t>
      </w:r>
      <w:r w:rsidR="00DF696E" w:rsidRPr="00AE5D49">
        <w:rPr>
          <w:rFonts w:ascii="Arial" w:hAnsi="Arial" w:cs="Arial"/>
          <w:lang w:val="en-US"/>
        </w:rPr>
        <w:lastRenderedPageBreak/>
        <w:t xml:space="preserve">deal with the applicability of rule 53, but concluded that the review is </w:t>
      </w:r>
      <w:r w:rsidR="00DF696E" w:rsidRPr="00AE5D49">
        <w:rPr>
          <w:rFonts w:ascii="Arial" w:hAnsi="Arial" w:cs="Arial"/>
          <w:i/>
          <w:lang w:val="en-US"/>
        </w:rPr>
        <w:t>sui generis</w:t>
      </w:r>
      <w:r w:rsidR="00DF696E" w:rsidRPr="00AE5D49">
        <w:rPr>
          <w:rFonts w:ascii="Arial" w:hAnsi="Arial" w:cs="Arial"/>
          <w:lang w:val="en-US"/>
        </w:rPr>
        <w:t>.</w:t>
      </w:r>
    </w:p>
    <w:p w14:paraId="4E5D4337" w14:textId="6EA0D9A7" w:rsidR="0050784F" w:rsidRDefault="0050784F" w:rsidP="00424DD5">
      <w:pPr>
        <w:rPr>
          <w:rFonts w:ascii="Arial" w:hAnsi="Arial" w:cs="Arial"/>
          <w:lang w:val="en-US"/>
        </w:rPr>
      </w:pPr>
    </w:p>
    <w:p w14:paraId="2BCABBBA" w14:textId="77777777" w:rsidR="00424DD5" w:rsidRPr="00424DD5" w:rsidRDefault="00424DD5" w:rsidP="00424DD5">
      <w:pPr>
        <w:rPr>
          <w:rFonts w:ascii="Arial" w:hAnsi="Arial" w:cs="Arial"/>
          <w:lang w:val="en-US"/>
        </w:rPr>
      </w:pPr>
    </w:p>
    <w:p w14:paraId="57A41F9A" w14:textId="2BC28840" w:rsidR="0050784F" w:rsidRPr="0050784F" w:rsidRDefault="0050784F" w:rsidP="0050784F">
      <w:pPr>
        <w:spacing w:line="480" w:lineRule="auto"/>
        <w:rPr>
          <w:rFonts w:ascii="Arial" w:hAnsi="Arial" w:cs="Arial"/>
          <w:b/>
          <w:i/>
          <w:lang w:val="en-US"/>
        </w:rPr>
      </w:pPr>
      <w:r w:rsidRPr="0050784F">
        <w:rPr>
          <w:rFonts w:ascii="Arial" w:hAnsi="Arial" w:cs="Arial"/>
          <w:b/>
          <w:i/>
          <w:lang w:val="en-US"/>
        </w:rPr>
        <w:t xml:space="preserve">Ambit of </w:t>
      </w:r>
      <w:r>
        <w:rPr>
          <w:rFonts w:ascii="Arial" w:hAnsi="Arial" w:cs="Arial"/>
          <w:b/>
          <w:i/>
          <w:lang w:val="en-US"/>
        </w:rPr>
        <w:t xml:space="preserve">a </w:t>
      </w:r>
      <w:r w:rsidRPr="0050784F">
        <w:rPr>
          <w:rFonts w:ascii="Arial" w:hAnsi="Arial" w:cs="Arial"/>
          <w:b/>
          <w:i/>
          <w:lang w:val="en-US"/>
        </w:rPr>
        <w:t>review</w:t>
      </w:r>
    </w:p>
    <w:p w14:paraId="6452DD0E" w14:textId="77777777" w:rsidR="00E36F62" w:rsidRPr="00E36F62" w:rsidRDefault="00E36F62" w:rsidP="00E36F62">
      <w:pPr>
        <w:pStyle w:val="ListParagraph"/>
        <w:rPr>
          <w:rFonts w:ascii="Arial" w:hAnsi="Arial" w:cs="Arial"/>
          <w:iCs/>
          <w:lang w:val="en-US"/>
        </w:rPr>
      </w:pPr>
    </w:p>
    <w:p w14:paraId="0B9BFBB0" w14:textId="24943474" w:rsidR="00D746FB" w:rsidRPr="00AE5D49" w:rsidRDefault="00AE5D49" w:rsidP="00AE5D49">
      <w:pPr>
        <w:spacing w:line="480" w:lineRule="auto"/>
        <w:ind w:left="709" w:hanging="709"/>
        <w:rPr>
          <w:rFonts w:ascii="Arial" w:hAnsi="Arial" w:cs="Arial"/>
          <w:lang w:val="en-US"/>
        </w:rPr>
      </w:pPr>
      <w:r w:rsidRPr="0079439B">
        <w:rPr>
          <w:rFonts w:ascii="Arial" w:hAnsi="Arial" w:cs="Arial"/>
          <w:lang w:val="en-US"/>
        </w:rPr>
        <w:t>[76]</w:t>
      </w:r>
      <w:r w:rsidRPr="0079439B">
        <w:rPr>
          <w:rFonts w:ascii="Arial" w:hAnsi="Arial" w:cs="Arial"/>
          <w:lang w:val="en-US"/>
        </w:rPr>
        <w:tab/>
      </w:r>
      <w:r w:rsidR="001F194D" w:rsidRPr="00AE5D49">
        <w:rPr>
          <w:rFonts w:ascii="Arial" w:hAnsi="Arial" w:cs="Arial"/>
          <w:iCs/>
          <w:lang w:val="en-US"/>
        </w:rPr>
        <w:t>The question in an appeal is whether the decision was right or wrong,</w:t>
      </w:r>
      <w:r w:rsidR="00E36F62" w:rsidRPr="00291712">
        <w:rPr>
          <w:rStyle w:val="FootnoteReference"/>
          <w:rFonts w:ascii="Arial" w:hAnsi="Arial" w:cs="Arial"/>
          <w:iCs/>
          <w:lang w:val="en-US"/>
        </w:rPr>
        <w:footnoteReference w:id="25"/>
      </w:r>
      <w:r w:rsidR="001F194D" w:rsidRPr="00AE5D49">
        <w:rPr>
          <w:rFonts w:ascii="Arial" w:hAnsi="Arial" w:cs="Arial"/>
          <w:iCs/>
          <w:lang w:val="en-US"/>
        </w:rPr>
        <w:t xml:space="preserve"> while the question in a review is whether the procedure adopted was correct or whether there were irregularities in the proceedings which may show that there has been ‘a failure of justice’.</w:t>
      </w:r>
      <w:r w:rsidR="00D746FB">
        <w:rPr>
          <w:rStyle w:val="FootnoteReference"/>
          <w:rFonts w:ascii="Arial" w:hAnsi="Arial" w:cs="Arial"/>
          <w:iCs/>
          <w:lang w:val="en-US"/>
        </w:rPr>
        <w:footnoteReference w:id="26"/>
      </w:r>
      <w:r w:rsidR="007E269F" w:rsidRPr="00AE5D49">
        <w:rPr>
          <w:rFonts w:ascii="Arial" w:hAnsi="Arial" w:cs="Arial"/>
          <w:iCs/>
          <w:lang w:val="en-US"/>
        </w:rPr>
        <w:t xml:space="preserve"> This, at the very least was the </w:t>
      </w:r>
      <w:r w:rsidR="0079439B" w:rsidRPr="00AE5D49">
        <w:rPr>
          <w:rFonts w:ascii="Arial" w:hAnsi="Arial" w:cs="Arial"/>
          <w:iCs/>
          <w:lang w:val="en-US"/>
        </w:rPr>
        <w:t xml:space="preserve">requirements for review before </w:t>
      </w:r>
      <w:r w:rsidR="00EB1C53" w:rsidRPr="00AE5D49">
        <w:rPr>
          <w:rFonts w:ascii="Arial" w:hAnsi="Arial" w:cs="Arial"/>
          <w:iCs/>
          <w:lang w:val="en-US"/>
        </w:rPr>
        <w:t xml:space="preserve">the </w:t>
      </w:r>
      <w:r w:rsidR="0079439B" w:rsidRPr="00AE5D49">
        <w:rPr>
          <w:rFonts w:ascii="Arial" w:hAnsi="Arial" w:cs="Arial"/>
          <w:iCs/>
          <w:lang w:val="en-US"/>
        </w:rPr>
        <w:t>Constitution of 1996 was enacted.</w:t>
      </w:r>
    </w:p>
    <w:p w14:paraId="7A134EFF" w14:textId="77777777" w:rsidR="00D746FB" w:rsidRPr="00FD4001" w:rsidRDefault="00D746FB" w:rsidP="00FD4001">
      <w:pPr>
        <w:rPr>
          <w:rFonts w:ascii="Arial" w:hAnsi="Arial" w:cs="Arial"/>
          <w:iCs/>
          <w:lang w:val="en-US"/>
        </w:rPr>
      </w:pPr>
    </w:p>
    <w:p w14:paraId="1C156186" w14:textId="46B973AC" w:rsidR="00EB1C53" w:rsidRPr="00AE5D49" w:rsidRDefault="00AE5D49" w:rsidP="00AE5D49">
      <w:pPr>
        <w:spacing w:line="480" w:lineRule="auto"/>
        <w:ind w:left="709" w:hanging="709"/>
        <w:rPr>
          <w:rFonts w:ascii="Arial" w:hAnsi="Arial" w:cs="Arial"/>
          <w:lang w:val="en-US"/>
        </w:rPr>
      </w:pPr>
      <w:r w:rsidRPr="00291712">
        <w:rPr>
          <w:rFonts w:ascii="Arial" w:hAnsi="Arial" w:cs="Arial"/>
          <w:lang w:val="en-US"/>
        </w:rPr>
        <w:t>[77]</w:t>
      </w:r>
      <w:r w:rsidRPr="00291712">
        <w:rPr>
          <w:rFonts w:ascii="Arial" w:hAnsi="Arial" w:cs="Arial"/>
          <w:lang w:val="en-US"/>
        </w:rPr>
        <w:tab/>
      </w:r>
      <w:r w:rsidR="00EB1C53" w:rsidRPr="00AE5D49">
        <w:rPr>
          <w:rFonts w:ascii="Arial" w:hAnsi="Arial" w:cs="Arial"/>
          <w:iCs/>
          <w:lang w:val="en-US"/>
        </w:rPr>
        <w:t>I</w:t>
      </w:r>
      <w:r w:rsidR="001F194D" w:rsidRPr="00AE5D49">
        <w:rPr>
          <w:rFonts w:ascii="Arial" w:hAnsi="Arial" w:cs="Arial"/>
          <w:iCs/>
          <w:lang w:val="en-US"/>
        </w:rPr>
        <w:t xml:space="preserve">n </w:t>
      </w:r>
      <w:r w:rsidR="00EB1C53" w:rsidRPr="00AE5D49">
        <w:rPr>
          <w:rFonts w:ascii="Arial" w:hAnsi="Arial" w:cs="Arial"/>
          <w:iCs/>
          <w:lang w:val="en-US"/>
        </w:rPr>
        <w:t xml:space="preserve">my view, on </w:t>
      </w:r>
      <w:r w:rsidR="001F194D" w:rsidRPr="00AE5D49">
        <w:rPr>
          <w:rFonts w:ascii="Arial" w:hAnsi="Arial" w:cs="Arial"/>
          <w:iCs/>
          <w:lang w:val="en-US"/>
        </w:rPr>
        <w:t xml:space="preserve">a </w:t>
      </w:r>
      <w:r w:rsidR="0079439B" w:rsidRPr="00AE5D49">
        <w:rPr>
          <w:rFonts w:ascii="Arial" w:hAnsi="Arial" w:cs="Arial"/>
          <w:iCs/>
          <w:lang w:val="en-US"/>
        </w:rPr>
        <w:t xml:space="preserve">simple </w:t>
      </w:r>
      <w:r w:rsidR="001F194D" w:rsidRPr="00AE5D49">
        <w:rPr>
          <w:rFonts w:ascii="Arial" w:hAnsi="Arial" w:cs="Arial"/>
          <w:iCs/>
          <w:lang w:val="en-US"/>
        </w:rPr>
        <w:t>reading of s</w:t>
      </w:r>
      <w:r w:rsidR="00FD4001" w:rsidRPr="00AE5D49">
        <w:rPr>
          <w:rFonts w:ascii="Arial" w:hAnsi="Arial" w:cs="Arial"/>
          <w:iCs/>
          <w:lang w:val="en-US"/>
        </w:rPr>
        <w:t xml:space="preserve">ub-section </w:t>
      </w:r>
      <w:r w:rsidR="001F194D" w:rsidRPr="00AE5D49">
        <w:rPr>
          <w:rFonts w:ascii="Arial" w:hAnsi="Arial" w:cs="Arial"/>
          <w:iCs/>
          <w:lang w:val="en-US"/>
        </w:rPr>
        <w:t xml:space="preserve">(5), a court reviewing the decision of the board of directors would be empowered to enquire </w:t>
      </w:r>
      <w:r w:rsidR="0050784F" w:rsidRPr="00AE5D49">
        <w:rPr>
          <w:rFonts w:ascii="Arial" w:hAnsi="Arial" w:cs="Arial"/>
          <w:iCs/>
          <w:lang w:val="en-US"/>
        </w:rPr>
        <w:t>not only into the</w:t>
      </w:r>
      <w:r w:rsidR="001F194D" w:rsidRPr="00AE5D49">
        <w:rPr>
          <w:rFonts w:ascii="Arial" w:hAnsi="Arial" w:cs="Arial"/>
          <w:iCs/>
          <w:lang w:val="en-US"/>
        </w:rPr>
        <w:t xml:space="preserve"> procedural correctness of the decision </w:t>
      </w:r>
      <w:r w:rsidR="0050784F" w:rsidRPr="00AE5D49">
        <w:rPr>
          <w:rFonts w:ascii="Arial" w:hAnsi="Arial" w:cs="Arial"/>
          <w:iCs/>
          <w:lang w:val="en-US"/>
        </w:rPr>
        <w:t>but also at least whether the factual finding is correct</w:t>
      </w:r>
      <w:r w:rsidR="00DF696E" w:rsidRPr="00AE5D49">
        <w:rPr>
          <w:rFonts w:ascii="Arial" w:hAnsi="Arial" w:cs="Arial"/>
          <w:iCs/>
          <w:lang w:val="en-US"/>
        </w:rPr>
        <w:t xml:space="preserve"> that there was indeed negligence or dereliction as it is the trigger to the process</w:t>
      </w:r>
      <w:r w:rsidR="0050784F" w:rsidRPr="00AE5D49">
        <w:rPr>
          <w:rFonts w:ascii="Arial" w:hAnsi="Arial" w:cs="Arial"/>
          <w:iCs/>
          <w:lang w:val="en-US"/>
        </w:rPr>
        <w:t xml:space="preserve">. This enquiry may be limited and not as extensive as a review under sub-section (6), but the record </w:t>
      </w:r>
      <w:r w:rsidR="00DF696E" w:rsidRPr="00AE5D49">
        <w:rPr>
          <w:rFonts w:ascii="Arial" w:hAnsi="Arial" w:cs="Arial"/>
          <w:iCs/>
          <w:lang w:val="en-US"/>
        </w:rPr>
        <w:t>should be provided to court to properly determine the matter.</w:t>
      </w:r>
    </w:p>
    <w:p w14:paraId="774AAEA0" w14:textId="77777777" w:rsidR="00291712" w:rsidRPr="00291712" w:rsidRDefault="00291712" w:rsidP="00291712">
      <w:pPr>
        <w:pStyle w:val="ListParagraph"/>
        <w:rPr>
          <w:rFonts w:ascii="Arial" w:hAnsi="Arial" w:cs="Arial"/>
          <w:lang w:val="en-US"/>
        </w:rPr>
      </w:pPr>
    </w:p>
    <w:p w14:paraId="3E85DA2F" w14:textId="7F9B9EAF" w:rsidR="007E4B3F" w:rsidRPr="00AE5D49" w:rsidRDefault="00AE5D49" w:rsidP="00AE5D49">
      <w:pPr>
        <w:spacing w:line="480" w:lineRule="auto"/>
        <w:ind w:left="709" w:hanging="709"/>
        <w:rPr>
          <w:rFonts w:ascii="Arial" w:hAnsi="Arial" w:cs="Arial"/>
          <w:lang w:val="en-US"/>
        </w:rPr>
      </w:pPr>
      <w:r w:rsidRPr="00291712">
        <w:rPr>
          <w:rFonts w:ascii="Arial" w:hAnsi="Arial" w:cs="Arial"/>
          <w:lang w:val="en-US"/>
        </w:rPr>
        <w:t>[78]</w:t>
      </w:r>
      <w:r w:rsidRPr="00291712">
        <w:rPr>
          <w:rFonts w:ascii="Arial" w:hAnsi="Arial" w:cs="Arial"/>
          <w:lang w:val="en-US"/>
        </w:rPr>
        <w:tab/>
      </w:r>
      <w:r w:rsidR="00D746FB" w:rsidRPr="00AE5D49">
        <w:rPr>
          <w:rFonts w:ascii="Arial" w:hAnsi="Arial" w:cs="Arial"/>
          <w:iCs/>
          <w:lang w:val="en-US"/>
        </w:rPr>
        <w:t>A court reviewing a decision where the board has decided not to remove a director in terms of section 71(6) can either confirm the decision of the board, or remove the director from office if the court is ‘</w:t>
      </w:r>
      <w:r w:rsidR="00D746FB" w:rsidRPr="00AE5D49">
        <w:rPr>
          <w:rFonts w:ascii="Arial" w:hAnsi="Arial" w:cs="Arial"/>
          <w:i/>
          <w:iCs/>
          <w:lang w:val="en-US"/>
        </w:rPr>
        <w:t>satisfied</w:t>
      </w:r>
      <w:r w:rsidR="00D746FB" w:rsidRPr="00AE5D49">
        <w:rPr>
          <w:rFonts w:ascii="Arial" w:hAnsi="Arial" w:cs="Arial"/>
          <w:iCs/>
          <w:lang w:val="en-US"/>
        </w:rPr>
        <w:t xml:space="preserve">’ that the director is ineligible, disqualified, incapacitated or has been negligent or derelict. </w:t>
      </w:r>
      <w:r w:rsidR="0050784F" w:rsidRPr="00AE5D49">
        <w:rPr>
          <w:rFonts w:ascii="Arial" w:hAnsi="Arial" w:cs="Arial"/>
          <w:iCs/>
          <w:lang w:val="en-US"/>
        </w:rPr>
        <w:t xml:space="preserve">In reaching such a decision the court must make inter alia factual decisions. </w:t>
      </w:r>
      <w:r w:rsidR="00D746FB" w:rsidRPr="00AE5D49">
        <w:rPr>
          <w:rFonts w:ascii="Arial" w:hAnsi="Arial" w:cs="Arial"/>
          <w:iCs/>
          <w:lang w:val="en-US"/>
        </w:rPr>
        <w:t xml:space="preserve">The word ‘satisfied’ indicates that, in reviewing the board’s decision not to remove </w:t>
      </w:r>
      <w:r w:rsidR="00D746FB" w:rsidRPr="00AE5D49">
        <w:rPr>
          <w:rFonts w:ascii="Arial" w:hAnsi="Arial" w:cs="Arial"/>
          <w:iCs/>
          <w:lang w:val="en-US"/>
        </w:rPr>
        <w:lastRenderedPageBreak/>
        <w:t>a director, a court would be empowered to consider the merits of the matter, and not just the procedural aspects of the decision.</w:t>
      </w:r>
      <w:r w:rsidR="00F32C5B" w:rsidRPr="00AE5D49">
        <w:rPr>
          <w:rFonts w:ascii="Arial" w:hAnsi="Arial" w:cs="Arial"/>
          <w:iCs/>
          <w:lang w:val="en-US"/>
        </w:rPr>
        <w:t xml:space="preserve"> In such a review</w:t>
      </w:r>
      <w:r w:rsidR="00471060" w:rsidRPr="00AE5D49">
        <w:rPr>
          <w:rFonts w:ascii="Arial" w:hAnsi="Arial" w:cs="Arial"/>
          <w:iCs/>
          <w:lang w:val="en-US"/>
        </w:rPr>
        <w:t xml:space="preserve"> the record would </w:t>
      </w:r>
      <w:r w:rsidR="0050784F" w:rsidRPr="00AE5D49">
        <w:rPr>
          <w:rFonts w:ascii="Arial" w:hAnsi="Arial" w:cs="Arial"/>
          <w:iCs/>
          <w:lang w:val="en-US"/>
        </w:rPr>
        <w:t xml:space="preserve">also </w:t>
      </w:r>
      <w:r w:rsidR="00471060" w:rsidRPr="00AE5D49">
        <w:rPr>
          <w:rFonts w:ascii="Arial" w:hAnsi="Arial" w:cs="Arial"/>
          <w:iCs/>
          <w:lang w:val="en-US"/>
        </w:rPr>
        <w:t>clearly be relevant.</w:t>
      </w:r>
    </w:p>
    <w:p w14:paraId="7D5ACCA3" w14:textId="77777777" w:rsidR="00291712" w:rsidRPr="00291712" w:rsidRDefault="00291712" w:rsidP="00291712">
      <w:pPr>
        <w:pStyle w:val="ListParagraph"/>
        <w:rPr>
          <w:rFonts w:ascii="Arial" w:hAnsi="Arial" w:cs="Arial"/>
          <w:lang w:val="en-US"/>
        </w:rPr>
      </w:pPr>
    </w:p>
    <w:p w14:paraId="352591E5" w14:textId="332FB923" w:rsidR="00291712" w:rsidRPr="00AE5D49" w:rsidRDefault="00AE5D49" w:rsidP="00AE5D49">
      <w:pPr>
        <w:spacing w:line="480" w:lineRule="auto"/>
        <w:ind w:left="709" w:hanging="709"/>
        <w:rPr>
          <w:rFonts w:ascii="Arial" w:hAnsi="Arial" w:cs="Arial"/>
          <w:lang w:val="en-US"/>
        </w:rPr>
      </w:pPr>
      <w:r>
        <w:rPr>
          <w:rFonts w:ascii="Arial" w:hAnsi="Arial" w:cs="Arial"/>
          <w:lang w:val="en-US"/>
        </w:rPr>
        <w:t>[79]</w:t>
      </w:r>
      <w:r>
        <w:rPr>
          <w:rFonts w:ascii="Arial" w:hAnsi="Arial" w:cs="Arial"/>
          <w:lang w:val="en-US"/>
        </w:rPr>
        <w:tab/>
      </w:r>
      <w:r w:rsidR="00291712" w:rsidRPr="00AE5D49">
        <w:rPr>
          <w:rFonts w:ascii="Arial" w:hAnsi="Arial" w:cs="Arial"/>
          <w:lang w:val="en-US"/>
        </w:rPr>
        <w:t>The legislature clearly knew when drawing the particular sections that the powers of the court would be limited in a normal review process and granted the court more extensive powers under section 71(6).</w:t>
      </w:r>
    </w:p>
    <w:p w14:paraId="229DB9F2" w14:textId="77777777" w:rsidR="00291712" w:rsidRPr="00291712" w:rsidRDefault="00291712" w:rsidP="00291712">
      <w:pPr>
        <w:pStyle w:val="ListParagraph"/>
        <w:rPr>
          <w:rFonts w:ascii="Arial" w:hAnsi="Arial" w:cs="Arial"/>
          <w:lang w:val="en-US"/>
        </w:rPr>
      </w:pPr>
    </w:p>
    <w:p w14:paraId="67009B64" w14:textId="285FE039" w:rsidR="008876F4" w:rsidRPr="00AE5D49" w:rsidRDefault="00AE5D49" w:rsidP="00AE5D49">
      <w:pPr>
        <w:spacing w:line="480" w:lineRule="auto"/>
        <w:ind w:left="709" w:hanging="709"/>
        <w:rPr>
          <w:rFonts w:ascii="Arial" w:hAnsi="Arial" w:cs="Arial"/>
          <w:lang w:val="en-US"/>
        </w:rPr>
      </w:pPr>
      <w:r>
        <w:rPr>
          <w:rFonts w:ascii="Arial" w:hAnsi="Arial" w:cs="Arial"/>
          <w:lang w:val="en-US"/>
        </w:rPr>
        <w:t>[80]</w:t>
      </w:r>
      <w:r>
        <w:rPr>
          <w:rFonts w:ascii="Arial" w:hAnsi="Arial" w:cs="Arial"/>
          <w:lang w:val="en-US"/>
        </w:rPr>
        <w:tab/>
      </w:r>
      <w:r w:rsidR="00291712" w:rsidRPr="00AE5D49">
        <w:rPr>
          <w:rFonts w:ascii="Arial" w:hAnsi="Arial" w:cs="Arial"/>
          <w:lang w:val="en-US"/>
        </w:rPr>
        <w:t xml:space="preserve">Is should be noted that the court will in my view not lightly interfere with the </w:t>
      </w:r>
      <w:r w:rsidR="00DF696E" w:rsidRPr="00AE5D49">
        <w:rPr>
          <w:rFonts w:ascii="Arial" w:hAnsi="Arial" w:cs="Arial"/>
          <w:lang w:val="en-US"/>
        </w:rPr>
        <w:t>determination to remove the director</w:t>
      </w:r>
      <w:r w:rsidR="00291712" w:rsidRPr="00AE5D49">
        <w:rPr>
          <w:rFonts w:ascii="Arial" w:hAnsi="Arial" w:cs="Arial"/>
          <w:lang w:val="en-US"/>
        </w:rPr>
        <w:t xml:space="preserve"> as</w:t>
      </w:r>
      <w:r w:rsidR="00AC30A4" w:rsidRPr="00AE5D49">
        <w:rPr>
          <w:rFonts w:ascii="Arial" w:hAnsi="Arial" w:cs="Arial"/>
          <w:lang w:val="en-US"/>
        </w:rPr>
        <w:t xml:space="preserve"> a director of a company is deployed to that position at the </w:t>
      </w:r>
      <w:r w:rsidR="008876F4" w:rsidRPr="00AE5D49">
        <w:rPr>
          <w:rFonts w:ascii="Arial" w:hAnsi="Arial" w:cs="Arial"/>
          <w:lang w:val="en-US"/>
        </w:rPr>
        <w:t>behest</w:t>
      </w:r>
      <w:r w:rsidR="00AC30A4" w:rsidRPr="00AE5D49">
        <w:rPr>
          <w:rFonts w:ascii="Arial" w:hAnsi="Arial" w:cs="Arial"/>
          <w:lang w:val="en-US"/>
        </w:rPr>
        <w:t xml:space="preserve"> of the shareholders</w:t>
      </w:r>
      <w:r w:rsidR="00DF696E" w:rsidRPr="00AE5D49">
        <w:rPr>
          <w:rFonts w:ascii="Arial" w:hAnsi="Arial" w:cs="Arial"/>
          <w:lang w:val="en-US"/>
        </w:rPr>
        <w:t xml:space="preserve"> or other directors</w:t>
      </w:r>
      <w:r w:rsidR="00AC30A4" w:rsidRPr="00AE5D49">
        <w:rPr>
          <w:rFonts w:ascii="Arial" w:hAnsi="Arial" w:cs="Arial"/>
          <w:lang w:val="en-US"/>
        </w:rPr>
        <w:t>. The Companies Act provide</w:t>
      </w:r>
      <w:r w:rsidR="008876F4" w:rsidRPr="00AE5D49">
        <w:rPr>
          <w:rFonts w:ascii="Arial" w:hAnsi="Arial" w:cs="Arial"/>
          <w:lang w:val="en-US"/>
        </w:rPr>
        <w:t>s</w:t>
      </w:r>
      <w:r w:rsidR="00AC30A4" w:rsidRPr="00AE5D49">
        <w:rPr>
          <w:rFonts w:ascii="Arial" w:hAnsi="Arial" w:cs="Arial"/>
          <w:lang w:val="en-US"/>
        </w:rPr>
        <w:t xml:space="preserve"> for the removal of such a director </w:t>
      </w:r>
      <w:r w:rsidR="008876F4" w:rsidRPr="00AE5D49">
        <w:rPr>
          <w:rFonts w:ascii="Arial" w:hAnsi="Arial" w:cs="Arial"/>
          <w:lang w:val="en-US"/>
        </w:rPr>
        <w:t xml:space="preserve">by the Board only </w:t>
      </w:r>
      <w:r w:rsidR="00AC30A4" w:rsidRPr="00AE5D49">
        <w:rPr>
          <w:rFonts w:ascii="Arial" w:hAnsi="Arial" w:cs="Arial"/>
          <w:lang w:val="en-US"/>
        </w:rPr>
        <w:t>in respect of certain companies</w:t>
      </w:r>
      <w:r w:rsidR="008876F4" w:rsidRPr="00AE5D49">
        <w:rPr>
          <w:rFonts w:ascii="Arial" w:hAnsi="Arial" w:cs="Arial"/>
          <w:lang w:val="en-US"/>
        </w:rPr>
        <w:t xml:space="preserve"> and only in certain limited circumstances.</w:t>
      </w:r>
    </w:p>
    <w:p w14:paraId="01B0B8B4" w14:textId="77777777" w:rsidR="00291712" w:rsidRPr="00291712" w:rsidRDefault="00291712" w:rsidP="00291712">
      <w:pPr>
        <w:pStyle w:val="ListParagraph"/>
        <w:rPr>
          <w:rFonts w:ascii="Arial" w:hAnsi="Arial" w:cs="Arial"/>
          <w:lang w:val="en-US"/>
        </w:rPr>
      </w:pPr>
    </w:p>
    <w:p w14:paraId="30E7940C" w14:textId="2F13290B" w:rsidR="00DF696E" w:rsidRPr="00AE5D49" w:rsidRDefault="00AE5D49" w:rsidP="00AE5D49">
      <w:pPr>
        <w:spacing w:line="480" w:lineRule="auto"/>
        <w:ind w:left="709" w:hanging="709"/>
        <w:rPr>
          <w:rFonts w:ascii="Arial" w:hAnsi="Arial" w:cs="Arial"/>
          <w:lang w:val="en-US"/>
        </w:rPr>
      </w:pPr>
      <w:r>
        <w:rPr>
          <w:rFonts w:ascii="Arial" w:hAnsi="Arial" w:cs="Arial"/>
          <w:lang w:val="en-US"/>
        </w:rPr>
        <w:t>[81]</w:t>
      </w:r>
      <w:r>
        <w:rPr>
          <w:rFonts w:ascii="Arial" w:hAnsi="Arial" w:cs="Arial"/>
          <w:lang w:val="en-US"/>
        </w:rPr>
        <w:tab/>
      </w:r>
      <w:r w:rsidR="00EB1C53" w:rsidRPr="00AE5D49">
        <w:rPr>
          <w:rFonts w:ascii="Arial" w:hAnsi="Arial" w:cs="Arial"/>
          <w:lang w:val="en-US"/>
        </w:rPr>
        <w:t xml:space="preserve">It </w:t>
      </w:r>
      <w:r w:rsidR="00291712" w:rsidRPr="00AE5D49">
        <w:rPr>
          <w:rFonts w:ascii="Arial" w:hAnsi="Arial" w:cs="Arial"/>
          <w:lang w:val="en-US"/>
        </w:rPr>
        <w:t>is</w:t>
      </w:r>
      <w:r w:rsidR="00EB1C53" w:rsidRPr="00AE5D49">
        <w:rPr>
          <w:rFonts w:ascii="Arial" w:hAnsi="Arial" w:cs="Arial"/>
          <w:lang w:val="en-US"/>
        </w:rPr>
        <w:t xml:space="preserve"> clear that t</w:t>
      </w:r>
      <w:r w:rsidR="008876F4" w:rsidRPr="00AE5D49">
        <w:rPr>
          <w:rFonts w:ascii="Arial" w:hAnsi="Arial" w:cs="Arial"/>
          <w:lang w:val="en-US"/>
        </w:rPr>
        <w:t xml:space="preserve">he review foreseen in section 71(5) falls into the third category listed in </w:t>
      </w:r>
      <w:r w:rsidR="008876F4" w:rsidRPr="00AE5D49">
        <w:rPr>
          <w:rFonts w:ascii="Times" w:hAnsi="Times" w:cs="Arial"/>
          <w:i/>
          <w:sz w:val="26"/>
          <w:szCs w:val="26"/>
          <w:lang w:val="en-US"/>
        </w:rPr>
        <w:t>Tikly v Johannes NO</w:t>
      </w:r>
      <w:r w:rsidR="008876F4" w:rsidRPr="00471060">
        <w:rPr>
          <w:rStyle w:val="FootnoteReference"/>
          <w:rFonts w:ascii="Arial" w:hAnsi="Arial" w:cs="Arial"/>
          <w:lang w:val="en-US"/>
        </w:rPr>
        <w:footnoteReference w:id="27"/>
      </w:r>
      <w:r w:rsidR="00FD4001" w:rsidRPr="00AE5D49">
        <w:rPr>
          <w:rFonts w:ascii="Arial" w:hAnsi="Arial" w:cs="Arial"/>
          <w:i/>
          <w:lang w:val="en-US"/>
        </w:rPr>
        <w:t>,</w:t>
      </w:r>
      <w:r w:rsidR="00F67BA5" w:rsidRPr="00AE5D49">
        <w:rPr>
          <w:rFonts w:ascii="Times" w:hAnsi="Times" w:cs="Arial"/>
          <w:i/>
          <w:sz w:val="26"/>
          <w:szCs w:val="26"/>
          <w:lang w:val="en-US"/>
        </w:rPr>
        <w:t xml:space="preserve"> </w:t>
      </w:r>
      <w:r w:rsidR="00FD4001" w:rsidRPr="00AE5D49">
        <w:rPr>
          <w:rFonts w:ascii="Arial" w:hAnsi="Arial" w:cs="Arial"/>
          <w:lang w:val="en-US"/>
        </w:rPr>
        <w:t xml:space="preserve">referred to above, </w:t>
      </w:r>
      <w:r w:rsidR="00F67BA5" w:rsidRPr="00AE5D49">
        <w:rPr>
          <w:rFonts w:ascii="Arial" w:hAnsi="Arial" w:cs="Arial"/>
          <w:lang w:val="en-US"/>
        </w:rPr>
        <w:t>i.e. a limited re-hearing with or without additional evidence / information to determine, not whether the decision was correct, but whether the hearing of first instance was properly conducted.</w:t>
      </w:r>
    </w:p>
    <w:p w14:paraId="3F276C72" w14:textId="77777777" w:rsidR="00DF696E" w:rsidRPr="00DF696E" w:rsidRDefault="00DF696E" w:rsidP="00DF696E">
      <w:pPr>
        <w:pStyle w:val="ListParagraph"/>
        <w:rPr>
          <w:rFonts w:ascii="Arial" w:hAnsi="Arial" w:cs="Arial"/>
          <w:lang w:val="en-US"/>
        </w:rPr>
      </w:pPr>
    </w:p>
    <w:p w14:paraId="0258C253" w14:textId="758E9553" w:rsidR="008876F4" w:rsidRPr="00AE5D49" w:rsidRDefault="00AE5D49" w:rsidP="00AE5D49">
      <w:pPr>
        <w:spacing w:line="480" w:lineRule="auto"/>
        <w:ind w:left="709" w:hanging="709"/>
        <w:rPr>
          <w:rFonts w:ascii="Arial" w:hAnsi="Arial" w:cs="Arial"/>
          <w:lang w:val="en-US"/>
        </w:rPr>
      </w:pPr>
      <w:r w:rsidRPr="00291712">
        <w:rPr>
          <w:rFonts w:ascii="Arial" w:hAnsi="Arial" w:cs="Arial"/>
          <w:lang w:val="en-US"/>
        </w:rPr>
        <w:t>[82]</w:t>
      </w:r>
      <w:r w:rsidRPr="00291712">
        <w:rPr>
          <w:rFonts w:ascii="Arial" w:hAnsi="Arial" w:cs="Arial"/>
          <w:lang w:val="en-US"/>
        </w:rPr>
        <w:tab/>
      </w:r>
      <w:r w:rsidR="00EB1C53" w:rsidRPr="00AE5D49">
        <w:rPr>
          <w:rFonts w:ascii="Arial" w:hAnsi="Arial" w:cs="Arial"/>
          <w:lang w:val="en-US"/>
        </w:rPr>
        <w:t>That however does not disentitle a party to the record</w:t>
      </w:r>
      <w:r w:rsidR="00291712" w:rsidRPr="00AE5D49">
        <w:rPr>
          <w:rFonts w:ascii="Arial" w:hAnsi="Arial" w:cs="Arial"/>
          <w:lang w:val="en-US"/>
        </w:rPr>
        <w:t>. If the notice and reasons are not provided then there has not been compliance with the procedure and no record is needed to show that there has been no compliance.</w:t>
      </w:r>
    </w:p>
    <w:p w14:paraId="24017897" w14:textId="77777777" w:rsidR="00EB1C53" w:rsidRPr="00EB1C53" w:rsidRDefault="00EB1C53" w:rsidP="00EB1C53">
      <w:pPr>
        <w:pStyle w:val="ListParagraph"/>
        <w:rPr>
          <w:rFonts w:ascii="Arial" w:hAnsi="Arial" w:cs="Arial"/>
          <w:lang w:val="en-US"/>
        </w:rPr>
      </w:pPr>
    </w:p>
    <w:p w14:paraId="7819247B" w14:textId="714EA0D1" w:rsidR="00EB1C53" w:rsidRPr="00AE5D49" w:rsidRDefault="00AE5D49" w:rsidP="00AE5D49">
      <w:pPr>
        <w:spacing w:line="480" w:lineRule="auto"/>
        <w:ind w:left="709" w:hanging="709"/>
        <w:rPr>
          <w:rFonts w:ascii="Arial" w:hAnsi="Arial" w:cs="Arial"/>
          <w:lang w:val="en-US"/>
        </w:rPr>
      </w:pPr>
      <w:r>
        <w:rPr>
          <w:rFonts w:ascii="Arial" w:hAnsi="Arial" w:cs="Arial"/>
          <w:lang w:val="en-US"/>
        </w:rPr>
        <w:lastRenderedPageBreak/>
        <w:t>[83]</w:t>
      </w:r>
      <w:r>
        <w:rPr>
          <w:rFonts w:ascii="Arial" w:hAnsi="Arial" w:cs="Arial"/>
          <w:lang w:val="en-US"/>
        </w:rPr>
        <w:tab/>
      </w:r>
      <w:r w:rsidR="00EB1C53" w:rsidRPr="00AE5D49">
        <w:rPr>
          <w:rFonts w:ascii="Arial" w:hAnsi="Arial" w:cs="Arial"/>
          <w:lang w:val="en-US"/>
        </w:rPr>
        <w:t xml:space="preserve">Having regard to the provisions of section 71(5) as compared to section 71(6), the view that the review under section 71(5), is sui generis, </w:t>
      </w:r>
      <w:r w:rsidR="00291712" w:rsidRPr="00AE5D49">
        <w:rPr>
          <w:rFonts w:ascii="Arial" w:hAnsi="Arial" w:cs="Arial"/>
          <w:lang w:val="en-US"/>
        </w:rPr>
        <w:t>is</w:t>
      </w:r>
      <w:r w:rsidR="00EB1C53" w:rsidRPr="00AE5D49">
        <w:rPr>
          <w:rFonts w:ascii="Arial" w:hAnsi="Arial" w:cs="Arial"/>
          <w:lang w:val="en-US"/>
        </w:rPr>
        <w:t xml:space="preserve"> correct</w:t>
      </w:r>
      <w:r w:rsidR="00291712" w:rsidRPr="00AE5D49">
        <w:rPr>
          <w:rFonts w:ascii="Arial" w:hAnsi="Arial" w:cs="Arial"/>
          <w:lang w:val="en-US"/>
        </w:rPr>
        <w:t>.</w:t>
      </w:r>
    </w:p>
    <w:p w14:paraId="2D5FE558" w14:textId="77777777" w:rsidR="00EB1C53" w:rsidRPr="00EB1C53" w:rsidRDefault="00EB1C53" w:rsidP="00EB1C53">
      <w:pPr>
        <w:pStyle w:val="ListParagraph"/>
        <w:rPr>
          <w:rFonts w:ascii="Arial" w:hAnsi="Arial" w:cs="Arial"/>
          <w:lang w:val="en-US"/>
        </w:rPr>
      </w:pPr>
    </w:p>
    <w:p w14:paraId="5EDD81D6" w14:textId="45616C0A" w:rsidR="00EB1C53" w:rsidRPr="00AE5D49" w:rsidRDefault="00AE5D49" w:rsidP="00AE5D49">
      <w:pPr>
        <w:spacing w:line="480" w:lineRule="auto"/>
        <w:ind w:left="709" w:hanging="709"/>
        <w:rPr>
          <w:rFonts w:ascii="Arial" w:hAnsi="Arial" w:cs="Arial"/>
          <w:lang w:val="en-US"/>
        </w:rPr>
      </w:pPr>
      <w:r w:rsidRPr="00EB1C53">
        <w:rPr>
          <w:rFonts w:ascii="Arial" w:hAnsi="Arial" w:cs="Arial"/>
          <w:lang w:val="en-US"/>
        </w:rPr>
        <w:t>[84]</w:t>
      </w:r>
      <w:r w:rsidRPr="00EB1C53">
        <w:rPr>
          <w:rFonts w:ascii="Arial" w:hAnsi="Arial" w:cs="Arial"/>
          <w:lang w:val="en-US"/>
        </w:rPr>
        <w:tab/>
      </w:r>
      <w:r w:rsidR="00EB1C53" w:rsidRPr="00AE5D49">
        <w:rPr>
          <w:rFonts w:ascii="Arial" w:hAnsi="Arial" w:cs="Arial"/>
          <w:lang w:val="en-US"/>
        </w:rPr>
        <w:t xml:space="preserve">In the matter of </w:t>
      </w:r>
      <w:r w:rsidR="00EB1C53" w:rsidRPr="00AE5D49">
        <w:rPr>
          <w:rFonts w:ascii="Times" w:hAnsi="Times" w:cs="Arial"/>
          <w:bCs/>
          <w:i/>
          <w:sz w:val="26"/>
          <w:szCs w:val="26"/>
        </w:rPr>
        <w:t>Helen Suzman Foundation v Judicial Service Commission</w:t>
      </w:r>
      <w:r w:rsidR="00EB1C53" w:rsidRPr="00DF696E">
        <w:rPr>
          <w:rStyle w:val="FootnoteReference"/>
          <w:rFonts w:ascii="Arial" w:hAnsi="Arial" w:cs="Arial"/>
          <w:bCs/>
          <w:sz w:val="26"/>
          <w:szCs w:val="26"/>
        </w:rPr>
        <w:footnoteReference w:id="28"/>
      </w:r>
      <w:r w:rsidR="00EB1C53" w:rsidRPr="00AE5D49">
        <w:rPr>
          <w:rFonts w:ascii="Times" w:hAnsi="Times" w:cs="Arial"/>
          <w:bCs/>
          <w:sz w:val="26"/>
          <w:szCs w:val="26"/>
        </w:rPr>
        <w:t xml:space="preserve"> </w:t>
      </w:r>
      <w:r w:rsidR="00EB1C53" w:rsidRPr="00AE5D49">
        <w:rPr>
          <w:rFonts w:ascii="Arial" w:hAnsi="Arial" w:cs="Arial"/>
          <w:bCs/>
        </w:rPr>
        <w:t>the court found that:</w:t>
      </w:r>
    </w:p>
    <w:p w14:paraId="0EA2303D" w14:textId="77777777" w:rsidR="00EB1C53" w:rsidRDefault="00EB1C53" w:rsidP="00EB1C53">
      <w:pPr>
        <w:pStyle w:val="ListParagraph"/>
        <w:spacing w:line="480" w:lineRule="auto"/>
        <w:ind w:left="1440"/>
        <w:rPr>
          <w:rFonts w:ascii="Times" w:hAnsi="Times"/>
          <w:i/>
          <w:color w:val="242121"/>
        </w:rPr>
      </w:pPr>
      <w:r>
        <w:rPr>
          <w:rFonts w:ascii="Times" w:hAnsi="Times"/>
          <w:i/>
          <w:color w:val="000000"/>
        </w:rPr>
        <w:t>“</w:t>
      </w:r>
      <w:r w:rsidRPr="00EB1C53">
        <w:rPr>
          <w:rFonts w:ascii="Times" w:hAnsi="Times"/>
          <w:i/>
          <w:color w:val="000000"/>
        </w:rPr>
        <w:t>[14]</w:t>
      </w:r>
      <w:r w:rsidRPr="00EB1C53">
        <w:rPr>
          <w:rStyle w:val="apple-converted-space"/>
          <w:rFonts w:ascii="Times" w:hAnsi="Times"/>
          <w:i/>
          <w:color w:val="000000"/>
        </w:rPr>
        <w:t> </w:t>
      </w:r>
      <w:r w:rsidRPr="00EB1C53">
        <w:rPr>
          <w:rFonts w:ascii="Times" w:hAnsi="Times"/>
          <w:i/>
          <w:color w:val="242121"/>
          <w:u w:val="single"/>
        </w:rPr>
        <w:t>Our courts have recognised that rule 53 plays a vital role in enabling a court to perform its constitutionally entrenched review function</w:t>
      </w:r>
      <w:r w:rsidRPr="00EB1C53">
        <w:rPr>
          <w:rFonts w:ascii="Times" w:hAnsi="Times"/>
          <w:i/>
          <w:color w:val="242121"/>
        </w:rPr>
        <w:t>:</w:t>
      </w:r>
    </w:p>
    <w:p w14:paraId="2F4B56A4" w14:textId="4CAF3F9C" w:rsidR="00EB1C53" w:rsidRDefault="00EB1C53" w:rsidP="00EB1C53">
      <w:pPr>
        <w:pStyle w:val="ListParagraph"/>
        <w:spacing w:line="480" w:lineRule="auto"/>
        <w:ind w:left="2160"/>
        <w:rPr>
          <w:rFonts w:ascii="Times" w:hAnsi="Times"/>
          <w:i/>
          <w:lang w:val="en-US"/>
        </w:rPr>
      </w:pPr>
      <w:r>
        <w:rPr>
          <w:rFonts w:ascii="Times" w:hAnsi="Times"/>
          <w:i/>
          <w:color w:val="242121"/>
        </w:rPr>
        <w:t>‘</w:t>
      </w:r>
      <w:r w:rsidRPr="00EB1C53">
        <w:rPr>
          <w:rFonts w:ascii="Times" w:hAnsi="Times"/>
          <w:i/>
          <w:color w:val="242121"/>
        </w:rPr>
        <w:t>Without the record a court cannot perform its constitutionally entrenched review function, with the result that a litigant’s right in terms of section 34 of the Constitution to have a justiciable dispute decided in a fair public hearing before a court with all the issues being ventilated, would be infringed</w:t>
      </w:r>
      <w:r w:rsidRPr="00EB1C53">
        <w:rPr>
          <w:rFonts w:ascii="Times" w:hAnsi="Times"/>
          <w:i/>
        </w:rPr>
        <w:t>.”(</w:t>
      </w:r>
      <w:r>
        <w:rPr>
          <w:rFonts w:ascii="Times" w:hAnsi="Times"/>
          <w:i/>
        </w:rPr>
        <w:t>*</w:t>
      </w:r>
      <w:r w:rsidRPr="00EB1C53">
        <w:rPr>
          <w:rFonts w:ascii="Times" w:hAnsi="Times"/>
          <w:i/>
          <w:iCs/>
        </w:rPr>
        <w:t>Democratic Alliance v Acting National Director of Public Prosecutions</w:t>
      </w:r>
      <w:r w:rsidRPr="00EB1C53">
        <w:rPr>
          <w:rStyle w:val="apple-converted-space"/>
          <w:rFonts w:ascii="Times" w:hAnsi="Times"/>
          <w:i/>
          <w:iCs/>
        </w:rPr>
        <w:t> </w:t>
      </w:r>
      <w:hyperlink r:id="rId9" w:tooltip="View LawCiteRecord" w:history="1">
        <w:r w:rsidRPr="00EB1C53">
          <w:rPr>
            <w:rStyle w:val="Hyperlink"/>
            <w:rFonts w:ascii="Times" w:hAnsi="Times"/>
            <w:bCs/>
            <w:i/>
            <w:color w:val="auto"/>
            <w:u w:val="none"/>
          </w:rPr>
          <w:t>[2012] ZASCA 15</w:t>
        </w:r>
      </w:hyperlink>
      <w:r w:rsidRPr="00EB1C53">
        <w:rPr>
          <w:rFonts w:ascii="Times" w:hAnsi="Times"/>
          <w:i/>
          <w:shd w:val="clear" w:color="auto" w:fill="FFFFFF"/>
        </w:rPr>
        <w:t>;</w:t>
      </w:r>
      <w:r w:rsidRPr="00EB1C53">
        <w:rPr>
          <w:rStyle w:val="apple-converted-space"/>
          <w:rFonts w:ascii="Times" w:hAnsi="Times"/>
          <w:i/>
          <w:shd w:val="clear" w:color="auto" w:fill="FFFFFF"/>
        </w:rPr>
        <w:t> </w:t>
      </w:r>
      <w:hyperlink r:id="rId10" w:tooltip="View LawCiteRecord" w:history="1">
        <w:r w:rsidRPr="00EB1C53">
          <w:rPr>
            <w:rStyle w:val="Hyperlink"/>
            <w:rFonts w:ascii="Times" w:hAnsi="Times"/>
            <w:bCs/>
            <w:i/>
            <w:color w:val="auto"/>
            <w:u w:val="none"/>
            <w:lang w:val="en-US"/>
          </w:rPr>
          <w:t>2012 (3) SA 486</w:t>
        </w:r>
      </w:hyperlink>
      <w:r w:rsidRPr="00EB1C53">
        <w:rPr>
          <w:rStyle w:val="apple-converted-space"/>
          <w:rFonts w:ascii="Times" w:hAnsi="Times"/>
          <w:i/>
          <w:lang w:val="en-US"/>
        </w:rPr>
        <w:t> </w:t>
      </w:r>
      <w:r w:rsidRPr="00EB1C53">
        <w:rPr>
          <w:rFonts w:ascii="Times" w:hAnsi="Times"/>
          <w:i/>
          <w:lang w:val="en-US"/>
        </w:rPr>
        <w:t>(SCA) at para 34</w:t>
      </w:r>
      <w:r>
        <w:rPr>
          <w:rFonts w:ascii="Times" w:hAnsi="Times"/>
          <w:i/>
          <w:lang w:val="en-US"/>
        </w:rPr>
        <w:t>)</w:t>
      </w:r>
    </w:p>
    <w:p w14:paraId="7A28327D" w14:textId="77777777" w:rsidR="00EB1C53" w:rsidRDefault="00EB1C53" w:rsidP="00EB1C53">
      <w:pPr>
        <w:pStyle w:val="ListParagraph"/>
        <w:ind w:left="2160"/>
        <w:rPr>
          <w:rFonts w:ascii="Times" w:hAnsi="Times"/>
          <w:i/>
          <w:lang w:val="en-US"/>
        </w:rPr>
      </w:pPr>
    </w:p>
    <w:p w14:paraId="225A96CF" w14:textId="734E66BB" w:rsidR="00EB1C53" w:rsidRDefault="00EB1C53" w:rsidP="00EB1C53">
      <w:pPr>
        <w:spacing w:line="480" w:lineRule="auto"/>
        <w:ind w:left="1440"/>
        <w:rPr>
          <w:rFonts w:ascii="Times" w:hAnsi="Times"/>
          <w:i/>
          <w:color w:val="242121"/>
        </w:rPr>
      </w:pPr>
      <w:r w:rsidRPr="00EB1C53">
        <w:rPr>
          <w:rFonts w:ascii="Times" w:hAnsi="Times"/>
          <w:i/>
          <w:color w:val="000000"/>
        </w:rPr>
        <w:t>[15]</w:t>
      </w:r>
      <w:r w:rsidRPr="00EB1C53">
        <w:rPr>
          <w:rStyle w:val="apple-converted-space"/>
          <w:rFonts w:ascii="Times" w:hAnsi="Times"/>
          <w:i/>
          <w:color w:val="000000"/>
        </w:rPr>
        <w:t> </w:t>
      </w:r>
      <w:r w:rsidRPr="00EB1C53">
        <w:rPr>
          <w:rFonts w:ascii="Times" w:hAnsi="Times"/>
          <w:i/>
          <w:color w:val="242121"/>
          <w:u w:val="single"/>
        </w:rPr>
        <w:t>The filing of the full record furthers an applicant’s right of access to court by ensuring both that the court has the relevant information before it and that there is equality of arms between the person challenging a decision and the decision-maker.  Equality of arms requires that parties to the review proceedings must each have a reasonable opportunity of presenting their case under conditions that do not place them at a substantial disadvantage</w:t>
      </w:r>
      <w:r w:rsidRPr="00EB1C53">
        <w:rPr>
          <w:rStyle w:val="apple-converted-space"/>
          <w:rFonts w:ascii="Times" w:hAnsi="Times"/>
          <w:i/>
          <w:color w:val="242121"/>
          <w:u w:val="single"/>
        </w:rPr>
        <w:t> </w:t>
      </w:r>
      <w:r w:rsidRPr="00EB1C53">
        <w:rPr>
          <w:rFonts w:ascii="Times" w:hAnsi="Times"/>
          <w:i/>
          <w:iCs/>
          <w:color w:val="242121"/>
          <w:u w:val="single"/>
        </w:rPr>
        <w:t>vis-à-vis</w:t>
      </w:r>
      <w:r w:rsidRPr="00EB1C53">
        <w:rPr>
          <w:rStyle w:val="apple-converted-space"/>
          <w:rFonts w:ascii="Times" w:hAnsi="Times"/>
          <w:i/>
          <w:iCs/>
          <w:color w:val="242121"/>
          <w:u w:val="single"/>
        </w:rPr>
        <w:t> </w:t>
      </w:r>
      <w:r w:rsidRPr="00EB1C53">
        <w:rPr>
          <w:rFonts w:ascii="Times" w:hAnsi="Times"/>
          <w:i/>
          <w:color w:val="242121"/>
          <w:u w:val="single"/>
        </w:rPr>
        <w:t>their opponents</w:t>
      </w:r>
      <w:r w:rsidRPr="00EB1C53">
        <w:rPr>
          <w:rFonts w:ascii="Times" w:hAnsi="Times"/>
          <w:i/>
          <w:color w:val="242121"/>
        </w:rPr>
        <w:t>.</w:t>
      </w:r>
      <w:r>
        <w:rPr>
          <w:rFonts w:ascii="Times" w:hAnsi="Times"/>
          <w:i/>
          <w:color w:val="242121"/>
        </w:rPr>
        <w:t xml:space="preserve"> (*</w:t>
      </w:r>
      <w:r w:rsidRPr="0050784F">
        <w:rPr>
          <w:rFonts w:ascii="Times" w:hAnsi="Times" w:cs="Arial"/>
          <w:bCs/>
          <w:i/>
        </w:rPr>
        <w:t>Lawyers for Human Rights v Rules Board for Courts of Law and Another 2012] 3 All SA 153 (GNP))</w:t>
      </w:r>
      <w:r w:rsidRPr="00EB1C53">
        <w:rPr>
          <w:rFonts w:ascii="Times" w:hAnsi="Times"/>
          <w:i/>
          <w:color w:val="242121"/>
        </w:rPr>
        <w:t xml:space="preserve"> </w:t>
      </w:r>
      <w:r w:rsidRPr="00EB1C53">
        <w:rPr>
          <w:rFonts w:ascii="Times" w:hAnsi="Times"/>
          <w:i/>
          <w:color w:val="242121"/>
          <w:u w:val="single"/>
        </w:rPr>
        <w:t xml:space="preserve">This requires that </w:t>
      </w:r>
      <w:r>
        <w:rPr>
          <w:rFonts w:ascii="Times" w:hAnsi="Times"/>
          <w:i/>
          <w:color w:val="242121"/>
          <w:u w:val="single"/>
        </w:rPr>
        <w:t>‘</w:t>
      </w:r>
      <w:r w:rsidRPr="00EB1C53">
        <w:rPr>
          <w:rFonts w:ascii="Times" w:hAnsi="Times"/>
          <w:i/>
          <w:color w:val="242121"/>
          <w:u w:val="single"/>
        </w:rPr>
        <w:t xml:space="preserve">all the parties have identical copies of the relevant documents on which to draft their </w:t>
      </w:r>
      <w:r w:rsidRPr="00EB1C53">
        <w:rPr>
          <w:rFonts w:ascii="Times" w:hAnsi="Times"/>
          <w:i/>
          <w:color w:val="242121"/>
          <w:u w:val="single"/>
        </w:rPr>
        <w:lastRenderedPageBreak/>
        <w:t>affidavits and that they and the court have identical papers before them when the matter comes to court</w:t>
      </w:r>
      <w:r>
        <w:rPr>
          <w:rFonts w:ascii="Times" w:hAnsi="Times"/>
          <w:i/>
          <w:color w:val="242121"/>
        </w:rPr>
        <w:t>’</w:t>
      </w:r>
      <w:r w:rsidRPr="00EB1C53">
        <w:rPr>
          <w:rFonts w:ascii="Times" w:hAnsi="Times"/>
          <w:i/>
          <w:color w:val="242121"/>
        </w:rPr>
        <w:t xml:space="preserve">. </w:t>
      </w:r>
    </w:p>
    <w:p w14:paraId="5C5D8F43" w14:textId="77777777" w:rsidR="00EB1C53" w:rsidRDefault="00EB1C53" w:rsidP="00EB1C53">
      <w:pPr>
        <w:rPr>
          <w:rFonts w:ascii="Times" w:hAnsi="Times"/>
          <w:i/>
          <w:color w:val="242121"/>
        </w:rPr>
      </w:pPr>
    </w:p>
    <w:p w14:paraId="0E3982DD" w14:textId="77777777" w:rsidR="00EB1C53" w:rsidRDefault="00EB1C53" w:rsidP="00EB1C53">
      <w:pPr>
        <w:spacing w:line="480" w:lineRule="auto"/>
        <w:ind w:left="1440"/>
        <w:rPr>
          <w:rStyle w:val="apple-converted-space"/>
          <w:rFonts w:ascii="Times" w:hAnsi="Times"/>
          <w:i/>
          <w:color w:val="242121"/>
        </w:rPr>
      </w:pPr>
      <w:r w:rsidRPr="00EB1C53">
        <w:rPr>
          <w:rFonts w:ascii="Times" w:hAnsi="Times"/>
          <w:i/>
          <w:color w:val="000000"/>
        </w:rPr>
        <w:t>[16]</w:t>
      </w:r>
      <w:r w:rsidRPr="00EB1C53">
        <w:rPr>
          <w:rStyle w:val="apple-converted-space"/>
          <w:rFonts w:ascii="Times" w:hAnsi="Times"/>
          <w:i/>
          <w:color w:val="000000"/>
        </w:rPr>
        <w:t> </w:t>
      </w:r>
      <w:r w:rsidRPr="00EB1C53">
        <w:rPr>
          <w:rFonts w:ascii="Times" w:hAnsi="Times"/>
          <w:i/>
          <w:color w:val="242121"/>
        </w:rPr>
        <w:t>In</w:t>
      </w:r>
      <w:r w:rsidRPr="00EB1C53">
        <w:rPr>
          <w:rStyle w:val="apple-converted-space"/>
          <w:rFonts w:ascii="Times" w:hAnsi="Times"/>
          <w:i/>
          <w:color w:val="242121"/>
        </w:rPr>
        <w:t> </w:t>
      </w:r>
      <w:r w:rsidRPr="00EB1C53">
        <w:rPr>
          <w:rFonts w:ascii="Times" w:hAnsi="Times"/>
          <w:i/>
          <w:iCs/>
          <w:color w:val="242121"/>
        </w:rPr>
        <w:t>Turnbull-Jackson</w:t>
      </w:r>
      <w:r w:rsidRPr="00EB1C53">
        <w:rPr>
          <w:rStyle w:val="apple-converted-space"/>
          <w:rFonts w:ascii="Times" w:hAnsi="Times"/>
          <w:i/>
          <w:color w:val="242121"/>
        </w:rPr>
        <w:t> </w:t>
      </w:r>
      <w:r w:rsidRPr="00EB1C53">
        <w:rPr>
          <w:rFonts w:ascii="Times" w:hAnsi="Times"/>
          <w:i/>
          <w:color w:val="242121"/>
        </w:rPr>
        <w:t>this Court held:</w:t>
      </w:r>
    </w:p>
    <w:p w14:paraId="3D2DE234" w14:textId="6B1379BF" w:rsidR="00EB1C53" w:rsidRPr="00EB1C53" w:rsidRDefault="00EB1C53" w:rsidP="00EB1C53">
      <w:pPr>
        <w:spacing w:line="480" w:lineRule="auto"/>
        <w:ind w:left="2160"/>
        <w:rPr>
          <w:rFonts w:ascii="Times" w:hAnsi="Times"/>
          <w:i/>
          <w:color w:val="242121"/>
        </w:rPr>
      </w:pPr>
      <w:r w:rsidRPr="00EB1C53">
        <w:rPr>
          <w:rFonts w:ascii="Times" w:hAnsi="Times"/>
          <w:i/>
          <w:color w:val="242121"/>
          <w:u w:val="single"/>
        </w:rPr>
        <w:t>‘Undeniably, a rule 53 record is an invaluable tool in the review process.  It may help: shed light on what happened and why; give the lie to unfounded ex post facto (after the fact) justification of the decision under review; in the substantiation of as yet not fully substantiated grounds of review; in giving support to the decision maker’s stance; and in the performance of the reviewing court’s function.</w:t>
      </w:r>
      <w:r>
        <w:rPr>
          <w:rFonts w:ascii="Times" w:hAnsi="Times"/>
          <w:i/>
          <w:color w:val="242121"/>
        </w:rPr>
        <w:t>’(*</w:t>
      </w:r>
      <w:r w:rsidRPr="00EB1C53">
        <w:rPr>
          <w:rFonts w:ascii="Times" w:hAnsi="Times"/>
          <w:i/>
          <w:iCs/>
        </w:rPr>
        <w:t>Muller v The Master</w:t>
      </w:r>
      <w:r w:rsidRPr="00EB1C53">
        <w:rPr>
          <w:rStyle w:val="apple-converted-space"/>
          <w:rFonts w:ascii="Times" w:hAnsi="Times"/>
          <w:i/>
          <w:shd w:val="clear" w:color="auto" w:fill="FFFFFF"/>
        </w:rPr>
        <w:t> </w:t>
      </w:r>
      <w:r w:rsidRPr="00EB1C53">
        <w:rPr>
          <w:rFonts w:ascii="Times" w:hAnsi="Times"/>
          <w:i/>
          <w:shd w:val="clear" w:color="auto" w:fill="FFFFFF"/>
        </w:rPr>
        <w:t xml:space="preserve"> </w:t>
      </w:r>
      <w:hyperlink r:id="rId11" w:tooltip="View LawCiteRecord" w:history="1">
        <w:r w:rsidRPr="00EB1C53">
          <w:rPr>
            <w:rStyle w:val="Hyperlink"/>
            <w:rFonts w:ascii="Times" w:hAnsi="Times"/>
            <w:bCs/>
            <w:i/>
            <w:color w:val="auto"/>
            <w:u w:val="none"/>
          </w:rPr>
          <w:t>1991 (2) SA 217</w:t>
        </w:r>
      </w:hyperlink>
      <w:r w:rsidRPr="00EB1C53">
        <w:rPr>
          <w:rStyle w:val="apple-converted-space"/>
          <w:rFonts w:ascii="Times" w:hAnsi="Times"/>
          <w:i/>
          <w:shd w:val="clear" w:color="auto" w:fill="FFFFFF"/>
        </w:rPr>
        <w:t> </w:t>
      </w:r>
      <w:r w:rsidRPr="00EB1C53">
        <w:rPr>
          <w:rFonts w:ascii="Times" w:hAnsi="Times"/>
          <w:i/>
          <w:shd w:val="clear" w:color="auto" w:fill="FFFFFF"/>
        </w:rPr>
        <w:t>(N) at 219J-220C</w:t>
      </w:r>
      <w:r>
        <w:rPr>
          <w:rFonts w:ascii="Times" w:hAnsi="Times"/>
          <w:i/>
          <w:shd w:val="clear" w:color="auto" w:fill="FFFFFF"/>
        </w:rPr>
        <w:t>)</w:t>
      </w:r>
    </w:p>
    <w:p w14:paraId="23DADBD8" w14:textId="21C7F964" w:rsidR="00EB1C53" w:rsidRDefault="00EB1C53" w:rsidP="00EB1C53">
      <w:pPr>
        <w:spacing w:line="480" w:lineRule="auto"/>
        <w:rPr>
          <w:rFonts w:ascii="Arial" w:hAnsi="Arial" w:cs="Arial"/>
          <w:color w:val="242121"/>
        </w:rPr>
      </w:pPr>
      <w:r>
        <w:rPr>
          <w:rFonts w:ascii="Arial" w:hAnsi="Arial" w:cs="Arial"/>
          <w:color w:val="242121"/>
        </w:rPr>
        <w:tab/>
        <w:t>[Emphasis _ and footnotes * added]</w:t>
      </w:r>
    </w:p>
    <w:p w14:paraId="0FB722B6" w14:textId="77777777" w:rsidR="00EB1C53" w:rsidRPr="00EB1C53" w:rsidRDefault="00EB1C53" w:rsidP="00EB1C53">
      <w:pPr>
        <w:rPr>
          <w:rFonts w:ascii="Arial" w:hAnsi="Arial" w:cs="Arial"/>
          <w:color w:val="242121"/>
        </w:rPr>
      </w:pPr>
    </w:p>
    <w:p w14:paraId="6098AB38" w14:textId="0DF766BC" w:rsidR="00291712" w:rsidRPr="00AE5D49" w:rsidRDefault="00AE5D49" w:rsidP="00AE5D49">
      <w:pPr>
        <w:spacing w:line="480" w:lineRule="auto"/>
        <w:ind w:left="709" w:hanging="709"/>
        <w:rPr>
          <w:rFonts w:ascii="Arial" w:hAnsi="Arial" w:cs="Arial"/>
          <w:lang w:val="en-US"/>
        </w:rPr>
      </w:pPr>
      <w:r>
        <w:rPr>
          <w:rFonts w:ascii="Arial" w:hAnsi="Arial" w:cs="Arial"/>
          <w:lang w:val="en-US"/>
        </w:rPr>
        <w:t>[85]</w:t>
      </w:r>
      <w:r>
        <w:rPr>
          <w:rFonts w:ascii="Arial" w:hAnsi="Arial" w:cs="Arial"/>
          <w:lang w:val="en-US"/>
        </w:rPr>
        <w:tab/>
      </w:r>
      <w:r w:rsidR="00291712" w:rsidRPr="00AE5D49">
        <w:rPr>
          <w:rFonts w:ascii="Arial" w:hAnsi="Arial" w:cs="Arial"/>
          <w:lang w:val="en-US"/>
        </w:rPr>
        <w:t xml:space="preserve">These considerations are clearly not applicable to review applications as contemplated in terms of section 71(5) </w:t>
      </w:r>
      <w:r w:rsidR="00DF696E" w:rsidRPr="00AE5D49">
        <w:rPr>
          <w:rFonts w:ascii="Arial" w:hAnsi="Arial" w:cs="Arial"/>
          <w:lang w:val="en-US"/>
        </w:rPr>
        <w:t xml:space="preserve">or sub-section (6) </w:t>
      </w:r>
      <w:r w:rsidR="00291712" w:rsidRPr="00AE5D49">
        <w:rPr>
          <w:rFonts w:ascii="Arial" w:hAnsi="Arial" w:cs="Arial"/>
          <w:lang w:val="en-US"/>
        </w:rPr>
        <w:t>as no administrative action or constitutional rights are involved.</w:t>
      </w:r>
      <w:r w:rsidR="00DF696E" w:rsidRPr="00AE5D49">
        <w:rPr>
          <w:rFonts w:ascii="Arial" w:hAnsi="Arial" w:cs="Arial"/>
          <w:lang w:val="en-US"/>
        </w:rPr>
        <w:t xml:space="preserve"> However, the remarks as made in </w:t>
      </w:r>
      <w:r w:rsidR="00DF696E" w:rsidRPr="00AE5D49">
        <w:rPr>
          <w:rFonts w:ascii="Times" w:hAnsi="Times"/>
          <w:i/>
          <w:iCs/>
          <w:color w:val="242121"/>
          <w:sz w:val="26"/>
          <w:szCs w:val="26"/>
        </w:rPr>
        <w:t>Turnbull-Jackson</w:t>
      </w:r>
      <w:r w:rsidR="00DF696E" w:rsidRPr="00AE5D49">
        <w:rPr>
          <w:rStyle w:val="apple-converted-space"/>
          <w:rFonts w:ascii="Times" w:hAnsi="Times"/>
          <w:i/>
          <w:color w:val="242121"/>
        </w:rPr>
        <w:t> </w:t>
      </w:r>
      <w:r w:rsidR="00DF696E" w:rsidRPr="00AE5D49">
        <w:rPr>
          <w:rStyle w:val="apple-converted-space"/>
          <w:rFonts w:ascii="Arial" w:hAnsi="Arial" w:cs="Arial"/>
          <w:color w:val="242121"/>
        </w:rPr>
        <w:t>as emphasised, is clearly correct an equally applicable to the current matter.</w:t>
      </w:r>
    </w:p>
    <w:p w14:paraId="5A419A5B" w14:textId="77777777" w:rsidR="00291712" w:rsidRDefault="00291712" w:rsidP="00291712">
      <w:pPr>
        <w:pStyle w:val="ListParagraph"/>
        <w:ind w:left="709"/>
        <w:rPr>
          <w:rFonts w:ascii="Arial" w:hAnsi="Arial" w:cs="Arial"/>
          <w:lang w:val="en-US"/>
        </w:rPr>
      </w:pPr>
    </w:p>
    <w:p w14:paraId="2B3FE196" w14:textId="1DF2129D" w:rsidR="00291712" w:rsidRPr="00AE5D49" w:rsidRDefault="00AE5D49" w:rsidP="00AE5D49">
      <w:pPr>
        <w:spacing w:line="480" w:lineRule="auto"/>
        <w:ind w:left="709" w:hanging="709"/>
        <w:rPr>
          <w:rFonts w:ascii="Arial" w:hAnsi="Arial" w:cs="Arial"/>
          <w:lang w:val="en-US"/>
        </w:rPr>
      </w:pPr>
      <w:r>
        <w:rPr>
          <w:rFonts w:ascii="Arial" w:hAnsi="Arial" w:cs="Arial"/>
          <w:lang w:val="en-US"/>
        </w:rPr>
        <w:t>[86]</w:t>
      </w:r>
      <w:r>
        <w:rPr>
          <w:rFonts w:ascii="Arial" w:hAnsi="Arial" w:cs="Arial"/>
          <w:lang w:val="en-US"/>
        </w:rPr>
        <w:tab/>
      </w:r>
      <w:r w:rsidR="00291712" w:rsidRPr="00AE5D49">
        <w:rPr>
          <w:rFonts w:ascii="Arial" w:hAnsi="Arial" w:cs="Arial"/>
          <w:lang w:val="en-US"/>
        </w:rPr>
        <w:t>Any claim that the applicant’s right of access to court may be infringed upon is clearly misplaced. The applicant is not precluded from accessing court.</w:t>
      </w:r>
      <w:r w:rsidR="00DF696E" w:rsidRPr="00AE5D49">
        <w:rPr>
          <w:rFonts w:ascii="Arial" w:hAnsi="Arial" w:cs="Arial"/>
          <w:lang w:val="en-US"/>
        </w:rPr>
        <w:t xml:space="preserve"> Even if the provisions of rule 53 cannot be utilised, I cannot see how a party’s right to apply to court or institute proceedings is infringed or limited. The court may in all applications, should the need arise, still approach the court to supplement his/her papers in terms of rule 6.</w:t>
      </w:r>
    </w:p>
    <w:p w14:paraId="31E6D314" w14:textId="77777777" w:rsidR="00291712" w:rsidRPr="00291712" w:rsidRDefault="00291712" w:rsidP="00291712">
      <w:pPr>
        <w:pStyle w:val="ListParagraph"/>
        <w:ind w:left="709"/>
        <w:rPr>
          <w:rFonts w:ascii="Arial" w:hAnsi="Arial" w:cs="Arial"/>
          <w:lang w:val="en-US"/>
        </w:rPr>
      </w:pPr>
    </w:p>
    <w:p w14:paraId="1235656B" w14:textId="574EE415" w:rsidR="00FD4001" w:rsidRPr="00AE5D49" w:rsidRDefault="00AE5D49" w:rsidP="00AE5D49">
      <w:pPr>
        <w:spacing w:line="480" w:lineRule="auto"/>
        <w:ind w:left="709" w:hanging="709"/>
        <w:rPr>
          <w:rFonts w:ascii="Arial" w:hAnsi="Arial" w:cs="Arial"/>
          <w:lang w:val="en-US"/>
        </w:rPr>
      </w:pPr>
      <w:r>
        <w:rPr>
          <w:rFonts w:ascii="Arial" w:hAnsi="Arial" w:cs="Arial"/>
          <w:lang w:val="en-US"/>
        </w:rPr>
        <w:lastRenderedPageBreak/>
        <w:t>[87]</w:t>
      </w:r>
      <w:r>
        <w:rPr>
          <w:rFonts w:ascii="Arial" w:hAnsi="Arial" w:cs="Arial"/>
          <w:lang w:val="en-US"/>
        </w:rPr>
        <w:tab/>
      </w:r>
      <w:r w:rsidR="00291712" w:rsidRPr="00AE5D49">
        <w:rPr>
          <w:rFonts w:ascii="Arial" w:hAnsi="Arial" w:cs="Arial"/>
          <w:lang w:val="en-US"/>
        </w:rPr>
        <w:t>T</w:t>
      </w:r>
      <w:r w:rsidR="00EB1C53" w:rsidRPr="00AE5D49">
        <w:rPr>
          <w:rFonts w:ascii="Arial" w:hAnsi="Arial" w:cs="Arial"/>
          <w:lang w:val="en-US"/>
        </w:rPr>
        <w:t xml:space="preserve">he review in terms of section 71(5) does not flow form the - </w:t>
      </w:r>
      <w:r w:rsidR="00EB1C53" w:rsidRPr="00AE5D49">
        <w:rPr>
          <w:rFonts w:ascii="Arial" w:hAnsi="Arial" w:cs="Arial"/>
          <w:sz w:val="26"/>
          <w:szCs w:val="26"/>
          <w:lang w:val="en-US"/>
        </w:rPr>
        <w:t>“</w:t>
      </w:r>
      <w:r w:rsidR="00EB1C53" w:rsidRPr="00AE5D49">
        <w:rPr>
          <w:rFonts w:ascii="Times" w:hAnsi="Times"/>
          <w:i/>
          <w:color w:val="242121"/>
          <w:sz w:val="26"/>
          <w:szCs w:val="26"/>
        </w:rPr>
        <w:t>constitutionally entrenched review function”</w:t>
      </w:r>
      <w:r w:rsidR="00EB1C53" w:rsidRPr="00AE5D49">
        <w:rPr>
          <w:rFonts w:ascii="Arial" w:hAnsi="Arial" w:cs="Arial"/>
          <w:lang w:val="en-US"/>
        </w:rPr>
        <w:t xml:space="preserve">, it is clear that there is no basis on which it can be argued that the record is to be </w:t>
      </w:r>
      <w:r w:rsidR="00291712" w:rsidRPr="00AE5D49">
        <w:rPr>
          <w:rFonts w:ascii="Arial" w:hAnsi="Arial" w:cs="Arial"/>
          <w:lang w:val="en-US"/>
        </w:rPr>
        <w:t>provided as a result of such a review function as it simply does not exist.</w:t>
      </w:r>
    </w:p>
    <w:p w14:paraId="7B3C030F" w14:textId="77777777" w:rsidR="00291712" w:rsidRPr="00DF696E" w:rsidRDefault="00291712" w:rsidP="00DF696E">
      <w:pPr>
        <w:rPr>
          <w:rFonts w:ascii="Arial" w:hAnsi="Arial" w:cs="Arial"/>
          <w:lang w:val="en-US"/>
        </w:rPr>
      </w:pPr>
    </w:p>
    <w:p w14:paraId="5A6A9A5F" w14:textId="72C35EDC" w:rsidR="00DF696E" w:rsidRPr="00AE5D49" w:rsidRDefault="00AE5D49" w:rsidP="00AE5D49">
      <w:pPr>
        <w:spacing w:line="480" w:lineRule="auto"/>
        <w:ind w:left="709" w:hanging="709"/>
        <w:rPr>
          <w:rFonts w:ascii="Arial" w:hAnsi="Arial" w:cs="Arial"/>
          <w:lang w:val="en-US"/>
        </w:rPr>
      </w:pPr>
      <w:r>
        <w:rPr>
          <w:rFonts w:ascii="Arial" w:hAnsi="Arial" w:cs="Arial"/>
          <w:lang w:val="en-US"/>
        </w:rPr>
        <w:t>[88]</w:t>
      </w:r>
      <w:r>
        <w:rPr>
          <w:rFonts w:ascii="Arial" w:hAnsi="Arial" w:cs="Arial"/>
          <w:lang w:val="en-US"/>
        </w:rPr>
        <w:tab/>
      </w:r>
      <w:r w:rsidR="00DF696E" w:rsidRPr="00AE5D49">
        <w:rPr>
          <w:rFonts w:ascii="Arial" w:hAnsi="Arial" w:cs="Arial"/>
          <w:lang w:val="en-US"/>
        </w:rPr>
        <w:t>In respect of the documents called for by Mr Pityana in the founding affidavit, I have indicated that I doubt that the documents form part of the record. This is supported by the fact that should that have been the case, Mr Pityana would have complained about the lack of specificity given in the reasons provided for the determination. I</w:t>
      </w:r>
      <w:r w:rsidR="00EB1C53" w:rsidRPr="00AE5D49">
        <w:rPr>
          <w:rFonts w:ascii="Arial" w:hAnsi="Arial" w:cs="Arial"/>
          <w:lang w:val="en-US"/>
        </w:rPr>
        <w:t xml:space="preserve">t </w:t>
      </w:r>
      <w:r w:rsidR="00DF696E" w:rsidRPr="00AE5D49">
        <w:rPr>
          <w:rFonts w:ascii="Arial" w:hAnsi="Arial" w:cs="Arial"/>
          <w:lang w:val="en-US"/>
        </w:rPr>
        <w:t>seems that these documents are</w:t>
      </w:r>
      <w:r w:rsidR="0079439B" w:rsidRPr="00AE5D49">
        <w:rPr>
          <w:rFonts w:ascii="Arial" w:hAnsi="Arial" w:cs="Arial"/>
          <w:lang w:val="en-US"/>
        </w:rPr>
        <w:t xml:space="preserve"> unrelated to his removal</w:t>
      </w:r>
      <w:r w:rsidR="00DF696E" w:rsidRPr="00AE5D49">
        <w:rPr>
          <w:rFonts w:ascii="Arial" w:hAnsi="Arial" w:cs="Arial"/>
          <w:lang w:val="en-US"/>
        </w:rPr>
        <w:t>, but as indicated, I need not make that finding.</w:t>
      </w:r>
    </w:p>
    <w:p w14:paraId="46B10534" w14:textId="77777777" w:rsidR="00DF696E" w:rsidRPr="00DF696E" w:rsidRDefault="00DF696E" w:rsidP="00DF696E">
      <w:pPr>
        <w:pStyle w:val="ListParagraph"/>
        <w:rPr>
          <w:rFonts w:ascii="Arial" w:hAnsi="Arial" w:cs="Arial"/>
          <w:lang w:val="en-US"/>
        </w:rPr>
      </w:pPr>
    </w:p>
    <w:p w14:paraId="5C3401EB" w14:textId="6EC10B5C" w:rsidR="00291712" w:rsidRPr="00AE5D49" w:rsidRDefault="00AE5D49" w:rsidP="00AE5D49">
      <w:pPr>
        <w:spacing w:line="480" w:lineRule="auto"/>
        <w:ind w:left="709" w:hanging="709"/>
        <w:rPr>
          <w:rFonts w:ascii="Arial" w:hAnsi="Arial" w:cs="Arial"/>
          <w:lang w:val="en-US"/>
        </w:rPr>
      </w:pPr>
      <w:r>
        <w:rPr>
          <w:rFonts w:ascii="Arial" w:hAnsi="Arial" w:cs="Arial"/>
          <w:lang w:val="en-US"/>
        </w:rPr>
        <w:t>[89]</w:t>
      </w:r>
      <w:r>
        <w:rPr>
          <w:rFonts w:ascii="Arial" w:hAnsi="Arial" w:cs="Arial"/>
          <w:lang w:val="en-US"/>
        </w:rPr>
        <w:tab/>
      </w:r>
      <w:r w:rsidR="00DF696E" w:rsidRPr="00AE5D49">
        <w:rPr>
          <w:rFonts w:ascii="Arial" w:hAnsi="Arial" w:cs="Arial"/>
          <w:lang w:val="en-US"/>
        </w:rPr>
        <w:t xml:space="preserve">It seems clear that the application of ABSA Bank premature. If the minutes of the meetings are not provided as part of the record, it is only at that stage when a court may be called upon to determine whether the documents sought formed part of the record of proceedings or not.  </w:t>
      </w:r>
      <w:r w:rsidR="0050784F" w:rsidRPr="00AE5D49">
        <w:rPr>
          <w:rFonts w:ascii="Arial" w:hAnsi="Arial" w:cs="Arial"/>
          <w:lang w:val="en-US"/>
        </w:rPr>
        <w:t>Form the reading of the main application, i</w:t>
      </w:r>
      <w:r w:rsidR="00EB1C53" w:rsidRPr="00AE5D49">
        <w:rPr>
          <w:rFonts w:ascii="Arial" w:hAnsi="Arial" w:cs="Arial"/>
          <w:lang w:val="en-US"/>
        </w:rPr>
        <w:t>t seems as if Mr Pityana believes that the record or minutes of those meetings will show that his removal was for an ulterior motive or purpose.</w:t>
      </w:r>
      <w:r w:rsidR="00291712" w:rsidRPr="00AE5D49">
        <w:rPr>
          <w:rFonts w:ascii="Arial" w:hAnsi="Arial" w:cs="Arial"/>
          <w:lang w:val="en-US"/>
        </w:rPr>
        <w:t xml:space="preserve"> That </w:t>
      </w:r>
      <w:r w:rsidR="00DF696E" w:rsidRPr="00AE5D49">
        <w:rPr>
          <w:rFonts w:ascii="Arial" w:hAnsi="Arial" w:cs="Arial"/>
          <w:lang w:val="en-US"/>
        </w:rPr>
        <w:t>seems in my view</w:t>
      </w:r>
      <w:r w:rsidR="00291712" w:rsidRPr="00AE5D49">
        <w:rPr>
          <w:rFonts w:ascii="Arial" w:hAnsi="Arial" w:cs="Arial"/>
          <w:lang w:val="en-US"/>
        </w:rPr>
        <w:t xml:space="preserve"> irrelevant to the </w:t>
      </w:r>
      <w:r w:rsidR="00DF696E" w:rsidRPr="00AE5D49">
        <w:rPr>
          <w:rFonts w:ascii="Arial" w:hAnsi="Arial" w:cs="Arial"/>
          <w:lang w:val="en-US"/>
        </w:rPr>
        <w:t>current dispute</w:t>
      </w:r>
      <w:r w:rsidR="00291712" w:rsidRPr="00AE5D49">
        <w:rPr>
          <w:rFonts w:ascii="Arial" w:hAnsi="Arial" w:cs="Arial"/>
          <w:lang w:val="en-US"/>
        </w:rPr>
        <w:t>. If the reasons support a removal, the court cannot intervene, even on a liberal interpretation of section 71.</w:t>
      </w:r>
      <w:r w:rsidR="00DF696E" w:rsidRPr="00AE5D49">
        <w:rPr>
          <w:rFonts w:ascii="Arial" w:hAnsi="Arial" w:cs="Arial"/>
          <w:lang w:val="en-US"/>
        </w:rPr>
        <w:t xml:space="preserve"> I however am not called upon to make that determination.</w:t>
      </w:r>
    </w:p>
    <w:p w14:paraId="405DA0DD" w14:textId="77777777" w:rsidR="00EB1C53" w:rsidRPr="00291712" w:rsidRDefault="00EB1C53" w:rsidP="00291712">
      <w:pPr>
        <w:rPr>
          <w:rFonts w:ascii="Arial" w:hAnsi="Arial" w:cs="Arial"/>
          <w:lang w:val="en-US"/>
        </w:rPr>
      </w:pPr>
    </w:p>
    <w:p w14:paraId="31CA54CD" w14:textId="0F84B36A" w:rsidR="00291712" w:rsidRPr="00AE5D49" w:rsidRDefault="00AE5D49" w:rsidP="00AE5D49">
      <w:pPr>
        <w:spacing w:line="480" w:lineRule="auto"/>
        <w:ind w:left="709" w:hanging="709"/>
        <w:rPr>
          <w:rFonts w:ascii="Arial" w:hAnsi="Arial" w:cs="Arial"/>
          <w:lang w:val="en-US"/>
        </w:rPr>
      </w:pPr>
      <w:r>
        <w:rPr>
          <w:rFonts w:ascii="Arial" w:hAnsi="Arial" w:cs="Arial"/>
          <w:lang w:val="en-US"/>
        </w:rPr>
        <w:t>[90]</w:t>
      </w:r>
      <w:r>
        <w:rPr>
          <w:rFonts w:ascii="Arial" w:hAnsi="Arial" w:cs="Arial"/>
          <w:lang w:val="en-US"/>
        </w:rPr>
        <w:tab/>
      </w:r>
      <w:r w:rsidR="00EB1C53" w:rsidRPr="00AE5D49">
        <w:rPr>
          <w:rFonts w:ascii="Arial" w:hAnsi="Arial" w:cs="Arial"/>
          <w:lang w:val="en-US"/>
        </w:rPr>
        <w:t>It seems doubtful that the court will interfere with the decision of the board to remove a director if the procedures have been complied with, his removal is rationally supported by the reasons and there has been compliance with section 71(4) in respect of the reasons and the required specificity.</w:t>
      </w:r>
    </w:p>
    <w:p w14:paraId="1C2382B9" w14:textId="77777777" w:rsidR="00153161" w:rsidRPr="00EB1C53" w:rsidRDefault="00153161" w:rsidP="00EB1C53">
      <w:pPr>
        <w:rPr>
          <w:rFonts w:ascii="Arial" w:hAnsi="Arial" w:cs="Arial"/>
          <w:lang w:val="en-US"/>
        </w:rPr>
      </w:pPr>
    </w:p>
    <w:p w14:paraId="642872F1" w14:textId="53627381" w:rsidR="00EB1C53" w:rsidRPr="00AE5D49" w:rsidRDefault="00AE5D49" w:rsidP="00AE5D49">
      <w:pPr>
        <w:spacing w:line="480" w:lineRule="auto"/>
        <w:ind w:left="709" w:hanging="709"/>
        <w:rPr>
          <w:rFonts w:ascii="Arial" w:hAnsi="Arial" w:cs="Arial"/>
          <w:lang w:val="en-US"/>
        </w:rPr>
      </w:pPr>
      <w:r>
        <w:rPr>
          <w:rFonts w:ascii="Arial" w:hAnsi="Arial" w:cs="Arial"/>
          <w:lang w:val="en-US"/>
        </w:rPr>
        <w:t>[91]</w:t>
      </w:r>
      <w:r>
        <w:rPr>
          <w:rFonts w:ascii="Arial" w:hAnsi="Arial" w:cs="Arial"/>
          <w:lang w:val="en-US"/>
        </w:rPr>
        <w:tab/>
      </w:r>
      <w:r w:rsidR="00153161" w:rsidRPr="00AE5D49">
        <w:rPr>
          <w:rFonts w:ascii="Arial" w:hAnsi="Arial" w:cs="Arial"/>
          <w:lang w:val="en-US"/>
        </w:rPr>
        <w:t>The reasons for this are clear i</w:t>
      </w:r>
      <w:r w:rsidR="004870B3" w:rsidRPr="00AE5D49">
        <w:rPr>
          <w:rFonts w:ascii="Arial" w:hAnsi="Arial" w:cs="Arial"/>
          <w:lang w:val="en-US"/>
        </w:rPr>
        <w:t>f</w:t>
      </w:r>
      <w:r w:rsidR="00153161" w:rsidRPr="00AE5D49">
        <w:rPr>
          <w:rFonts w:ascii="Arial" w:hAnsi="Arial" w:cs="Arial"/>
          <w:lang w:val="en-US"/>
        </w:rPr>
        <w:t xml:space="preserve"> regard is had to the fact that a director serves at the behest of those who appointed him/her. I</w:t>
      </w:r>
      <w:r w:rsidR="00FD4001" w:rsidRPr="00AE5D49">
        <w:rPr>
          <w:rFonts w:ascii="Arial" w:hAnsi="Arial" w:cs="Arial"/>
          <w:lang w:val="en-US"/>
        </w:rPr>
        <w:t>f</w:t>
      </w:r>
      <w:r w:rsidR="00153161" w:rsidRPr="00AE5D49">
        <w:rPr>
          <w:rFonts w:ascii="Arial" w:hAnsi="Arial" w:cs="Arial"/>
          <w:lang w:val="en-US"/>
        </w:rPr>
        <w:t xml:space="preserve"> </w:t>
      </w:r>
      <w:r w:rsidR="00C545EA" w:rsidRPr="00AE5D49">
        <w:rPr>
          <w:rFonts w:ascii="Arial" w:hAnsi="Arial" w:cs="Arial"/>
          <w:lang w:val="en-US"/>
        </w:rPr>
        <w:t>the Board</w:t>
      </w:r>
      <w:r w:rsidR="00153161" w:rsidRPr="00AE5D49">
        <w:rPr>
          <w:rFonts w:ascii="Arial" w:hAnsi="Arial" w:cs="Arial"/>
          <w:lang w:val="en-US"/>
        </w:rPr>
        <w:t xml:space="preserve"> no longer </w:t>
      </w:r>
      <w:r w:rsidR="00EB1C53" w:rsidRPr="00AE5D49">
        <w:rPr>
          <w:rFonts w:ascii="Arial" w:hAnsi="Arial" w:cs="Arial"/>
          <w:lang w:val="en-US"/>
        </w:rPr>
        <w:t xml:space="preserve">deems it </w:t>
      </w:r>
      <w:r w:rsidR="00153161" w:rsidRPr="00AE5D49">
        <w:rPr>
          <w:rFonts w:ascii="Arial" w:hAnsi="Arial" w:cs="Arial"/>
          <w:lang w:val="en-US"/>
        </w:rPr>
        <w:t xml:space="preserve">in the </w:t>
      </w:r>
      <w:r w:rsidR="00EB1C53" w:rsidRPr="00AE5D49">
        <w:rPr>
          <w:rFonts w:ascii="Arial" w:hAnsi="Arial" w:cs="Arial"/>
          <w:lang w:val="en-US"/>
        </w:rPr>
        <w:t xml:space="preserve">best </w:t>
      </w:r>
      <w:r w:rsidR="00153161" w:rsidRPr="00AE5D49">
        <w:rPr>
          <w:rFonts w:ascii="Arial" w:hAnsi="Arial" w:cs="Arial"/>
          <w:lang w:val="en-US"/>
        </w:rPr>
        <w:t>interest of the company that the director remains in that position the court can hardly force the company to re-appoint him/her</w:t>
      </w:r>
      <w:r w:rsidR="00FD4001" w:rsidRPr="00AE5D49">
        <w:rPr>
          <w:rFonts w:ascii="Arial" w:hAnsi="Arial" w:cs="Arial"/>
          <w:lang w:val="en-US"/>
        </w:rPr>
        <w:t xml:space="preserve"> as director</w:t>
      </w:r>
      <w:r w:rsidR="00EB1C53" w:rsidRPr="00AE5D49">
        <w:rPr>
          <w:rFonts w:ascii="Arial" w:hAnsi="Arial" w:cs="Arial"/>
          <w:lang w:val="en-US"/>
        </w:rPr>
        <w:t xml:space="preserve"> or retain him/her as a director</w:t>
      </w:r>
      <w:r w:rsidR="00153161" w:rsidRPr="00AE5D49">
        <w:rPr>
          <w:rFonts w:ascii="Arial" w:hAnsi="Arial" w:cs="Arial"/>
          <w:lang w:val="en-US"/>
        </w:rPr>
        <w:t>.</w:t>
      </w:r>
      <w:r w:rsidR="004A21F2" w:rsidRPr="00AE5D49">
        <w:rPr>
          <w:rFonts w:ascii="Arial" w:hAnsi="Arial" w:cs="Arial"/>
          <w:lang w:val="en-US"/>
        </w:rPr>
        <w:t xml:space="preserve"> The remaining directors representing the shareholders are saddled with a wide discretion to determine by majority vote whether to remove the particular director</w:t>
      </w:r>
      <w:r w:rsidR="00C545EA" w:rsidRPr="00AE5D49">
        <w:rPr>
          <w:rFonts w:ascii="Arial" w:hAnsi="Arial" w:cs="Arial"/>
          <w:lang w:val="en-US"/>
        </w:rPr>
        <w:t xml:space="preserve"> or not. </w:t>
      </w:r>
      <w:r w:rsidR="00FD4001" w:rsidRPr="00AE5D49">
        <w:rPr>
          <w:rFonts w:ascii="Arial" w:hAnsi="Arial" w:cs="Arial"/>
          <w:lang w:val="en-US"/>
        </w:rPr>
        <w:t>I</w:t>
      </w:r>
      <w:r w:rsidR="00C545EA" w:rsidRPr="00AE5D49">
        <w:rPr>
          <w:rFonts w:ascii="Arial" w:hAnsi="Arial" w:cs="Arial"/>
          <w:lang w:val="en-US"/>
        </w:rPr>
        <w:t xml:space="preserve">t </w:t>
      </w:r>
      <w:r w:rsidR="00EB1C53" w:rsidRPr="00AE5D49">
        <w:rPr>
          <w:rFonts w:ascii="Arial" w:hAnsi="Arial" w:cs="Arial"/>
          <w:lang w:val="en-US"/>
        </w:rPr>
        <w:t xml:space="preserve">seems clear from the wording of section 71(5) and 71(6) </w:t>
      </w:r>
      <w:r w:rsidR="00C545EA" w:rsidRPr="00AE5D49">
        <w:rPr>
          <w:rFonts w:ascii="Arial" w:hAnsi="Arial" w:cs="Arial"/>
          <w:lang w:val="en-US"/>
        </w:rPr>
        <w:t xml:space="preserve">that the court has </w:t>
      </w:r>
      <w:r w:rsidR="00EB1C53" w:rsidRPr="00AE5D49">
        <w:rPr>
          <w:rFonts w:ascii="Arial" w:hAnsi="Arial" w:cs="Arial"/>
          <w:lang w:val="en-US"/>
        </w:rPr>
        <w:t>wider</w:t>
      </w:r>
      <w:r w:rsidR="00C545EA" w:rsidRPr="00AE5D49">
        <w:rPr>
          <w:rFonts w:ascii="Arial" w:hAnsi="Arial" w:cs="Arial"/>
          <w:lang w:val="en-US"/>
        </w:rPr>
        <w:t xml:space="preserve"> power</w:t>
      </w:r>
      <w:r w:rsidR="00EB1C53" w:rsidRPr="00AE5D49">
        <w:rPr>
          <w:rFonts w:ascii="Arial" w:hAnsi="Arial" w:cs="Arial"/>
          <w:lang w:val="en-US"/>
        </w:rPr>
        <w:t>s</w:t>
      </w:r>
      <w:r w:rsidR="00C545EA" w:rsidRPr="00AE5D49">
        <w:rPr>
          <w:rFonts w:ascii="Arial" w:hAnsi="Arial" w:cs="Arial"/>
          <w:lang w:val="en-US"/>
        </w:rPr>
        <w:t xml:space="preserve"> to interfere with the decision as provided for in terms of subsection (6)</w:t>
      </w:r>
      <w:r w:rsidR="004A21F2" w:rsidRPr="00AE5D49">
        <w:rPr>
          <w:rFonts w:ascii="Arial" w:hAnsi="Arial" w:cs="Arial"/>
          <w:lang w:val="en-US"/>
        </w:rPr>
        <w:t>.</w:t>
      </w:r>
    </w:p>
    <w:p w14:paraId="7ECE825B" w14:textId="77777777" w:rsidR="00EB1C53" w:rsidRPr="00EB1C53" w:rsidRDefault="00EB1C53" w:rsidP="00EB1C53">
      <w:pPr>
        <w:pStyle w:val="ListParagraph"/>
        <w:rPr>
          <w:rFonts w:ascii="Arial" w:hAnsi="Arial" w:cs="Arial"/>
          <w:lang w:val="en-US"/>
        </w:rPr>
      </w:pPr>
    </w:p>
    <w:p w14:paraId="30613463" w14:textId="7B4F684E" w:rsidR="00153161" w:rsidRPr="00AE5D49" w:rsidRDefault="00AE5D49" w:rsidP="00AE5D49">
      <w:pPr>
        <w:spacing w:line="480" w:lineRule="auto"/>
        <w:ind w:left="709" w:hanging="709"/>
        <w:rPr>
          <w:rFonts w:ascii="Arial" w:hAnsi="Arial" w:cs="Arial"/>
          <w:lang w:val="en-US"/>
        </w:rPr>
      </w:pPr>
      <w:r>
        <w:rPr>
          <w:rFonts w:ascii="Arial" w:hAnsi="Arial" w:cs="Arial"/>
          <w:lang w:val="en-US"/>
        </w:rPr>
        <w:t>[92]</w:t>
      </w:r>
      <w:r>
        <w:rPr>
          <w:rFonts w:ascii="Arial" w:hAnsi="Arial" w:cs="Arial"/>
          <w:lang w:val="en-US"/>
        </w:rPr>
        <w:tab/>
      </w:r>
      <w:r w:rsidR="00EB1C53" w:rsidRPr="00AE5D49">
        <w:rPr>
          <w:rFonts w:ascii="Arial" w:hAnsi="Arial" w:cs="Arial"/>
          <w:lang w:val="en-US"/>
        </w:rPr>
        <w:t xml:space="preserve">It </w:t>
      </w:r>
      <w:r w:rsidR="00291712" w:rsidRPr="00AE5D49">
        <w:rPr>
          <w:rFonts w:ascii="Arial" w:hAnsi="Arial" w:cs="Arial"/>
          <w:lang w:val="en-US"/>
        </w:rPr>
        <w:t>is</w:t>
      </w:r>
      <w:r w:rsidR="00EB1C53" w:rsidRPr="00AE5D49">
        <w:rPr>
          <w:rFonts w:ascii="Arial" w:hAnsi="Arial" w:cs="Arial"/>
          <w:lang w:val="en-US"/>
        </w:rPr>
        <w:t xml:space="preserve"> clear that the</w:t>
      </w:r>
      <w:r w:rsidR="00C545EA" w:rsidRPr="00AE5D49">
        <w:rPr>
          <w:rFonts w:ascii="Arial" w:hAnsi="Arial" w:cs="Arial"/>
          <w:lang w:val="en-US"/>
        </w:rPr>
        <w:t xml:space="preserve"> court </w:t>
      </w:r>
      <w:r w:rsidR="004A21F2" w:rsidRPr="00AE5D49">
        <w:rPr>
          <w:rFonts w:ascii="Arial" w:hAnsi="Arial" w:cs="Arial"/>
          <w:lang w:val="en-US"/>
        </w:rPr>
        <w:t>can</w:t>
      </w:r>
      <w:r w:rsidR="00C545EA" w:rsidRPr="00AE5D49">
        <w:rPr>
          <w:rFonts w:ascii="Arial" w:hAnsi="Arial" w:cs="Arial"/>
          <w:lang w:val="en-US"/>
        </w:rPr>
        <w:t>not</w:t>
      </w:r>
      <w:r w:rsidR="004A21F2" w:rsidRPr="00AE5D49">
        <w:rPr>
          <w:rFonts w:ascii="Arial" w:hAnsi="Arial" w:cs="Arial"/>
          <w:lang w:val="en-US"/>
        </w:rPr>
        <w:t xml:space="preserve"> intervene </w:t>
      </w:r>
      <w:r w:rsidR="00EB1C53" w:rsidRPr="00AE5D49">
        <w:rPr>
          <w:rFonts w:ascii="Arial" w:hAnsi="Arial" w:cs="Arial"/>
          <w:lang w:val="en-US"/>
        </w:rPr>
        <w:t xml:space="preserve">in an application under sub-section (5) </w:t>
      </w:r>
      <w:r w:rsidR="004A21F2" w:rsidRPr="00AE5D49">
        <w:rPr>
          <w:rFonts w:ascii="Arial" w:hAnsi="Arial" w:cs="Arial"/>
          <w:lang w:val="en-US"/>
        </w:rPr>
        <w:t>simply because the court does not agree with the outcome.</w:t>
      </w:r>
      <w:r w:rsidR="00C545EA" w:rsidRPr="00AE5D49">
        <w:rPr>
          <w:rFonts w:ascii="Arial" w:hAnsi="Arial" w:cs="Arial"/>
          <w:lang w:val="en-US"/>
        </w:rPr>
        <w:t xml:space="preserve"> As the sections stand the court’s powers under subsection (5) are clearly limited.</w:t>
      </w:r>
    </w:p>
    <w:p w14:paraId="3250F705" w14:textId="77777777" w:rsidR="00291712" w:rsidRPr="00291712" w:rsidRDefault="00291712" w:rsidP="00291712">
      <w:pPr>
        <w:pStyle w:val="ListParagraph"/>
        <w:rPr>
          <w:rFonts w:ascii="Arial" w:hAnsi="Arial" w:cs="Arial"/>
          <w:lang w:val="en-US"/>
        </w:rPr>
      </w:pPr>
    </w:p>
    <w:p w14:paraId="6CA5DE60" w14:textId="5969AD07" w:rsidR="00291712" w:rsidRDefault="00291712" w:rsidP="00291712">
      <w:pPr>
        <w:rPr>
          <w:rFonts w:ascii="Arial" w:hAnsi="Arial" w:cs="Arial"/>
          <w:lang w:val="en-US"/>
        </w:rPr>
      </w:pPr>
    </w:p>
    <w:p w14:paraId="461FBFD5" w14:textId="5E7A8748" w:rsidR="00291712" w:rsidRPr="00145ED7" w:rsidRDefault="00145ED7" w:rsidP="00291712">
      <w:pPr>
        <w:spacing w:line="480" w:lineRule="auto"/>
        <w:rPr>
          <w:rFonts w:ascii="Arial" w:hAnsi="Arial" w:cs="Arial"/>
          <w:b/>
          <w:i/>
          <w:lang w:val="en-GB"/>
        </w:rPr>
      </w:pPr>
      <w:r w:rsidRPr="00145ED7">
        <w:rPr>
          <w:rFonts w:ascii="Arial" w:hAnsi="Arial" w:cs="Arial"/>
          <w:b/>
          <w:i/>
          <w:lang w:val="en-GB"/>
        </w:rPr>
        <w:t>Prejudice</w:t>
      </w:r>
    </w:p>
    <w:p w14:paraId="3AE7CC6F" w14:textId="77777777" w:rsidR="00291712" w:rsidRPr="00291712" w:rsidRDefault="00291712" w:rsidP="00291712">
      <w:pPr>
        <w:pStyle w:val="ListParagraph"/>
        <w:rPr>
          <w:rFonts w:ascii="Arial" w:hAnsi="Arial" w:cs="Arial"/>
          <w:lang w:val="en-US"/>
        </w:rPr>
      </w:pPr>
    </w:p>
    <w:p w14:paraId="686C0E26" w14:textId="067CA2AA" w:rsidR="0050784F" w:rsidRPr="00AE5D49" w:rsidRDefault="00AE5D49" w:rsidP="00AE5D49">
      <w:pPr>
        <w:spacing w:line="480" w:lineRule="auto"/>
        <w:ind w:left="709" w:hanging="709"/>
        <w:rPr>
          <w:rFonts w:ascii="Arial" w:hAnsi="Arial" w:cs="Arial"/>
          <w:lang w:val="en-US"/>
        </w:rPr>
      </w:pPr>
      <w:r>
        <w:rPr>
          <w:rFonts w:ascii="Arial" w:hAnsi="Arial" w:cs="Arial"/>
          <w:lang w:val="en-US"/>
        </w:rPr>
        <w:t>[93]</w:t>
      </w:r>
      <w:r>
        <w:rPr>
          <w:rFonts w:ascii="Arial" w:hAnsi="Arial" w:cs="Arial"/>
          <w:lang w:val="en-US"/>
        </w:rPr>
        <w:tab/>
      </w:r>
      <w:r w:rsidR="0050784F" w:rsidRPr="00AE5D49">
        <w:rPr>
          <w:rFonts w:ascii="Arial" w:hAnsi="Arial" w:cs="Arial"/>
          <w:lang w:val="en-US"/>
        </w:rPr>
        <w:t xml:space="preserve">ABSA Bank claims that the record is confidential or privileged. </w:t>
      </w:r>
      <w:r w:rsidR="00291712" w:rsidRPr="00AE5D49">
        <w:rPr>
          <w:rFonts w:ascii="Arial" w:hAnsi="Arial" w:cs="Arial"/>
          <w:lang w:val="en-US"/>
        </w:rPr>
        <w:t>The removal of a director in the position of Mr Pityana, is not only sensitive, but in my view confidential. The private business of a company cannot simply be made public because a former director is of the view that his removal is to be reviewed. The reasons why he was removed may not only be personal to the former director, but may expose sensitive and confidential business dealings or even expose the company to other liability if for instance it becomes clear that a company did not for instance deal with the removal as soon as possible.</w:t>
      </w:r>
    </w:p>
    <w:p w14:paraId="15E63C5C" w14:textId="77777777" w:rsidR="00DF696E" w:rsidRDefault="00DF696E" w:rsidP="00DF696E">
      <w:pPr>
        <w:pStyle w:val="ListParagraph"/>
        <w:ind w:left="709"/>
        <w:rPr>
          <w:rFonts w:ascii="Arial" w:hAnsi="Arial" w:cs="Arial"/>
          <w:lang w:val="en-US"/>
        </w:rPr>
      </w:pPr>
    </w:p>
    <w:p w14:paraId="02EFA487" w14:textId="7A6795D8" w:rsidR="00DF696E" w:rsidRPr="00AE5D49" w:rsidRDefault="00AE5D49" w:rsidP="00AE5D49">
      <w:pPr>
        <w:spacing w:line="480" w:lineRule="auto"/>
        <w:ind w:left="709" w:hanging="709"/>
        <w:rPr>
          <w:rFonts w:ascii="Arial" w:hAnsi="Arial" w:cs="Arial"/>
          <w:lang w:val="en-US"/>
        </w:rPr>
      </w:pPr>
      <w:r w:rsidRPr="00DF696E">
        <w:rPr>
          <w:rFonts w:ascii="Arial" w:hAnsi="Arial" w:cs="Arial"/>
          <w:lang w:val="en-US"/>
        </w:rPr>
        <w:lastRenderedPageBreak/>
        <w:t>[94]</w:t>
      </w:r>
      <w:r w:rsidRPr="00DF696E">
        <w:rPr>
          <w:rFonts w:ascii="Arial" w:hAnsi="Arial" w:cs="Arial"/>
          <w:lang w:val="en-US"/>
        </w:rPr>
        <w:tab/>
      </w:r>
      <w:r w:rsidR="00DF696E" w:rsidRPr="00AE5D49">
        <w:rPr>
          <w:rFonts w:ascii="Arial" w:hAnsi="Arial" w:cs="Arial"/>
          <w:lang w:val="en-US"/>
        </w:rPr>
        <w:t xml:space="preserve">The record as all other documents filed in court becomes public and that may not only reveal confidential and sensitive information of the company, but also that of the erstwhile director. That is however in my view not a bar to providing the record or making use of rule 53 as the parties may even agree on the record not being made public, or the court being approached to make a ruling in that regard. The issue of </w:t>
      </w:r>
      <w:r w:rsidR="00DF696E" w:rsidRPr="00AE5D49">
        <w:rPr>
          <w:rFonts w:ascii="Arial" w:hAnsi="Arial" w:cs="Arial"/>
          <w:i/>
          <w:lang w:val="en-US"/>
        </w:rPr>
        <w:t>inter alia</w:t>
      </w:r>
      <w:r w:rsidR="00DF696E" w:rsidRPr="00AE5D49">
        <w:rPr>
          <w:rFonts w:ascii="Arial" w:hAnsi="Arial" w:cs="Arial"/>
          <w:lang w:val="en-US"/>
        </w:rPr>
        <w:t xml:space="preserve"> confidentiality was dealt with by the Constitutional Court in the matter of </w:t>
      </w:r>
      <w:r w:rsidR="00DF696E" w:rsidRPr="00AE5D49">
        <w:rPr>
          <w:rFonts w:ascii="Times" w:hAnsi="Times" w:cs="Arial"/>
          <w:bCs/>
          <w:i/>
          <w:sz w:val="26"/>
          <w:szCs w:val="26"/>
        </w:rPr>
        <w:t xml:space="preserve">Helen Suzman Foundation </w:t>
      </w:r>
      <w:r w:rsidR="00DF696E" w:rsidRPr="00AE5D49">
        <w:rPr>
          <w:rFonts w:ascii="Arial" w:hAnsi="Arial" w:cs="Arial"/>
          <w:bCs/>
        </w:rPr>
        <w:t>referred to above and I need not expand on it further.</w:t>
      </w:r>
    </w:p>
    <w:p w14:paraId="7749CAD0" w14:textId="77777777" w:rsidR="00291712" w:rsidRPr="00DF696E" w:rsidRDefault="00291712" w:rsidP="00DF696E">
      <w:pPr>
        <w:rPr>
          <w:rFonts w:ascii="Arial" w:hAnsi="Arial" w:cs="Arial"/>
          <w:lang w:val="en-US"/>
        </w:rPr>
      </w:pPr>
    </w:p>
    <w:p w14:paraId="5AF5F820" w14:textId="76F28614" w:rsidR="00DF696E" w:rsidRPr="00AE5D49" w:rsidRDefault="00AE5D49" w:rsidP="00AE5D49">
      <w:pPr>
        <w:spacing w:line="480" w:lineRule="auto"/>
        <w:ind w:left="709" w:hanging="709"/>
        <w:rPr>
          <w:rFonts w:ascii="Arial" w:hAnsi="Arial" w:cs="Arial"/>
          <w:lang w:val="en-US"/>
        </w:rPr>
      </w:pPr>
      <w:r>
        <w:rPr>
          <w:rFonts w:ascii="Arial" w:hAnsi="Arial" w:cs="Arial"/>
          <w:lang w:val="en-US"/>
        </w:rPr>
        <w:t>[95]</w:t>
      </w:r>
      <w:r>
        <w:rPr>
          <w:rFonts w:ascii="Arial" w:hAnsi="Arial" w:cs="Arial"/>
          <w:lang w:val="en-US"/>
        </w:rPr>
        <w:tab/>
      </w:r>
      <w:r w:rsidR="00291712" w:rsidRPr="00AE5D49">
        <w:rPr>
          <w:rFonts w:ascii="Arial" w:hAnsi="Arial" w:cs="Arial"/>
          <w:lang w:val="en-US"/>
        </w:rPr>
        <w:t xml:space="preserve">I </w:t>
      </w:r>
      <w:r w:rsidR="00DF696E" w:rsidRPr="00AE5D49">
        <w:rPr>
          <w:rFonts w:ascii="Arial" w:hAnsi="Arial" w:cs="Arial"/>
          <w:lang w:val="en-US"/>
        </w:rPr>
        <w:t>the light of the finding that there is not irregularity, I need not make a finding if there is</w:t>
      </w:r>
      <w:r w:rsidR="00291712" w:rsidRPr="00AE5D49">
        <w:rPr>
          <w:rFonts w:ascii="Arial" w:hAnsi="Arial" w:cs="Arial"/>
          <w:lang w:val="en-US"/>
        </w:rPr>
        <w:t xml:space="preserve"> </w:t>
      </w:r>
      <w:r w:rsidR="00DF696E" w:rsidRPr="00AE5D49">
        <w:rPr>
          <w:rFonts w:ascii="Arial" w:hAnsi="Arial" w:cs="Arial"/>
          <w:lang w:val="en-US"/>
        </w:rPr>
        <w:t>any</w:t>
      </w:r>
      <w:r w:rsidR="00291712" w:rsidRPr="00AE5D49">
        <w:rPr>
          <w:rFonts w:ascii="Arial" w:hAnsi="Arial" w:cs="Arial"/>
          <w:lang w:val="en-US"/>
        </w:rPr>
        <w:t xml:space="preserve"> prejudice </w:t>
      </w:r>
      <w:r w:rsidR="00DF696E" w:rsidRPr="00AE5D49">
        <w:rPr>
          <w:rFonts w:ascii="Arial" w:hAnsi="Arial" w:cs="Arial"/>
          <w:lang w:val="en-US"/>
        </w:rPr>
        <w:t>suffered</w:t>
      </w:r>
      <w:r w:rsidR="00291712" w:rsidRPr="00AE5D49">
        <w:rPr>
          <w:rFonts w:ascii="Arial" w:hAnsi="Arial" w:cs="Arial"/>
          <w:lang w:val="en-US"/>
        </w:rPr>
        <w:t>.</w:t>
      </w:r>
    </w:p>
    <w:p w14:paraId="293CD6F1" w14:textId="77777777" w:rsidR="00DF696E" w:rsidRPr="00DF696E" w:rsidRDefault="00DF696E" w:rsidP="00DF696E">
      <w:pPr>
        <w:pStyle w:val="ListParagraph"/>
        <w:rPr>
          <w:rFonts w:ascii="Arial" w:hAnsi="Arial" w:cs="Arial"/>
          <w:lang w:val="en-US"/>
        </w:rPr>
      </w:pPr>
    </w:p>
    <w:p w14:paraId="1FE03479" w14:textId="17C12D44" w:rsidR="00291712" w:rsidRPr="00AE5D49" w:rsidRDefault="00AE5D49" w:rsidP="00AE5D49">
      <w:pPr>
        <w:spacing w:line="480" w:lineRule="auto"/>
        <w:ind w:left="709" w:hanging="709"/>
        <w:rPr>
          <w:rFonts w:ascii="Arial" w:hAnsi="Arial" w:cs="Arial"/>
          <w:lang w:val="en-US"/>
        </w:rPr>
      </w:pPr>
      <w:r>
        <w:rPr>
          <w:rFonts w:ascii="Arial" w:hAnsi="Arial" w:cs="Arial"/>
          <w:lang w:val="en-US"/>
        </w:rPr>
        <w:t>[96]</w:t>
      </w:r>
      <w:r>
        <w:rPr>
          <w:rFonts w:ascii="Arial" w:hAnsi="Arial" w:cs="Arial"/>
          <w:lang w:val="en-US"/>
        </w:rPr>
        <w:tab/>
      </w:r>
      <w:r w:rsidR="00291712" w:rsidRPr="00AE5D49">
        <w:rPr>
          <w:rFonts w:ascii="Arial" w:hAnsi="Arial" w:cs="Arial"/>
          <w:lang w:val="en-US"/>
        </w:rPr>
        <w:t xml:space="preserve">As a result, I find that ABSA Bank </w:t>
      </w:r>
      <w:r w:rsidR="00DF696E" w:rsidRPr="00AE5D49">
        <w:rPr>
          <w:rFonts w:ascii="Arial" w:hAnsi="Arial" w:cs="Arial"/>
          <w:lang w:val="en-US"/>
        </w:rPr>
        <w:t xml:space="preserve">has not </w:t>
      </w:r>
      <w:r w:rsidR="00291712" w:rsidRPr="00AE5D49">
        <w:rPr>
          <w:rFonts w:ascii="Arial" w:hAnsi="Arial" w:cs="Arial"/>
          <w:lang w:val="en-US"/>
        </w:rPr>
        <w:t>made out a case under rule 30.</w:t>
      </w:r>
    </w:p>
    <w:p w14:paraId="31014EFF" w14:textId="41DB5EC4" w:rsidR="00A22D4E" w:rsidRPr="00DF696E" w:rsidRDefault="00A22D4E" w:rsidP="00DF696E">
      <w:pPr>
        <w:rPr>
          <w:rFonts w:ascii="Arial" w:hAnsi="Arial" w:cs="Arial"/>
          <w:lang w:val="en-US"/>
        </w:rPr>
      </w:pPr>
    </w:p>
    <w:p w14:paraId="17CF500F" w14:textId="77777777" w:rsidR="00291712" w:rsidRPr="00A22D4E" w:rsidRDefault="00291712" w:rsidP="00A22D4E">
      <w:pPr>
        <w:pStyle w:val="ListParagraph"/>
        <w:rPr>
          <w:rFonts w:ascii="Arial" w:hAnsi="Arial" w:cs="Arial"/>
          <w:lang w:val="en-US"/>
        </w:rPr>
      </w:pPr>
    </w:p>
    <w:p w14:paraId="2DC9C7C3" w14:textId="4D632CF1" w:rsidR="00A22D4E" w:rsidRPr="0050784F" w:rsidRDefault="0050784F" w:rsidP="00A22D4E">
      <w:pPr>
        <w:spacing w:line="480" w:lineRule="auto"/>
        <w:rPr>
          <w:rFonts w:ascii="Arial" w:hAnsi="Arial" w:cs="Arial"/>
          <w:b/>
          <w:i/>
          <w:lang w:val="en-US"/>
        </w:rPr>
      </w:pPr>
      <w:r>
        <w:rPr>
          <w:rFonts w:ascii="Arial" w:hAnsi="Arial" w:cs="Arial"/>
          <w:b/>
          <w:i/>
          <w:lang w:val="en-US"/>
        </w:rPr>
        <w:t>C</w:t>
      </w:r>
      <w:r w:rsidRPr="0050784F">
        <w:rPr>
          <w:rFonts w:ascii="Arial" w:hAnsi="Arial" w:cs="Arial"/>
          <w:b/>
          <w:i/>
          <w:lang w:val="en-US"/>
        </w:rPr>
        <w:t>onclusion</w:t>
      </w:r>
    </w:p>
    <w:p w14:paraId="50EAF0BF" w14:textId="77777777" w:rsidR="006D4644" w:rsidRPr="006D4644" w:rsidRDefault="006D4644" w:rsidP="006D4644">
      <w:pPr>
        <w:pStyle w:val="ListParagraph"/>
        <w:rPr>
          <w:rFonts w:ascii="Arial" w:hAnsi="Arial" w:cs="Arial"/>
          <w:lang w:val="en-US"/>
        </w:rPr>
      </w:pPr>
    </w:p>
    <w:p w14:paraId="34A8F5D0" w14:textId="6B6D45D0" w:rsidR="006D4644" w:rsidRPr="00AE5D49" w:rsidRDefault="00AE5D49" w:rsidP="00AE5D49">
      <w:pPr>
        <w:spacing w:line="480" w:lineRule="auto"/>
        <w:ind w:left="709" w:hanging="709"/>
        <w:rPr>
          <w:rFonts w:ascii="Arial" w:hAnsi="Arial" w:cs="Arial"/>
          <w:lang w:val="en-US"/>
        </w:rPr>
      </w:pPr>
      <w:r>
        <w:rPr>
          <w:rFonts w:ascii="Arial" w:hAnsi="Arial" w:cs="Arial"/>
          <w:lang w:val="en-US"/>
        </w:rPr>
        <w:t>[97]</w:t>
      </w:r>
      <w:r>
        <w:rPr>
          <w:rFonts w:ascii="Arial" w:hAnsi="Arial" w:cs="Arial"/>
          <w:lang w:val="en-US"/>
        </w:rPr>
        <w:tab/>
      </w:r>
      <w:r w:rsidR="0050784F" w:rsidRPr="00AE5D49">
        <w:rPr>
          <w:rFonts w:ascii="Arial" w:hAnsi="Arial" w:cs="Arial"/>
          <w:lang w:val="en-US"/>
        </w:rPr>
        <w:t>I find that R</w:t>
      </w:r>
      <w:r w:rsidR="00A22D4E" w:rsidRPr="00AE5D49">
        <w:rPr>
          <w:rFonts w:ascii="Arial" w:hAnsi="Arial" w:cs="Arial"/>
          <w:lang w:val="en-US"/>
        </w:rPr>
        <w:t>ule 53 is</w:t>
      </w:r>
      <w:r w:rsidR="00A058F2" w:rsidRPr="00AE5D49">
        <w:rPr>
          <w:rFonts w:ascii="Arial" w:hAnsi="Arial" w:cs="Arial"/>
          <w:lang w:val="en-US"/>
        </w:rPr>
        <w:t xml:space="preserve"> </w:t>
      </w:r>
      <w:r w:rsidR="00A22D4E" w:rsidRPr="00AE5D49">
        <w:rPr>
          <w:rFonts w:ascii="Arial" w:hAnsi="Arial" w:cs="Arial"/>
          <w:lang w:val="en-US"/>
        </w:rPr>
        <w:t>available to an applicant for review under section 71(3)</w:t>
      </w:r>
      <w:r w:rsidR="00FB3162" w:rsidRPr="00AE5D49">
        <w:rPr>
          <w:rFonts w:ascii="Arial" w:hAnsi="Arial" w:cs="Arial"/>
          <w:lang w:val="en-US"/>
        </w:rPr>
        <w:t xml:space="preserve"> as read with section 71(5)</w:t>
      </w:r>
      <w:r w:rsidR="00FD4001" w:rsidRPr="00AE5D49">
        <w:rPr>
          <w:rFonts w:ascii="Arial" w:hAnsi="Arial" w:cs="Arial"/>
          <w:lang w:val="en-US"/>
        </w:rPr>
        <w:t xml:space="preserve"> of the Companies Act of 2008</w:t>
      </w:r>
      <w:r w:rsidR="00A22D4E" w:rsidRPr="00AE5D49">
        <w:rPr>
          <w:rFonts w:ascii="Arial" w:hAnsi="Arial" w:cs="Arial"/>
          <w:lang w:val="en-US"/>
        </w:rPr>
        <w:t>.</w:t>
      </w:r>
      <w:r w:rsidR="00FB3162" w:rsidRPr="00AE5D49">
        <w:rPr>
          <w:rFonts w:ascii="Arial" w:hAnsi="Arial" w:cs="Arial"/>
          <w:lang w:val="en-US"/>
        </w:rPr>
        <w:t xml:space="preserve"> I specifically make no finding in respect of the applicability of rule 53 to review applications brought in terms of section 71(6)</w:t>
      </w:r>
      <w:r w:rsidR="0050784F" w:rsidRPr="00AE5D49">
        <w:rPr>
          <w:rFonts w:ascii="Arial" w:hAnsi="Arial" w:cs="Arial"/>
          <w:lang w:val="en-US"/>
        </w:rPr>
        <w:t>.</w:t>
      </w:r>
    </w:p>
    <w:p w14:paraId="1C4B34FD" w14:textId="77777777" w:rsidR="00A22D4E" w:rsidRDefault="00A22D4E" w:rsidP="00A22D4E">
      <w:pPr>
        <w:pStyle w:val="ListParagraph"/>
        <w:ind w:left="709"/>
        <w:rPr>
          <w:rFonts w:ascii="Arial" w:hAnsi="Arial" w:cs="Arial"/>
          <w:lang w:val="en-US"/>
        </w:rPr>
      </w:pPr>
    </w:p>
    <w:p w14:paraId="012248D9" w14:textId="334829D7" w:rsidR="00EB1C53" w:rsidRPr="00AE5D49" w:rsidRDefault="00AE5D49" w:rsidP="00AE5D49">
      <w:pPr>
        <w:spacing w:line="480" w:lineRule="auto"/>
        <w:ind w:left="709" w:hanging="709"/>
        <w:rPr>
          <w:rFonts w:ascii="Arial" w:hAnsi="Arial" w:cs="Arial"/>
          <w:lang w:val="en-US"/>
        </w:rPr>
      </w:pPr>
      <w:r>
        <w:rPr>
          <w:rFonts w:ascii="Arial" w:hAnsi="Arial" w:cs="Arial"/>
          <w:lang w:val="en-US"/>
        </w:rPr>
        <w:t>[98]</w:t>
      </w:r>
      <w:r>
        <w:rPr>
          <w:rFonts w:ascii="Arial" w:hAnsi="Arial" w:cs="Arial"/>
          <w:lang w:val="en-US"/>
        </w:rPr>
        <w:tab/>
      </w:r>
      <w:r w:rsidR="00A22D4E" w:rsidRPr="00AE5D49">
        <w:rPr>
          <w:rFonts w:ascii="Arial" w:hAnsi="Arial" w:cs="Arial"/>
          <w:lang w:val="en-US"/>
        </w:rPr>
        <w:t xml:space="preserve">The </w:t>
      </w:r>
      <w:r w:rsidR="00DF696E" w:rsidRPr="00AE5D49">
        <w:rPr>
          <w:rFonts w:ascii="Arial" w:hAnsi="Arial" w:cs="Arial"/>
          <w:lang w:val="en-US"/>
        </w:rPr>
        <w:t>application therefore</w:t>
      </w:r>
      <w:r w:rsidR="00A22D4E" w:rsidRPr="00AE5D49">
        <w:rPr>
          <w:rFonts w:ascii="Arial" w:hAnsi="Arial" w:cs="Arial"/>
          <w:lang w:val="en-US"/>
        </w:rPr>
        <w:t xml:space="preserve"> </w:t>
      </w:r>
      <w:r w:rsidR="00DF696E" w:rsidRPr="00AE5D49">
        <w:rPr>
          <w:rFonts w:ascii="Arial" w:hAnsi="Arial" w:cs="Arial"/>
          <w:lang w:val="en-US"/>
        </w:rPr>
        <w:t>cannot succeed.</w:t>
      </w:r>
    </w:p>
    <w:p w14:paraId="1B516315" w14:textId="77777777" w:rsidR="00EB1C53" w:rsidRPr="00EB1C53" w:rsidRDefault="00EB1C53" w:rsidP="00EB1C53">
      <w:pPr>
        <w:pStyle w:val="ListParagraph"/>
        <w:rPr>
          <w:rFonts w:ascii="Arial" w:hAnsi="Arial" w:cs="Arial"/>
          <w:lang w:val="en-US"/>
        </w:rPr>
      </w:pPr>
    </w:p>
    <w:p w14:paraId="0A05FC50" w14:textId="331F5A02" w:rsidR="00A22D4E" w:rsidRPr="00AE5D49" w:rsidRDefault="00AE5D49" w:rsidP="00AE5D49">
      <w:pPr>
        <w:spacing w:line="480" w:lineRule="auto"/>
        <w:ind w:left="709" w:hanging="709"/>
        <w:rPr>
          <w:rFonts w:ascii="Arial" w:hAnsi="Arial" w:cs="Arial"/>
          <w:lang w:val="en-US"/>
        </w:rPr>
      </w:pPr>
      <w:r>
        <w:rPr>
          <w:rFonts w:ascii="Arial" w:hAnsi="Arial" w:cs="Arial"/>
          <w:lang w:val="en-US"/>
        </w:rPr>
        <w:t>[99]</w:t>
      </w:r>
      <w:r>
        <w:rPr>
          <w:rFonts w:ascii="Arial" w:hAnsi="Arial" w:cs="Arial"/>
          <w:lang w:val="en-US"/>
        </w:rPr>
        <w:tab/>
      </w:r>
      <w:r w:rsidR="00EB1C53" w:rsidRPr="00AE5D49">
        <w:rPr>
          <w:rFonts w:ascii="Arial" w:hAnsi="Arial" w:cs="Arial"/>
          <w:lang w:val="en-US"/>
        </w:rPr>
        <w:t xml:space="preserve">I am of the view that the costs must follow the result. </w:t>
      </w:r>
      <w:r w:rsidR="00DF696E" w:rsidRPr="00AE5D49">
        <w:rPr>
          <w:rFonts w:ascii="Arial" w:hAnsi="Arial" w:cs="Arial"/>
          <w:lang w:val="en-US"/>
        </w:rPr>
        <w:t>Despite b</w:t>
      </w:r>
      <w:r w:rsidR="00EB1C53" w:rsidRPr="00AE5D49">
        <w:rPr>
          <w:rFonts w:ascii="Arial" w:hAnsi="Arial" w:cs="Arial"/>
          <w:lang w:val="en-US"/>
        </w:rPr>
        <w:t xml:space="preserve">oth parties having employed senior and junior counsel </w:t>
      </w:r>
      <w:r w:rsidR="00DF696E" w:rsidRPr="00AE5D49">
        <w:rPr>
          <w:rFonts w:ascii="Arial" w:hAnsi="Arial" w:cs="Arial"/>
          <w:lang w:val="en-US"/>
        </w:rPr>
        <w:t>I do not deem it necessary to have appointed two counsel.</w:t>
      </w:r>
    </w:p>
    <w:p w14:paraId="5B8A086B" w14:textId="77777777" w:rsidR="00DF696E" w:rsidRPr="00DF696E" w:rsidRDefault="00DF696E" w:rsidP="00DF696E">
      <w:pPr>
        <w:pStyle w:val="ListParagraph"/>
        <w:rPr>
          <w:rFonts w:ascii="Arial" w:hAnsi="Arial" w:cs="Arial"/>
          <w:lang w:val="en-US"/>
        </w:rPr>
      </w:pPr>
    </w:p>
    <w:p w14:paraId="64BA5634" w14:textId="77777777" w:rsidR="00DF696E" w:rsidRDefault="00DF696E" w:rsidP="00DF696E">
      <w:pPr>
        <w:pStyle w:val="ListParagraph"/>
        <w:spacing w:line="480" w:lineRule="auto"/>
        <w:ind w:left="709"/>
        <w:rPr>
          <w:rFonts w:ascii="Arial" w:hAnsi="Arial" w:cs="Arial"/>
          <w:lang w:val="en-US"/>
        </w:rPr>
      </w:pPr>
    </w:p>
    <w:p w14:paraId="04F4B51E" w14:textId="77777777" w:rsidR="0050784F" w:rsidRPr="0050784F" w:rsidRDefault="0050784F" w:rsidP="0050784F">
      <w:pPr>
        <w:pStyle w:val="ListParagraph"/>
        <w:rPr>
          <w:rFonts w:ascii="Arial" w:hAnsi="Arial" w:cs="Arial"/>
          <w:lang w:val="en-US"/>
        </w:rPr>
      </w:pPr>
    </w:p>
    <w:p w14:paraId="2F9BBED5" w14:textId="61EE6CA8" w:rsidR="0050784F" w:rsidRPr="0050784F" w:rsidRDefault="0050784F" w:rsidP="0050784F">
      <w:pPr>
        <w:spacing w:line="480" w:lineRule="auto"/>
        <w:rPr>
          <w:rFonts w:ascii="Arial" w:hAnsi="Arial" w:cs="Arial"/>
          <w:b/>
          <w:i/>
          <w:lang w:val="en-US"/>
        </w:rPr>
      </w:pPr>
      <w:r w:rsidRPr="0050784F">
        <w:rPr>
          <w:rFonts w:ascii="Arial" w:hAnsi="Arial" w:cs="Arial"/>
          <w:b/>
          <w:i/>
          <w:lang w:val="en-US"/>
        </w:rPr>
        <w:t>Order</w:t>
      </w:r>
    </w:p>
    <w:p w14:paraId="597B8D0F" w14:textId="77777777" w:rsidR="0050784F" w:rsidRPr="0050784F" w:rsidRDefault="0050784F" w:rsidP="0050784F">
      <w:pPr>
        <w:pStyle w:val="ListParagraph"/>
        <w:rPr>
          <w:rFonts w:ascii="Arial" w:hAnsi="Arial" w:cs="Arial"/>
          <w:lang w:val="en-US"/>
        </w:rPr>
      </w:pPr>
    </w:p>
    <w:p w14:paraId="3382B391" w14:textId="78521FC9" w:rsidR="00A058F2" w:rsidRPr="00AE5D49" w:rsidRDefault="00AE5D49" w:rsidP="00AE5D49">
      <w:pPr>
        <w:spacing w:line="480" w:lineRule="auto"/>
        <w:ind w:left="709" w:hanging="709"/>
        <w:rPr>
          <w:rFonts w:ascii="Arial" w:hAnsi="Arial" w:cs="Arial"/>
          <w:lang w:val="en-US"/>
        </w:rPr>
      </w:pPr>
      <w:r w:rsidRPr="00A058F2">
        <w:rPr>
          <w:rFonts w:ascii="Arial" w:hAnsi="Arial" w:cs="Arial"/>
          <w:lang w:val="en-US"/>
        </w:rPr>
        <w:t>[100]</w:t>
      </w:r>
      <w:r w:rsidRPr="00A058F2">
        <w:rPr>
          <w:rFonts w:ascii="Arial" w:hAnsi="Arial" w:cs="Arial"/>
          <w:lang w:val="en-US"/>
        </w:rPr>
        <w:tab/>
      </w:r>
      <w:r w:rsidR="00A058F2" w:rsidRPr="00AE5D49">
        <w:rPr>
          <w:rFonts w:ascii="Arial" w:hAnsi="Arial" w:cs="Arial"/>
          <w:lang w:val="en-US"/>
        </w:rPr>
        <w:t xml:space="preserve">The </w:t>
      </w:r>
      <w:r w:rsidR="00DF696E" w:rsidRPr="00AE5D49">
        <w:rPr>
          <w:rFonts w:ascii="Arial" w:hAnsi="Arial" w:cs="Arial"/>
          <w:lang w:val="en-US"/>
        </w:rPr>
        <w:t>application is therefore dismissed wit costs.</w:t>
      </w:r>
    </w:p>
    <w:p w14:paraId="36F5DED9" w14:textId="77777777" w:rsidR="00A22D4E" w:rsidRPr="00DF696E" w:rsidRDefault="00A22D4E" w:rsidP="00DF696E">
      <w:pPr>
        <w:rPr>
          <w:rFonts w:ascii="Arial" w:hAnsi="Arial" w:cs="Arial"/>
          <w:lang w:val="en-US"/>
        </w:rPr>
      </w:pPr>
    </w:p>
    <w:p w14:paraId="6D73C68D" w14:textId="02F545E6" w:rsidR="005948A6" w:rsidRDefault="005948A6" w:rsidP="005948A6">
      <w:pPr>
        <w:pStyle w:val="ListParagraph"/>
        <w:rPr>
          <w:rFonts w:ascii="Arial" w:hAnsi="Arial" w:cs="Arial"/>
          <w:lang w:val="en-US"/>
        </w:rPr>
      </w:pPr>
    </w:p>
    <w:p w14:paraId="16872E2C" w14:textId="77777777" w:rsidR="00FB3162" w:rsidRPr="005948A6" w:rsidRDefault="00FB3162" w:rsidP="005948A6">
      <w:pPr>
        <w:pStyle w:val="ListParagraph"/>
        <w:rPr>
          <w:rFonts w:ascii="Arial" w:hAnsi="Arial" w:cs="Arial"/>
          <w:lang w:val="en-US"/>
        </w:rPr>
      </w:pPr>
    </w:p>
    <w:p w14:paraId="25DD1C12" w14:textId="77777777" w:rsidR="005948A6" w:rsidRDefault="005948A6" w:rsidP="005948A6">
      <w:pPr>
        <w:autoSpaceDE w:val="0"/>
        <w:autoSpaceDN w:val="0"/>
        <w:adjustRightInd w:val="0"/>
        <w:spacing w:line="480" w:lineRule="auto"/>
        <w:rPr>
          <w:rFonts w:ascii="Arial" w:hAnsi="Arial" w:cs="Arial"/>
          <w:lang w:val="en-US"/>
        </w:rPr>
      </w:pPr>
      <w:r>
        <w:rPr>
          <w:rFonts w:ascii="Arial" w:hAnsi="Arial" w:cs="Arial"/>
          <w:lang w:val="en-US"/>
        </w:rPr>
        <w:t>BY ORDER</w:t>
      </w:r>
    </w:p>
    <w:p w14:paraId="18A84BBE" w14:textId="6CAE7EB5" w:rsidR="005948A6" w:rsidRDefault="005948A6" w:rsidP="005948A6">
      <w:pPr>
        <w:autoSpaceDE w:val="0"/>
        <w:autoSpaceDN w:val="0"/>
        <w:adjustRightInd w:val="0"/>
        <w:spacing w:line="480" w:lineRule="auto"/>
        <w:rPr>
          <w:noProof/>
          <w:lang w:eastAsia="en-ZA"/>
        </w:rPr>
      </w:pPr>
    </w:p>
    <w:p w14:paraId="7D3FD1DF" w14:textId="78D0DA99" w:rsidR="00FB2136" w:rsidRDefault="00FB2136" w:rsidP="005948A6">
      <w:pPr>
        <w:autoSpaceDE w:val="0"/>
        <w:autoSpaceDN w:val="0"/>
        <w:adjustRightInd w:val="0"/>
        <w:spacing w:line="480" w:lineRule="auto"/>
        <w:rPr>
          <w:noProof/>
          <w:lang w:eastAsia="en-ZA"/>
        </w:rPr>
      </w:pPr>
    </w:p>
    <w:p w14:paraId="61D297B2" w14:textId="00AD0783" w:rsidR="00FB2136" w:rsidRDefault="00FB2136" w:rsidP="005948A6">
      <w:pPr>
        <w:autoSpaceDE w:val="0"/>
        <w:autoSpaceDN w:val="0"/>
        <w:adjustRightInd w:val="0"/>
        <w:spacing w:line="480" w:lineRule="auto"/>
        <w:rPr>
          <w:rFonts w:ascii="Arial" w:hAnsi="Arial" w:cs="Arial"/>
          <w:lang w:val="en-US"/>
        </w:rPr>
      </w:pPr>
    </w:p>
    <w:p w14:paraId="29A57691" w14:textId="77777777" w:rsidR="005948A6" w:rsidRDefault="005948A6" w:rsidP="005948A6">
      <w:pPr>
        <w:autoSpaceDE w:val="0"/>
        <w:autoSpaceDN w:val="0"/>
        <w:adjustRightInd w:val="0"/>
        <w:spacing w:line="480" w:lineRule="auto"/>
        <w:rPr>
          <w:rFonts w:ascii="Arial" w:hAnsi="Arial" w:cs="Arial"/>
          <w:lang w:val="en-US"/>
        </w:rPr>
      </w:pPr>
      <w:r>
        <w:rPr>
          <w:rFonts w:ascii="Arial" w:hAnsi="Arial" w:cs="Arial"/>
          <w:lang w:val="en-US"/>
        </w:rPr>
        <w:t>M SNYMAN, AJ</w:t>
      </w:r>
    </w:p>
    <w:p w14:paraId="4BC2560B" w14:textId="77777777" w:rsidR="005948A6" w:rsidRDefault="005948A6" w:rsidP="005948A6">
      <w:pPr>
        <w:autoSpaceDE w:val="0"/>
        <w:autoSpaceDN w:val="0"/>
        <w:adjustRightInd w:val="0"/>
        <w:spacing w:line="480" w:lineRule="auto"/>
        <w:rPr>
          <w:rFonts w:ascii="Arial" w:hAnsi="Arial" w:cs="Arial"/>
          <w:lang w:val="en-US"/>
        </w:rPr>
      </w:pPr>
    </w:p>
    <w:p w14:paraId="796BB4C4" w14:textId="23C9715F" w:rsidR="005948A6" w:rsidRDefault="005948A6" w:rsidP="005948A6">
      <w:pPr>
        <w:autoSpaceDE w:val="0"/>
        <w:autoSpaceDN w:val="0"/>
        <w:adjustRightInd w:val="0"/>
        <w:spacing w:line="480" w:lineRule="auto"/>
        <w:rPr>
          <w:rFonts w:ascii="Arial" w:hAnsi="Arial" w:cs="Arial"/>
          <w:lang w:val="en-US"/>
        </w:rPr>
      </w:pPr>
      <w:r>
        <w:rPr>
          <w:rFonts w:ascii="Arial" w:hAnsi="Arial" w:cs="Arial"/>
          <w:lang w:val="en-US"/>
        </w:rPr>
        <w:t>Counsel for A</w:t>
      </w:r>
      <w:r w:rsidR="0050784F">
        <w:rPr>
          <w:rFonts w:ascii="Arial" w:hAnsi="Arial" w:cs="Arial"/>
          <w:lang w:val="en-US"/>
        </w:rPr>
        <w:t>BSA Bank</w:t>
      </w:r>
      <w:r>
        <w:rPr>
          <w:rFonts w:ascii="Arial" w:hAnsi="Arial" w:cs="Arial"/>
          <w:lang w:val="en-US"/>
        </w:rPr>
        <w:t>:</w:t>
      </w:r>
      <w:r>
        <w:rPr>
          <w:rFonts w:ascii="Arial" w:hAnsi="Arial" w:cs="Arial"/>
          <w:lang w:val="en-US"/>
        </w:rPr>
        <w:tab/>
      </w:r>
      <w:r>
        <w:rPr>
          <w:rFonts w:ascii="Arial" w:hAnsi="Arial" w:cs="Arial"/>
          <w:lang w:val="en-US"/>
        </w:rPr>
        <w:tab/>
      </w:r>
      <w:r>
        <w:rPr>
          <w:rFonts w:ascii="Arial" w:hAnsi="Arial" w:cs="Arial"/>
          <w:lang w:val="en-US"/>
        </w:rPr>
        <w:tab/>
        <w:t>Adv CL Loxton SC</w:t>
      </w:r>
    </w:p>
    <w:p w14:paraId="7F499515" w14:textId="1EE75ED8" w:rsidR="005948A6" w:rsidRDefault="005948A6" w:rsidP="005948A6">
      <w:pPr>
        <w:autoSpaceDE w:val="0"/>
        <w:autoSpaceDN w:val="0"/>
        <w:adjustRightInd w:val="0"/>
        <w:spacing w:line="480" w:lineRule="auto"/>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With</w:t>
      </w:r>
    </w:p>
    <w:p w14:paraId="145FC07F" w14:textId="06155565" w:rsidR="005948A6" w:rsidRDefault="005948A6" w:rsidP="005948A6">
      <w:pPr>
        <w:autoSpaceDE w:val="0"/>
        <w:autoSpaceDN w:val="0"/>
        <w:adjustRightInd w:val="0"/>
        <w:spacing w:line="480" w:lineRule="auto"/>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50784F">
        <w:rPr>
          <w:rFonts w:ascii="Arial" w:hAnsi="Arial" w:cs="Arial"/>
          <w:lang w:val="en-US"/>
        </w:rPr>
        <w:t xml:space="preserve">Adv </w:t>
      </w:r>
      <w:r w:rsidR="0050784F" w:rsidRPr="0050784F">
        <w:rPr>
          <w:rFonts w:ascii="Arial" w:hAnsi="Arial" w:cs="Arial"/>
          <w:lang w:val="en-GB"/>
        </w:rPr>
        <w:t>Milovanovic-Bitter</w:t>
      </w:r>
    </w:p>
    <w:p w14:paraId="3402BC10" w14:textId="4E0778D3" w:rsidR="005948A6" w:rsidRDefault="005948A6" w:rsidP="005948A6">
      <w:pPr>
        <w:autoSpaceDE w:val="0"/>
        <w:autoSpaceDN w:val="0"/>
        <w:adjustRightInd w:val="0"/>
        <w:spacing w:line="480" w:lineRule="auto"/>
        <w:rPr>
          <w:rFonts w:ascii="Arial" w:hAnsi="Arial" w:cs="Arial"/>
          <w:lang w:val="en-US"/>
        </w:rPr>
      </w:pPr>
      <w:r>
        <w:rPr>
          <w:rFonts w:ascii="Arial" w:hAnsi="Arial" w:cs="Arial"/>
          <w:lang w:val="en-US"/>
        </w:rPr>
        <w:t>A</w:t>
      </w:r>
      <w:r w:rsidR="0050784F">
        <w:rPr>
          <w:rFonts w:ascii="Arial" w:hAnsi="Arial" w:cs="Arial"/>
          <w:lang w:val="en-US"/>
        </w:rPr>
        <w:t xml:space="preserve">BSA Bank’s </w:t>
      </w:r>
      <w:r>
        <w:rPr>
          <w:rFonts w:ascii="Arial" w:hAnsi="Arial" w:cs="Arial"/>
          <w:lang w:val="en-US"/>
        </w:rPr>
        <w:t>Attorneys:</w:t>
      </w:r>
      <w:r>
        <w:rPr>
          <w:rFonts w:ascii="Arial" w:hAnsi="Arial" w:cs="Arial"/>
          <w:lang w:val="en-US"/>
        </w:rPr>
        <w:tab/>
      </w:r>
      <w:r w:rsidR="0050784F">
        <w:rPr>
          <w:rFonts w:ascii="Arial" w:hAnsi="Arial" w:cs="Arial"/>
          <w:lang w:val="en-US"/>
        </w:rPr>
        <w:tab/>
      </w:r>
      <w:r>
        <w:rPr>
          <w:rFonts w:ascii="Arial" w:hAnsi="Arial" w:cs="Arial"/>
          <w:lang w:val="en-US"/>
        </w:rPr>
        <w:tab/>
      </w:r>
      <w:r w:rsidR="0050784F">
        <w:rPr>
          <w:rFonts w:ascii="Arial" w:hAnsi="Arial" w:cs="Arial"/>
          <w:lang w:val="en-US"/>
        </w:rPr>
        <w:t>Weber Wentzel Attorneys</w:t>
      </w:r>
    </w:p>
    <w:p w14:paraId="67F58B33" w14:textId="73E25F25" w:rsidR="005948A6" w:rsidRDefault="005948A6" w:rsidP="005948A6">
      <w:pPr>
        <w:autoSpaceDE w:val="0"/>
        <w:autoSpaceDN w:val="0"/>
        <w:adjustRightInd w:val="0"/>
        <w:spacing w:line="480" w:lineRule="auto"/>
        <w:rPr>
          <w:rFonts w:ascii="Arial" w:hAnsi="Arial" w:cs="Arial"/>
          <w:lang w:val="en-US"/>
        </w:rPr>
      </w:pPr>
      <w:r>
        <w:rPr>
          <w:rFonts w:ascii="Arial" w:hAnsi="Arial" w:cs="Arial"/>
          <w:lang w:val="en-US"/>
        </w:rPr>
        <w:t xml:space="preserve">Counsel for </w:t>
      </w:r>
      <w:r w:rsidR="0050784F">
        <w:rPr>
          <w:rFonts w:ascii="Arial" w:hAnsi="Arial" w:cs="Arial"/>
          <w:lang w:val="en-US"/>
        </w:rPr>
        <w:t>Mr Pityana</w:t>
      </w:r>
      <w:r w:rsidR="0050784F">
        <w:rPr>
          <w:rFonts w:ascii="Arial" w:hAnsi="Arial" w:cs="Arial"/>
          <w:lang w:val="en-US"/>
        </w:rPr>
        <w:tab/>
      </w:r>
      <w:r>
        <w:rPr>
          <w:rFonts w:ascii="Arial" w:hAnsi="Arial" w:cs="Arial"/>
          <w:lang w:val="en-US"/>
        </w:rPr>
        <w:t>:</w:t>
      </w:r>
      <w:r>
        <w:rPr>
          <w:rFonts w:ascii="Arial" w:hAnsi="Arial" w:cs="Arial"/>
          <w:lang w:val="en-US"/>
        </w:rPr>
        <w:tab/>
      </w:r>
      <w:r>
        <w:rPr>
          <w:rFonts w:ascii="Arial" w:hAnsi="Arial" w:cs="Arial"/>
          <w:lang w:val="en-US"/>
        </w:rPr>
        <w:tab/>
        <w:t>Adv A Subel</w:t>
      </w:r>
    </w:p>
    <w:p w14:paraId="40854C9E" w14:textId="246A9958" w:rsidR="005948A6" w:rsidRDefault="005948A6" w:rsidP="005948A6">
      <w:pPr>
        <w:autoSpaceDE w:val="0"/>
        <w:autoSpaceDN w:val="0"/>
        <w:adjustRightInd w:val="0"/>
        <w:spacing w:line="480" w:lineRule="auto"/>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With</w:t>
      </w:r>
    </w:p>
    <w:p w14:paraId="28897CDE" w14:textId="78A947FB" w:rsidR="005948A6" w:rsidRDefault="005948A6" w:rsidP="005948A6">
      <w:pPr>
        <w:autoSpaceDE w:val="0"/>
        <w:autoSpaceDN w:val="0"/>
        <w:adjustRightInd w:val="0"/>
        <w:spacing w:line="480" w:lineRule="auto"/>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50784F">
        <w:rPr>
          <w:rFonts w:ascii="Arial" w:hAnsi="Arial" w:cs="Arial"/>
          <w:lang w:val="en-US"/>
        </w:rPr>
        <w:t xml:space="preserve">Adv </w:t>
      </w:r>
      <w:r w:rsidR="0050784F" w:rsidRPr="0050784F">
        <w:rPr>
          <w:rFonts w:ascii="Arial" w:hAnsi="Arial" w:cs="Arial"/>
          <w:lang w:val="en-US"/>
        </w:rPr>
        <w:t>N Stein</w:t>
      </w:r>
    </w:p>
    <w:p w14:paraId="51EA181D" w14:textId="2A608261" w:rsidR="005948A6" w:rsidRDefault="0050784F" w:rsidP="005948A6">
      <w:pPr>
        <w:autoSpaceDE w:val="0"/>
        <w:autoSpaceDN w:val="0"/>
        <w:adjustRightInd w:val="0"/>
        <w:spacing w:line="480" w:lineRule="auto"/>
        <w:rPr>
          <w:rFonts w:ascii="Arial" w:hAnsi="Arial" w:cs="Arial"/>
          <w:lang w:val="en-US"/>
        </w:rPr>
      </w:pPr>
      <w:r>
        <w:rPr>
          <w:rFonts w:ascii="Arial" w:hAnsi="Arial" w:cs="Arial"/>
          <w:lang w:val="en-US"/>
        </w:rPr>
        <w:t>Mr Pityana’s</w:t>
      </w:r>
      <w:r w:rsidR="005948A6">
        <w:rPr>
          <w:rFonts w:ascii="Arial" w:hAnsi="Arial" w:cs="Arial"/>
          <w:lang w:val="en-US"/>
        </w:rPr>
        <w:t xml:space="preserve"> Attorneys:</w:t>
      </w:r>
      <w:r w:rsidR="005948A6">
        <w:rPr>
          <w:rFonts w:ascii="Arial" w:hAnsi="Arial" w:cs="Arial"/>
          <w:lang w:val="en-US"/>
        </w:rPr>
        <w:tab/>
      </w:r>
      <w:r>
        <w:rPr>
          <w:rFonts w:ascii="Arial" w:hAnsi="Arial" w:cs="Arial"/>
          <w:lang w:val="en-US"/>
        </w:rPr>
        <w:tab/>
      </w:r>
      <w:r>
        <w:rPr>
          <w:rFonts w:ascii="Arial" w:hAnsi="Arial" w:cs="Arial"/>
          <w:lang w:val="en-US"/>
        </w:rPr>
        <w:tab/>
        <w:t xml:space="preserve">Haffeegee Roskam Savage </w:t>
      </w:r>
      <w:r w:rsidR="005948A6">
        <w:rPr>
          <w:rFonts w:ascii="Arial" w:hAnsi="Arial" w:cs="Arial"/>
          <w:lang w:val="en-US"/>
        </w:rPr>
        <w:t>Attorneys</w:t>
      </w:r>
    </w:p>
    <w:p w14:paraId="1CAC02A7" w14:textId="77777777" w:rsidR="005948A6" w:rsidRPr="00F82199" w:rsidRDefault="005948A6" w:rsidP="005948A6">
      <w:pPr>
        <w:autoSpaceDE w:val="0"/>
        <w:autoSpaceDN w:val="0"/>
        <w:adjustRightInd w:val="0"/>
        <w:spacing w:line="480" w:lineRule="auto"/>
        <w:rPr>
          <w:rFonts w:ascii="Arial" w:hAnsi="Arial" w:cs="Arial"/>
          <w:lang w:val="en-US"/>
        </w:rPr>
      </w:pPr>
    </w:p>
    <w:p w14:paraId="1A5296E6" w14:textId="77777777" w:rsidR="005948A6" w:rsidRPr="005948A6" w:rsidRDefault="005948A6" w:rsidP="005948A6">
      <w:pPr>
        <w:pStyle w:val="ListParagraph"/>
        <w:spacing w:line="480" w:lineRule="auto"/>
        <w:ind w:left="709"/>
        <w:rPr>
          <w:rFonts w:ascii="Arial" w:hAnsi="Arial" w:cs="Arial"/>
          <w:lang w:val="en-US"/>
        </w:rPr>
      </w:pPr>
    </w:p>
    <w:sectPr w:rsidR="005948A6" w:rsidRPr="005948A6" w:rsidSect="008A2658">
      <w:headerReference w:type="even" r:id="rId12"/>
      <w:headerReference w:type="defaul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109EE" w14:textId="77777777" w:rsidR="002D036E" w:rsidRDefault="002D036E" w:rsidP="00693280">
      <w:r>
        <w:separator/>
      </w:r>
    </w:p>
  </w:endnote>
  <w:endnote w:type="continuationSeparator" w:id="0">
    <w:p w14:paraId="7C18B6D1" w14:textId="77777777" w:rsidR="002D036E" w:rsidRDefault="002D036E" w:rsidP="0069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Ü˝Ç¿$">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04D82" w14:textId="77777777" w:rsidR="002D036E" w:rsidRDefault="002D036E" w:rsidP="00693280">
      <w:r>
        <w:separator/>
      </w:r>
    </w:p>
  </w:footnote>
  <w:footnote w:type="continuationSeparator" w:id="0">
    <w:p w14:paraId="38B1B3D9" w14:textId="77777777" w:rsidR="002D036E" w:rsidRDefault="002D036E" w:rsidP="00693280">
      <w:r>
        <w:continuationSeparator/>
      </w:r>
    </w:p>
  </w:footnote>
  <w:footnote w:id="1">
    <w:p w14:paraId="6236250C" w14:textId="77777777" w:rsidR="00EB1C53" w:rsidRPr="00EC4FD4" w:rsidRDefault="00EB1C53" w:rsidP="00EB1C53">
      <w:pPr>
        <w:pStyle w:val="FootnoteText"/>
        <w:rPr>
          <w:lang w:val="en-US"/>
        </w:rPr>
      </w:pPr>
    </w:p>
  </w:footnote>
  <w:footnote w:id="2">
    <w:p w14:paraId="52381ACB" w14:textId="77777777" w:rsidR="00EB1C53" w:rsidRPr="00EC4FD4" w:rsidRDefault="00EB1C53" w:rsidP="00EB1C53">
      <w:pPr>
        <w:pStyle w:val="FootnoteText"/>
        <w:rPr>
          <w:rFonts w:ascii="Arial" w:hAnsi="Arial" w:cs="Arial"/>
          <w:lang w:val="en-US"/>
        </w:rPr>
      </w:pPr>
      <w:r w:rsidRPr="00EC4FD4">
        <w:rPr>
          <w:rStyle w:val="FootnoteReference"/>
          <w:rFonts w:ascii="Arial" w:hAnsi="Arial" w:cs="Arial"/>
        </w:rPr>
        <w:footnoteRef/>
      </w:r>
      <w:r w:rsidRPr="00EC4FD4">
        <w:rPr>
          <w:rFonts w:ascii="Arial" w:hAnsi="Arial" w:cs="Arial"/>
        </w:rPr>
        <w:t xml:space="preserve"> </w:t>
      </w:r>
      <w:r w:rsidRPr="00EC4FD4">
        <w:rPr>
          <w:rFonts w:ascii="Arial" w:hAnsi="Arial" w:cs="Arial"/>
          <w:lang w:val="en-US"/>
        </w:rPr>
        <w:tab/>
      </w:r>
      <w:r w:rsidRPr="00EC4FD4">
        <w:rPr>
          <w:rFonts w:ascii="Arial" w:hAnsi="Arial" w:cs="Arial"/>
          <w:bCs/>
        </w:rPr>
        <w:t>2022 (1) SA 424 (SCA)</w:t>
      </w:r>
    </w:p>
  </w:footnote>
  <w:footnote w:id="3">
    <w:p w14:paraId="4D68CAFE" w14:textId="77777777" w:rsidR="00EB1C53" w:rsidRPr="00FD4001" w:rsidRDefault="00EB1C53" w:rsidP="00EB1C53">
      <w:pPr>
        <w:pStyle w:val="FootnoteText"/>
        <w:rPr>
          <w:rFonts w:ascii="Arial" w:hAnsi="Arial" w:cs="Arial"/>
          <w:lang w:val="en-US"/>
        </w:rPr>
      </w:pPr>
      <w:r w:rsidRPr="00FD4001">
        <w:rPr>
          <w:rStyle w:val="FootnoteReference"/>
          <w:rFonts w:ascii="Arial" w:hAnsi="Arial" w:cs="Arial"/>
        </w:rPr>
        <w:footnoteRef/>
      </w:r>
      <w:r w:rsidRPr="00FD4001">
        <w:rPr>
          <w:rFonts w:ascii="Arial" w:hAnsi="Arial" w:cs="Arial"/>
        </w:rPr>
        <w:t xml:space="preserve"> </w:t>
      </w:r>
      <w:r w:rsidRPr="00FD4001">
        <w:rPr>
          <w:rFonts w:ascii="Arial" w:hAnsi="Arial" w:cs="Arial"/>
          <w:lang w:val="en-US"/>
        </w:rPr>
        <w:tab/>
      </w:r>
      <w:r w:rsidRPr="00FD4001">
        <w:rPr>
          <w:rFonts w:ascii="Arial" w:hAnsi="Arial" w:cs="Arial"/>
          <w:bCs/>
        </w:rPr>
        <w:t>2022 (1) SA 424 (SCA) at [16]</w:t>
      </w:r>
    </w:p>
  </w:footnote>
  <w:footnote w:id="4">
    <w:p w14:paraId="484045AB" w14:textId="77777777" w:rsidR="00EB1C53" w:rsidRPr="00FD4001" w:rsidRDefault="00EB1C53" w:rsidP="00EB1C53">
      <w:pPr>
        <w:rPr>
          <w:rFonts w:ascii="Arial" w:hAnsi="Arial" w:cs="Arial"/>
          <w:sz w:val="20"/>
          <w:szCs w:val="20"/>
        </w:rPr>
      </w:pPr>
      <w:r w:rsidRPr="00FD4001">
        <w:rPr>
          <w:rStyle w:val="FootnoteReference"/>
          <w:rFonts w:ascii="Arial" w:hAnsi="Arial" w:cs="Arial"/>
          <w:sz w:val="20"/>
          <w:szCs w:val="20"/>
        </w:rPr>
        <w:footnoteRef/>
      </w:r>
      <w:r w:rsidRPr="00FD4001">
        <w:rPr>
          <w:rFonts w:ascii="Arial" w:hAnsi="Arial" w:cs="Arial"/>
          <w:sz w:val="20"/>
          <w:szCs w:val="20"/>
        </w:rPr>
        <w:t xml:space="preserve"> </w:t>
      </w:r>
      <w:r w:rsidRPr="00FD4001">
        <w:rPr>
          <w:rFonts w:ascii="Arial" w:hAnsi="Arial" w:cs="Arial"/>
          <w:sz w:val="20"/>
          <w:szCs w:val="20"/>
          <w:lang w:val="en-US"/>
        </w:rPr>
        <w:tab/>
      </w:r>
      <w:hyperlink r:id="rId1" w:tooltip="View LawCiteRecord" w:history="1">
        <w:r w:rsidRPr="00FD4001">
          <w:rPr>
            <w:rStyle w:val="Hyperlink"/>
            <w:rFonts w:ascii="Arial" w:hAnsi="Arial" w:cs="Arial"/>
            <w:bCs/>
            <w:color w:val="auto"/>
            <w:sz w:val="20"/>
            <w:szCs w:val="20"/>
            <w:u w:val="none"/>
          </w:rPr>
          <w:t>2008 (4) SA 367</w:t>
        </w:r>
      </w:hyperlink>
      <w:r w:rsidRPr="00FD4001">
        <w:rPr>
          <w:rStyle w:val="apple-converted-space"/>
          <w:rFonts w:ascii="Arial" w:hAnsi="Arial" w:cs="Arial"/>
          <w:sz w:val="20"/>
          <w:szCs w:val="20"/>
          <w:shd w:val="clear" w:color="auto" w:fill="FFFFFF"/>
        </w:rPr>
        <w:t> </w:t>
      </w:r>
      <w:r w:rsidRPr="00FD4001">
        <w:rPr>
          <w:rFonts w:ascii="Arial" w:hAnsi="Arial" w:cs="Arial"/>
          <w:sz w:val="20"/>
          <w:szCs w:val="20"/>
          <w:shd w:val="clear" w:color="auto" w:fill="FFFFFF"/>
        </w:rPr>
        <w:t>(CC) at [183]</w:t>
      </w:r>
    </w:p>
  </w:footnote>
  <w:footnote w:id="5">
    <w:p w14:paraId="64BD9154" w14:textId="77777777" w:rsidR="00EB1C53" w:rsidRPr="00FD4001" w:rsidRDefault="00EB1C53" w:rsidP="00EB1C53">
      <w:pPr>
        <w:ind w:left="709" w:hanging="709"/>
        <w:rPr>
          <w:rFonts w:ascii="Arial" w:hAnsi="Arial" w:cs="Arial"/>
          <w:sz w:val="20"/>
          <w:szCs w:val="20"/>
        </w:rPr>
      </w:pPr>
      <w:r w:rsidRPr="00FD4001">
        <w:rPr>
          <w:rStyle w:val="FootnoteReference"/>
          <w:rFonts w:ascii="Arial" w:hAnsi="Arial" w:cs="Arial"/>
          <w:sz w:val="20"/>
          <w:szCs w:val="20"/>
        </w:rPr>
        <w:footnoteRef/>
      </w:r>
      <w:r w:rsidRPr="00FD4001">
        <w:rPr>
          <w:rFonts w:ascii="Arial" w:hAnsi="Arial" w:cs="Arial"/>
          <w:sz w:val="20"/>
          <w:szCs w:val="20"/>
        </w:rPr>
        <w:t xml:space="preserve"> </w:t>
      </w:r>
      <w:r w:rsidRPr="00FD4001">
        <w:rPr>
          <w:rFonts w:ascii="Arial" w:hAnsi="Arial" w:cs="Arial"/>
          <w:sz w:val="20"/>
          <w:szCs w:val="20"/>
          <w:lang w:val="en-US"/>
        </w:rPr>
        <w:tab/>
      </w:r>
      <w:r w:rsidRPr="00FD4001">
        <w:rPr>
          <w:rFonts w:ascii="Arial" w:hAnsi="Arial" w:cs="Arial"/>
          <w:i/>
          <w:iCs/>
          <w:color w:val="242121"/>
          <w:sz w:val="20"/>
          <w:szCs w:val="20"/>
        </w:rPr>
        <w:t xml:space="preserve">Greys Marine Hout Bay (Pty) Ltd and Others v Minister of Public Works and </w:t>
      </w:r>
      <w:r w:rsidRPr="00FD4001">
        <w:rPr>
          <w:rFonts w:ascii="Arial" w:hAnsi="Arial" w:cs="Arial"/>
          <w:i/>
          <w:iCs/>
          <w:sz w:val="20"/>
          <w:szCs w:val="20"/>
        </w:rPr>
        <w:t>Others</w:t>
      </w:r>
      <w:r w:rsidRPr="00FD4001">
        <w:rPr>
          <w:rStyle w:val="apple-converted-space"/>
          <w:rFonts w:ascii="Arial" w:hAnsi="Arial" w:cs="Arial"/>
          <w:sz w:val="20"/>
          <w:szCs w:val="20"/>
        </w:rPr>
        <w:t> </w:t>
      </w:r>
      <w:r w:rsidRPr="00FD4001">
        <w:rPr>
          <w:rFonts w:ascii="Arial" w:hAnsi="Arial" w:cs="Arial"/>
          <w:sz w:val="20"/>
          <w:szCs w:val="20"/>
        </w:rPr>
        <w:t>2005 (6) SA 313 (SCA) at [24]</w:t>
      </w:r>
    </w:p>
  </w:footnote>
  <w:footnote w:id="6">
    <w:p w14:paraId="577D260C" w14:textId="00724840" w:rsidR="00EB1C53" w:rsidRPr="00FD4001" w:rsidRDefault="00EB1C53" w:rsidP="00EB1C53">
      <w:pPr>
        <w:ind w:left="709" w:hanging="709"/>
        <w:rPr>
          <w:rFonts w:ascii="Arial" w:hAnsi="Arial" w:cs="Arial"/>
          <w:sz w:val="20"/>
          <w:szCs w:val="20"/>
        </w:rPr>
      </w:pPr>
      <w:r w:rsidRPr="00FD4001">
        <w:rPr>
          <w:rStyle w:val="FootnoteReference"/>
          <w:rFonts w:ascii="Arial" w:hAnsi="Arial" w:cs="Arial"/>
          <w:sz w:val="20"/>
          <w:szCs w:val="20"/>
        </w:rPr>
        <w:footnoteRef/>
      </w:r>
      <w:r w:rsidRPr="00FD4001">
        <w:rPr>
          <w:rFonts w:ascii="Arial" w:hAnsi="Arial" w:cs="Arial"/>
          <w:sz w:val="20"/>
          <w:szCs w:val="20"/>
        </w:rPr>
        <w:t xml:space="preserve"> </w:t>
      </w:r>
      <w:r w:rsidRPr="00FD4001">
        <w:rPr>
          <w:rFonts w:ascii="Arial" w:hAnsi="Arial" w:cs="Arial"/>
          <w:sz w:val="20"/>
          <w:szCs w:val="20"/>
          <w:lang w:val="en-US"/>
        </w:rPr>
        <w:tab/>
      </w:r>
      <w:r w:rsidRPr="00FD4001">
        <w:rPr>
          <w:rFonts w:ascii="Arial" w:hAnsi="Arial" w:cs="Arial"/>
          <w:i/>
          <w:iCs/>
          <w:color w:val="242121"/>
          <w:sz w:val="20"/>
          <w:szCs w:val="20"/>
        </w:rPr>
        <w:t>Pennington v Friedgood</w:t>
      </w:r>
      <w:r w:rsidRPr="00FD4001">
        <w:rPr>
          <w:rStyle w:val="apple-converted-space"/>
          <w:rFonts w:ascii="Arial" w:hAnsi="Arial" w:cs="Arial"/>
          <w:color w:val="242121"/>
          <w:sz w:val="20"/>
          <w:szCs w:val="20"/>
          <w:shd w:val="clear" w:color="auto" w:fill="FFFFFF"/>
        </w:rPr>
        <w:t> </w:t>
      </w:r>
      <w:r w:rsidRPr="00FD4001">
        <w:rPr>
          <w:rFonts w:ascii="Arial" w:hAnsi="Arial" w:cs="Arial"/>
          <w:color w:val="242121"/>
          <w:sz w:val="20"/>
          <w:szCs w:val="20"/>
          <w:shd w:val="clear" w:color="auto" w:fill="FFFFFF"/>
        </w:rPr>
        <w:t xml:space="preserve"> </w:t>
      </w:r>
      <w:r w:rsidRPr="00FD4001">
        <w:rPr>
          <w:rStyle w:val="apple-converted-space"/>
          <w:rFonts w:ascii="Arial" w:hAnsi="Arial" w:cs="Arial"/>
          <w:color w:val="242121"/>
          <w:sz w:val="20"/>
          <w:szCs w:val="20"/>
          <w:shd w:val="clear" w:color="auto" w:fill="FFFFFF"/>
        </w:rPr>
        <w:t xml:space="preserve">2002 (1) SA 251 </w:t>
      </w:r>
      <w:r w:rsidRPr="00FD4001">
        <w:rPr>
          <w:rFonts w:ascii="Arial" w:hAnsi="Arial" w:cs="Arial"/>
          <w:color w:val="242121"/>
          <w:sz w:val="20"/>
          <w:szCs w:val="20"/>
          <w:shd w:val="clear" w:color="auto" w:fill="FFFFFF"/>
        </w:rPr>
        <w:t xml:space="preserve">(C) where it was held that decisions taken at the annual meeting of a medical aid scheme were not </w:t>
      </w:r>
      <w:r w:rsidR="0050784F">
        <w:rPr>
          <w:rFonts w:ascii="Arial" w:hAnsi="Arial" w:cs="Arial"/>
          <w:color w:val="242121"/>
          <w:sz w:val="20"/>
          <w:szCs w:val="20"/>
          <w:shd w:val="clear" w:color="auto" w:fill="FFFFFF"/>
        </w:rPr>
        <w:t xml:space="preserve">in the </w:t>
      </w:r>
      <w:r w:rsidRPr="00FD4001">
        <w:rPr>
          <w:rFonts w:ascii="Arial" w:hAnsi="Arial" w:cs="Arial"/>
          <w:color w:val="242121"/>
          <w:sz w:val="20"/>
          <w:szCs w:val="20"/>
          <w:shd w:val="clear" w:color="auto" w:fill="FFFFFF"/>
        </w:rPr>
        <w:t xml:space="preserve">exercise of </w:t>
      </w:r>
      <w:r w:rsidR="0050784F">
        <w:rPr>
          <w:rFonts w:ascii="Arial" w:hAnsi="Arial" w:cs="Arial"/>
          <w:color w:val="242121"/>
          <w:sz w:val="20"/>
          <w:szCs w:val="20"/>
          <w:shd w:val="clear" w:color="auto" w:fill="FFFFFF"/>
        </w:rPr>
        <w:t xml:space="preserve">a </w:t>
      </w:r>
      <w:r w:rsidRPr="00FD4001">
        <w:rPr>
          <w:rFonts w:ascii="Arial" w:hAnsi="Arial" w:cs="Arial"/>
          <w:color w:val="242121"/>
          <w:sz w:val="20"/>
          <w:szCs w:val="20"/>
          <w:shd w:val="clear" w:color="auto" w:fill="FFFFFF"/>
        </w:rPr>
        <w:t>public power</w:t>
      </w:r>
    </w:p>
  </w:footnote>
  <w:footnote w:id="7">
    <w:p w14:paraId="77296EBA" w14:textId="77777777" w:rsidR="00EB1C53" w:rsidRPr="00444FD1" w:rsidRDefault="00EB1C53" w:rsidP="00EB1C53">
      <w:pPr>
        <w:pStyle w:val="FootnoteText"/>
        <w:rPr>
          <w:rFonts w:ascii="Arial" w:hAnsi="Arial" w:cs="Arial"/>
          <w:lang w:val="en-US"/>
        </w:rPr>
      </w:pPr>
      <w:r w:rsidRPr="00444FD1">
        <w:rPr>
          <w:rStyle w:val="FootnoteReference"/>
          <w:rFonts w:ascii="Arial" w:hAnsi="Arial" w:cs="Arial"/>
        </w:rPr>
        <w:footnoteRef/>
      </w:r>
      <w:r w:rsidRPr="00444FD1">
        <w:rPr>
          <w:rFonts w:ascii="Arial" w:hAnsi="Arial" w:cs="Arial"/>
        </w:rPr>
        <w:t xml:space="preserve"> </w:t>
      </w:r>
      <w:r w:rsidRPr="00444FD1">
        <w:rPr>
          <w:rFonts w:ascii="Arial" w:hAnsi="Arial" w:cs="Arial"/>
          <w:lang w:val="en-US"/>
        </w:rPr>
        <w:tab/>
      </w:r>
      <w:r>
        <w:rPr>
          <w:rFonts w:ascii="Arial" w:hAnsi="Arial" w:cs="Arial"/>
          <w:lang w:val="en-US"/>
        </w:rPr>
        <w:t>Above at para [19]</w:t>
      </w:r>
    </w:p>
  </w:footnote>
  <w:footnote w:id="8">
    <w:p w14:paraId="0B89C3A5" w14:textId="77777777" w:rsidR="00EB1C53" w:rsidRPr="00FC1072" w:rsidRDefault="00EB1C53" w:rsidP="00EB1C53">
      <w:pPr>
        <w:pStyle w:val="FootnoteText"/>
        <w:rPr>
          <w:rFonts w:ascii="Arial" w:hAnsi="Arial" w:cs="Arial"/>
          <w:lang w:val="en-US"/>
        </w:rPr>
      </w:pPr>
      <w:r w:rsidRPr="00FC1072">
        <w:rPr>
          <w:rStyle w:val="FootnoteReference"/>
          <w:rFonts w:ascii="Arial" w:hAnsi="Arial" w:cs="Arial"/>
        </w:rPr>
        <w:footnoteRef/>
      </w:r>
      <w:r w:rsidRPr="00FC1072">
        <w:rPr>
          <w:rFonts w:ascii="Arial" w:hAnsi="Arial" w:cs="Arial"/>
        </w:rPr>
        <w:t xml:space="preserve"> </w:t>
      </w:r>
      <w:r w:rsidRPr="00FC1072">
        <w:rPr>
          <w:rFonts w:ascii="Arial" w:hAnsi="Arial" w:cs="Arial"/>
          <w:lang w:val="en-US"/>
        </w:rPr>
        <w:tab/>
        <w:t>Above</w:t>
      </w:r>
    </w:p>
  </w:footnote>
  <w:footnote w:id="9">
    <w:p w14:paraId="3F233DF9" w14:textId="1AE50BD9" w:rsidR="00EB1C53" w:rsidRPr="00B9315A" w:rsidRDefault="00EB1C53" w:rsidP="00EB1C53">
      <w:pPr>
        <w:pStyle w:val="FootnoteText"/>
        <w:rPr>
          <w:rFonts w:ascii="Arial" w:hAnsi="Arial" w:cs="Arial"/>
          <w:lang w:val="en-US"/>
        </w:rPr>
      </w:pPr>
      <w:r w:rsidRPr="00230CFC">
        <w:rPr>
          <w:rStyle w:val="FootnoteReference"/>
          <w:rFonts w:ascii="Arial" w:hAnsi="Arial" w:cs="Arial"/>
        </w:rPr>
        <w:footnoteRef/>
      </w:r>
      <w:r w:rsidRPr="00230CFC">
        <w:rPr>
          <w:rFonts w:ascii="Arial" w:hAnsi="Arial" w:cs="Arial"/>
        </w:rPr>
        <w:t xml:space="preserve"> </w:t>
      </w:r>
      <w:r w:rsidRPr="00230CFC">
        <w:rPr>
          <w:rFonts w:ascii="Arial" w:hAnsi="Arial" w:cs="Arial"/>
          <w:lang w:val="en-US"/>
        </w:rPr>
        <w:tab/>
      </w:r>
      <w:r w:rsidR="00230CFC" w:rsidRPr="00230CFC">
        <w:rPr>
          <w:rFonts w:ascii="Arial" w:hAnsi="Arial" w:cs="Arial"/>
          <w:bCs/>
        </w:rPr>
        <w:t>2022 (1) SA 424 (SCA) at [21]</w:t>
      </w:r>
    </w:p>
  </w:footnote>
  <w:footnote w:id="10">
    <w:p w14:paraId="460D59AA" w14:textId="77777777" w:rsidR="00EB1C53" w:rsidRPr="00B9315A" w:rsidRDefault="00EB1C53" w:rsidP="00EB1C53">
      <w:pPr>
        <w:ind w:left="709" w:hanging="709"/>
        <w:rPr>
          <w:rFonts w:ascii="Arial" w:hAnsi="Arial" w:cs="Arial"/>
          <w:sz w:val="20"/>
          <w:szCs w:val="20"/>
        </w:rPr>
      </w:pPr>
      <w:r w:rsidRPr="00B9315A">
        <w:rPr>
          <w:rStyle w:val="FootnoteReference"/>
          <w:rFonts w:ascii="Arial" w:hAnsi="Arial" w:cs="Arial"/>
          <w:sz w:val="20"/>
          <w:szCs w:val="20"/>
        </w:rPr>
        <w:footnoteRef/>
      </w:r>
      <w:r w:rsidRPr="00B9315A">
        <w:rPr>
          <w:rFonts w:ascii="Arial" w:hAnsi="Arial" w:cs="Arial"/>
          <w:sz w:val="20"/>
          <w:szCs w:val="20"/>
        </w:rPr>
        <w:t xml:space="preserve"> </w:t>
      </w:r>
      <w:r w:rsidRPr="00B9315A">
        <w:rPr>
          <w:rFonts w:ascii="Arial" w:hAnsi="Arial" w:cs="Arial"/>
          <w:sz w:val="20"/>
          <w:szCs w:val="20"/>
          <w:lang w:val="en-US"/>
        </w:rPr>
        <w:tab/>
      </w:r>
      <w:r w:rsidRPr="00B9315A">
        <w:rPr>
          <w:rFonts w:ascii="Arial" w:hAnsi="Arial" w:cs="Arial"/>
          <w:i/>
          <w:iCs/>
          <w:color w:val="242121"/>
          <w:sz w:val="20"/>
          <w:szCs w:val="20"/>
        </w:rPr>
        <w:t>Calibre Clinical Consultants (Pty) Ltd and Another v National Bargaining Council for the Road Freight Industry and Another</w:t>
      </w:r>
      <w:r>
        <w:rPr>
          <w:rStyle w:val="apple-converted-space"/>
          <w:rFonts w:ascii="Arial" w:hAnsi="Arial" w:cs="Arial"/>
          <w:color w:val="242121"/>
          <w:sz w:val="20"/>
          <w:szCs w:val="20"/>
        </w:rPr>
        <w:t xml:space="preserve"> 2010 (5) SA 457 </w:t>
      </w:r>
      <w:r w:rsidRPr="00B9315A">
        <w:rPr>
          <w:rFonts w:ascii="Arial" w:hAnsi="Arial" w:cs="Arial"/>
          <w:color w:val="242121"/>
          <w:sz w:val="20"/>
          <w:szCs w:val="20"/>
        </w:rPr>
        <w:t xml:space="preserve">(SCA) </w:t>
      </w:r>
      <w:r>
        <w:rPr>
          <w:rFonts w:ascii="Arial" w:hAnsi="Arial" w:cs="Arial"/>
          <w:color w:val="242121"/>
          <w:sz w:val="20"/>
          <w:szCs w:val="20"/>
        </w:rPr>
        <w:t>at</w:t>
      </w:r>
      <w:r w:rsidRPr="00B9315A">
        <w:rPr>
          <w:rFonts w:ascii="Arial" w:hAnsi="Arial" w:cs="Arial"/>
          <w:color w:val="242121"/>
          <w:sz w:val="20"/>
          <w:szCs w:val="20"/>
        </w:rPr>
        <w:t xml:space="preserve"> </w:t>
      </w:r>
      <w:r>
        <w:rPr>
          <w:rFonts w:ascii="Arial" w:hAnsi="Arial" w:cs="Arial"/>
          <w:color w:val="242121"/>
          <w:sz w:val="20"/>
          <w:szCs w:val="20"/>
        </w:rPr>
        <w:t>[</w:t>
      </w:r>
      <w:r w:rsidRPr="00B9315A">
        <w:rPr>
          <w:rFonts w:ascii="Arial" w:hAnsi="Arial" w:cs="Arial"/>
          <w:color w:val="242121"/>
          <w:sz w:val="20"/>
          <w:szCs w:val="20"/>
        </w:rPr>
        <w:t>31</w:t>
      </w:r>
      <w:r>
        <w:rPr>
          <w:rFonts w:ascii="Arial" w:hAnsi="Arial" w:cs="Arial"/>
          <w:color w:val="242121"/>
          <w:sz w:val="20"/>
          <w:szCs w:val="20"/>
        </w:rPr>
        <w:t>]</w:t>
      </w:r>
    </w:p>
  </w:footnote>
  <w:footnote w:id="11">
    <w:p w14:paraId="0935B14B" w14:textId="77777777" w:rsidR="00EB1C53" w:rsidRPr="00FC1072" w:rsidRDefault="00EB1C53" w:rsidP="00EB1C53">
      <w:pPr>
        <w:ind w:left="709" w:hanging="709"/>
        <w:rPr>
          <w:rFonts w:ascii="Arial" w:hAnsi="Arial" w:cs="Arial"/>
          <w:sz w:val="20"/>
          <w:szCs w:val="20"/>
        </w:rPr>
      </w:pPr>
      <w:r w:rsidRPr="00B9315A">
        <w:rPr>
          <w:rStyle w:val="FootnoteReference"/>
          <w:rFonts w:ascii="Arial" w:hAnsi="Arial" w:cs="Arial"/>
          <w:sz w:val="20"/>
          <w:szCs w:val="20"/>
        </w:rPr>
        <w:footnoteRef/>
      </w:r>
      <w:r w:rsidRPr="00B9315A">
        <w:rPr>
          <w:rFonts w:ascii="Arial" w:hAnsi="Arial" w:cs="Arial"/>
          <w:sz w:val="20"/>
          <w:szCs w:val="20"/>
        </w:rPr>
        <w:t xml:space="preserve"> </w:t>
      </w:r>
      <w:r w:rsidRPr="00B9315A">
        <w:rPr>
          <w:rFonts w:ascii="Arial" w:hAnsi="Arial" w:cs="Arial"/>
          <w:sz w:val="20"/>
          <w:szCs w:val="20"/>
          <w:lang w:val="en-US"/>
        </w:rPr>
        <w:tab/>
      </w:r>
      <w:r w:rsidRPr="00B9315A">
        <w:rPr>
          <w:rFonts w:ascii="Arial" w:hAnsi="Arial" w:cs="Arial"/>
          <w:i/>
          <w:iCs/>
          <w:color w:val="000000"/>
          <w:sz w:val="20"/>
          <w:szCs w:val="20"/>
        </w:rPr>
        <w:t>YL (by her litigation friend the Official Solicitor) v Birmingham City Council and Others</w:t>
      </w:r>
      <w:r>
        <w:rPr>
          <w:rStyle w:val="apple-converted-space"/>
          <w:rFonts w:ascii="Arial" w:hAnsi="Arial" w:cs="Arial"/>
          <w:color w:val="000000"/>
          <w:sz w:val="20"/>
          <w:szCs w:val="20"/>
        </w:rPr>
        <w:t xml:space="preserve"> [2007] 3 All ER </w:t>
      </w:r>
      <w:r w:rsidRPr="00B9315A">
        <w:rPr>
          <w:rFonts w:ascii="Arial" w:hAnsi="Arial" w:cs="Arial"/>
          <w:color w:val="000000"/>
          <w:sz w:val="20"/>
          <w:szCs w:val="20"/>
        </w:rPr>
        <w:t>(HL)</w:t>
      </w:r>
    </w:p>
  </w:footnote>
  <w:footnote w:id="12">
    <w:p w14:paraId="6BDF3840" w14:textId="77777777" w:rsidR="00EB1C53" w:rsidRPr="00FC1072" w:rsidRDefault="00EB1C53" w:rsidP="00EB1C53">
      <w:pPr>
        <w:pStyle w:val="FootnoteText"/>
        <w:rPr>
          <w:rFonts w:ascii="Arial" w:hAnsi="Arial" w:cs="Arial"/>
          <w:lang w:val="en-US"/>
        </w:rPr>
      </w:pPr>
      <w:r w:rsidRPr="00FC1072">
        <w:rPr>
          <w:rStyle w:val="FootnoteReference"/>
          <w:rFonts w:ascii="Arial" w:hAnsi="Arial" w:cs="Arial"/>
        </w:rPr>
        <w:footnoteRef/>
      </w:r>
      <w:r w:rsidRPr="00FC1072">
        <w:rPr>
          <w:rFonts w:ascii="Arial" w:hAnsi="Arial" w:cs="Arial"/>
        </w:rPr>
        <w:t xml:space="preserve"> </w:t>
      </w:r>
      <w:r w:rsidRPr="00FC1072">
        <w:rPr>
          <w:rFonts w:ascii="Arial" w:hAnsi="Arial" w:cs="Arial"/>
          <w:lang w:val="en-US"/>
        </w:rPr>
        <w:tab/>
        <w:t>Above</w:t>
      </w:r>
      <w:r>
        <w:rPr>
          <w:rFonts w:ascii="Arial" w:hAnsi="Arial" w:cs="Arial"/>
          <w:lang w:val="en-US"/>
        </w:rPr>
        <w:t xml:space="preserve"> at [38]</w:t>
      </w:r>
    </w:p>
  </w:footnote>
  <w:footnote w:id="13">
    <w:p w14:paraId="0EEF2F5F" w14:textId="4739DFFB" w:rsidR="00230CFC" w:rsidRPr="00230CFC" w:rsidRDefault="00230CFC">
      <w:pPr>
        <w:pStyle w:val="FootnoteText"/>
        <w:rPr>
          <w:rFonts w:ascii="Arial" w:hAnsi="Arial" w:cs="Arial"/>
          <w:lang w:val="en-US"/>
        </w:rPr>
      </w:pPr>
      <w:r w:rsidRPr="00230CFC">
        <w:rPr>
          <w:rStyle w:val="FootnoteReference"/>
          <w:rFonts w:ascii="Arial" w:hAnsi="Arial" w:cs="Arial"/>
        </w:rPr>
        <w:footnoteRef/>
      </w:r>
      <w:r w:rsidRPr="00230CFC">
        <w:rPr>
          <w:rFonts w:ascii="Arial" w:hAnsi="Arial" w:cs="Arial"/>
        </w:rPr>
        <w:t xml:space="preserve"> </w:t>
      </w:r>
      <w:r w:rsidRPr="00230CFC">
        <w:rPr>
          <w:rFonts w:ascii="Arial" w:hAnsi="Arial" w:cs="Arial"/>
          <w:lang w:val="en-US"/>
        </w:rPr>
        <w:tab/>
      </w:r>
      <w:r w:rsidRPr="00230CFC">
        <w:rPr>
          <w:rFonts w:ascii="Arial" w:hAnsi="Arial" w:cs="Arial"/>
          <w:bCs/>
        </w:rPr>
        <w:t>2022 (1) SA 424 (SCA)</w:t>
      </w:r>
    </w:p>
  </w:footnote>
  <w:footnote w:id="14">
    <w:p w14:paraId="3D15CD2A" w14:textId="77777777" w:rsidR="00EB1C53" w:rsidRPr="00FD4001" w:rsidRDefault="00EB1C53" w:rsidP="00EB1C53">
      <w:pPr>
        <w:pStyle w:val="FootnoteText"/>
        <w:rPr>
          <w:rFonts w:ascii="Arial" w:hAnsi="Arial" w:cs="Arial"/>
          <w:lang w:val="en-US"/>
        </w:rPr>
      </w:pPr>
      <w:r w:rsidRPr="00FD4001">
        <w:rPr>
          <w:rStyle w:val="FootnoteReference"/>
          <w:rFonts w:ascii="Arial" w:hAnsi="Arial" w:cs="Arial"/>
        </w:rPr>
        <w:footnoteRef/>
      </w:r>
      <w:r w:rsidRPr="00FD4001">
        <w:rPr>
          <w:rFonts w:ascii="Arial" w:hAnsi="Arial" w:cs="Arial"/>
        </w:rPr>
        <w:t xml:space="preserve"> </w:t>
      </w:r>
      <w:r w:rsidRPr="00FD4001">
        <w:rPr>
          <w:rFonts w:ascii="Arial" w:hAnsi="Arial" w:cs="Arial"/>
          <w:lang w:val="en-US"/>
        </w:rPr>
        <w:tab/>
      </w:r>
      <w:r w:rsidRPr="00FD4001">
        <w:rPr>
          <w:rFonts w:ascii="Arial" w:hAnsi="Arial" w:cs="Arial"/>
          <w:bCs/>
        </w:rPr>
        <w:t>2020 (1) SA 428 (CC)</w:t>
      </w:r>
      <w:r>
        <w:rPr>
          <w:rFonts w:ascii="Arial" w:hAnsi="Arial" w:cs="Arial"/>
          <w:bCs/>
        </w:rPr>
        <w:t xml:space="preserve"> at [26]</w:t>
      </w:r>
    </w:p>
  </w:footnote>
  <w:footnote w:id="15">
    <w:p w14:paraId="05488A84" w14:textId="77777777" w:rsidR="00EC4FD4" w:rsidRPr="004531AC" w:rsidRDefault="00EC4FD4" w:rsidP="00274E9D">
      <w:pPr>
        <w:autoSpaceDE w:val="0"/>
        <w:autoSpaceDN w:val="0"/>
        <w:adjustRightInd w:val="0"/>
        <w:ind w:left="720" w:hanging="720"/>
        <w:rPr>
          <w:rFonts w:ascii="Arial" w:hAnsi="Arial" w:cs="Arial"/>
          <w:sz w:val="20"/>
          <w:szCs w:val="20"/>
          <w:lang w:val="en-US"/>
        </w:rPr>
      </w:pPr>
      <w:r w:rsidRPr="004531AC">
        <w:rPr>
          <w:rStyle w:val="FootnoteReference"/>
          <w:rFonts w:ascii="Arial" w:hAnsi="Arial" w:cs="Arial"/>
          <w:sz w:val="20"/>
          <w:szCs w:val="20"/>
        </w:rPr>
        <w:footnoteRef/>
      </w:r>
      <w:r w:rsidRPr="004531AC">
        <w:rPr>
          <w:rFonts w:ascii="Arial" w:hAnsi="Arial" w:cs="Arial"/>
          <w:sz w:val="20"/>
          <w:szCs w:val="20"/>
        </w:rPr>
        <w:t xml:space="preserve"> </w:t>
      </w:r>
      <w:r w:rsidRPr="004531AC">
        <w:rPr>
          <w:rFonts w:ascii="Arial" w:hAnsi="Arial" w:cs="Arial"/>
          <w:sz w:val="20"/>
          <w:szCs w:val="20"/>
          <w:lang w:val="en-US"/>
        </w:rPr>
        <w:tab/>
      </w:r>
      <w:r w:rsidRPr="006D3A4A">
        <w:rPr>
          <w:rFonts w:ascii="Arial" w:hAnsi="Arial" w:cs="Arial"/>
          <w:i/>
          <w:sz w:val="20"/>
          <w:szCs w:val="20"/>
          <w:lang w:val="en-US"/>
        </w:rPr>
        <w:t>African Christian Democratic Party v Electoral Commission and Others</w:t>
      </w:r>
      <w:r w:rsidRPr="004531AC">
        <w:rPr>
          <w:rFonts w:ascii="Arial" w:hAnsi="Arial" w:cs="Arial"/>
          <w:sz w:val="20"/>
          <w:szCs w:val="20"/>
          <w:lang w:val="en-US"/>
        </w:rPr>
        <w:t xml:space="preserve"> 2006 (3) SA 305 (CC) at paras 21, 25, 28 and 31; </w:t>
      </w:r>
      <w:r w:rsidRPr="006D3A4A">
        <w:rPr>
          <w:rFonts w:ascii="Arial" w:hAnsi="Arial" w:cs="Arial"/>
          <w:i/>
          <w:sz w:val="20"/>
          <w:szCs w:val="20"/>
          <w:lang w:val="en-US"/>
        </w:rPr>
        <w:t>Daniels v Campbell NO and Others</w:t>
      </w:r>
      <w:r w:rsidRPr="004531AC">
        <w:rPr>
          <w:rFonts w:ascii="Arial" w:hAnsi="Arial" w:cs="Arial"/>
          <w:sz w:val="20"/>
          <w:szCs w:val="20"/>
          <w:lang w:val="en-US"/>
        </w:rPr>
        <w:t xml:space="preserve"> 2004 (5) SA 331 (CC)</w:t>
      </w:r>
      <w:r>
        <w:rPr>
          <w:rFonts w:ascii="Arial" w:hAnsi="Arial" w:cs="Arial"/>
          <w:sz w:val="20"/>
          <w:szCs w:val="20"/>
          <w:lang w:val="en-US"/>
        </w:rPr>
        <w:t xml:space="preserve"> </w:t>
      </w:r>
      <w:r w:rsidRPr="004531AC">
        <w:rPr>
          <w:rFonts w:ascii="Arial" w:hAnsi="Arial" w:cs="Arial"/>
          <w:sz w:val="20"/>
          <w:szCs w:val="20"/>
          <w:lang w:val="en-US"/>
        </w:rPr>
        <w:t xml:space="preserve">at paras 22-3; </w:t>
      </w:r>
      <w:r w:rsidRPr="006D3A4A">
        <w:rPr>
          <w:rFonts w:ascii="Arial" w:hAnsi="Arial" w:cs="Arial"/>
          <w:i/>
          <w:sz w:val="20"/>
          <w:szCs w:val="20"/>
          <w:lang w:val="en-US"/>
        </w:rPr>
        <w:t>Stopforth v Minister of Justice and Others; Veenendaal v Minister of Justice and Others 2000</w:t>
      </w:r>
      <w:r w:rsidRPr="004531AC">
        <w:rPr>
          <w:rFonts w:ascii="Arial" w:hAnsi="Arial" w:cs="Arial"/>
          <w:sz w:val="20"/>
          <w:szCs w:val="20"/>
          <w:lang w:val="en-US"/>
        </w:rPr>
        <w:t xml:space="preserve"> (1) SA 113 (SCA) at para 21</w:t>
      </w:r>
    </w:p>
  </w:footnote>
  <w:footnote w:id="16">
    <w:p w14:paraId="4AF68B12" w14:textId="77777777" w:rsidR="00EC4FD4" w:rsidRPr="004531AC" w:rsidRDefault="00EC4FD4" w:rsidP="00274E9D">
      <w:pPr>
        <w:pStyle w:val="FootnoteText"/>
        <w:rPr>
          <w:rFonts w:ascii="Arial" w:hAnsi="Arial" w:cs="Arial"/>
          <w:lang w:val="en-US"/>
        </w:rPr>
      </w:pPr>
      <w:r w:rsidRPr="004531AC">
        <w:rPr>
          <w:rStyle w:val="FootnoteReference"/>
          <w:rFonts w:ascii="Arial" w:hAnsi="Arial" w:cs="Arial"/>
        </w:rPr>
        <w:footnoteRef/>
      </w:r>
      <w:r w:rsidRPr="004531AC">
        <w:rPr>
          <w:rFonts w:ascii="Arial" w:hAnsi="Arial" w:cs="Arial"/>
        </w:rPr>
        <w:t xml:space="preserve"> </w:t>
      </w:r>
      <w:r w:rsidRPr="004531AC">
        <w:rPr>
          <w:rFonts w:ascii="Arial" w:hAnsi="Arial" w:cs="Arial"/>
          <w:lang w:val="en-US"/>
        </w:rPr>
        <w:tab/>
        <w:t>2004 (4) SA 490 (CC)</w:t>
      </w:r>
    </w:p>
  </w:footnote>
  <w:footnote w:id="17">
    <w:p w14:paraId="6F421651" w14:textId="77777777" w:rsidR="00EC4FD4" w:rsidRPr="001935B3" w:rsidRDefault="00EC4FD4" w:rsidP="00274E9D">
      <w:pPr>
        <w:autoSpaceDE w:val="0"/>
        <w:autoSpaceDN w:val="0"/>
        <w:adjustRightInd w:val="0"/>
        <w:ind w:left="709" w:hanging="709"/>
        <w:rPr>
          <w:rFonts w:ascii="Arial" w:hAnsi="Arial" w:cs="Arial"/>
          <w:sz w:val="20"/>
          <w:szCs w:val="20"/>
          <w:lang w:val="en-US"/>
        </w:rPr>
      </w:pPr>
      <w:r w:rsidRPr="004531AC">
        <w:rPr>
          <w:rStyle w:val="FootnoteReference"/>
          <w:rFonts w:ascii="Arial" w:hAnsi="Arial" w:cs="Arial"/>
          <w:sz w:val="20"/>
          <w:szCs w:val="20"/>
        </w:rPr>
        <w:footnoteRef/>
      </w:r>
      <w:r w:rsidRPr="004531AC">
        <w:rPr>
          <w:rFonts w:ascii="Arial" w:hAnsi="Arial" w:cs="Arial"/>
          <w:sz w:val="20"/>
          <w:szCs w:val="20"/>
        </w:rPr>
        <w:t xml:space="preserve"> </w:t>
      </w:r>
      <w:r w:rsidRPr="004531AC">
        <w:rPr>
          <w:rFonts w:ascii="Arial" w:hAnsi="Arial" w:cs="Arial"/>
          <w:sz w:val="20"/>
          <w:szCs w:val="20"/>
          <w:lang w:val="en-US"/>
        </w:rPr>
        <w:tab/>
      </w:r>
      <w:r w:rsidRPr="004531AC">
        <w:rPr>
          <w:rFonts w:ascii="Arial" w:hAnsi="Arial" w:cs="Arial"/>
          <w:i/>
          <w:sz w:val="20"/>
          <w:szCs w:val="20"/>
          <w:lang w:val="en-US"/>
        </w:rPr>
        <w:t>University of Cape Town v Cape Bar Council and Another</w:t>
      </w:r>
      <w:r w:rsidRPr="004531AC">
        <w:rPr>
          <w:rFonts w:ascii="Arial" w:hAnsi="Arial" w:cs="Arial"/>
          <w:sz w:val="20"/>
          <w:szCs w:val="20"/>
          <w:lang w:val="en-US"/>
        </w:rPr>
        <w:t xml:space="preserve"> 1986 (4) SA 903 (AD); </w:t>
      </w:r>
      <w:r w:rsidRPr="004531AC">
        <w:rPr>
          <w:rFonts w:ascii="Arial" w:hAnsi="Arial" w:cs="Arial"/>
          <w:i/>
          <w:sz w:val="20"/>
          <w:szCs w:val="20"/>
          <w:lang w:val="en-US"/>
        </w:rPr>
        <w:t>Jaga v Dönges NO and Another; Bhana v Dönges NO and Another</w:t>
      </w:r>
      <w:r w:rsidRPr="004531AC">
        <w:rPr>
          <w:rFonts w:ascii="Arial" w:hAnsi="Arial" w:cs="Arial"/>
          <w:sz w:val="20"/>
          <w:szCs w:val="20"/>
          <w:lang w:val="en-US"/>
        </w:rPr>
        <w:t xml:space="preserve"> 1950 (4) SA 653 (A) at 662-3</w:t>
      </w:r>
    </w:p>
  </w:footnote>
  <w:footnote w:id="18">
    <w:p w14:paraId="555F0707" w14:textId="77777777" w:rsidR="00EC4FD4" w:rsidRPr="001935B3" w:rsidRDefault="00EC4FD4" w:rsidP="00274E9D">
      <w:pPr>
        <w:pStyle w:val="FootnoteText"/>
        <w:rPr>
          <w:rFonts w:ascii="Arial" w:hAnsi="Arial" w:cs="Arial"/>
          <w:lang w:val="en-US"/>
        </w:rPr>
      </w:pPr>
      <w:r w:rsidRPr="001935B3">
        <w:rPr>
          <w:rStyle w:val="FootnoteReference"/>
          <w:rFonts w:ascii="Arial" w:hAnsi="Arial" w:cs="Arial"/>
        </w:rPr>
        <w:footnoteRef/>
      </w:r>
      <w:r w:rsidRPr="001935B3">
        <w:rPr>
          <w:rFonts w:ascii="Arial" w:hAnsi="Arial" w:cs="Arial"/>
        </w:rPr>
        <w:t xml:space="preserve"> </w:t>
      </w:r>
      <w:r w:rsidRPr="001935B3">
        <w:rPr>
          <w:rFonts w:ascii="Arial" w:hAnsi="Arial" w:cs="Arial"/>
          <w:lang w:val="en-US"/>
        </w:rPr>
        <w:tab/>
        <w:t>Thornton Legislative Drafting 4ed (1996) at 155 cited in JR de Ville</w:t>
      </w:r>
    </w:p>
  </w:footnote>
  <w:footnote w:id="19">
    <w:p w14:paraId="399D7D12" w14:textId="6CE610D0" w:rsidR="00EC4FD4" w:rsidRPr="001717F1" w:rsidRDefault="00EC4FD4" w:rsidP="001717F1">
      <w:pPr>
        <w:rPr>
          <w:sz w:val="20"/>
          <w:szCs w:val="20"/>
        </w:rPr>
      </w:pPr>
      <w:r w:rsidRPr="001717F1">
        <w:rPr>
          <w:rStyle w:val="FootnoteReference"/>
          <w:rFonts w:ascii="Arial" w:hAnsi="Arial" w:cs="Arial"/>
          <w:sz w:val="20"/>
          <w:szCs w:val="20"/>
        </w:rPr>
        <w:footnoteRef/>
      </w:r>
      <w:r w:rsidRPr="001717F1">
        <w:rPr>
          <w:rFonts w:ascii="Arial" w:hAnsi="Arial" w:cs="Arial"/>
          <w:sz w:val="20"/>
          <w:szCs w:val="20"/>
        </w:rPr>
        <w:t xml:space="preserve"> </w:t>
      </w:r>
      <w:r w:rsidRPr="001717F1">
        <w:rPr>
          <w:rFonts w:ascii="Arial" w:hAnsi="Arial" w:cs="Arial"/>
          <w:sz w:val="20"/>
          <w:szCs w:val="20"/>
          <w:lang w:val="en-US"/>
        </w:rPr>
        <w:tab/>
      </w:r>
      <w:r w:rsidR="001717F1" w:rsidRPr="001717F1">
        <w:rPr>
          <w:rFonts w:ascii="Arial" w:hAnsi="Arial" w:cs="Arial"/>
          <w:sz w:val="20"/>
          <w:szCs w:val="20"/>
          <w:shd w:val="clear" w:color="auto" w:fill="FFFFFF"/>
        </w:rPr>
        <w:t>1950 (4) SA 653 (A)</w:t>
      </w:r>
    </w:p>
  </w:footnote>
  <w:footnote w:id="20">
    <w:p w14:paraId="69D3FA19" w14:textId="57057373" w:rsidR="00EC4FD4" w:rsidRPr="006F36BA" w:rsidRDefault="00EC4FD4" w:rsidP="001717F1">
      <w:pPr>
        <w:pStyle w:val="Heading2"/>
        <w:spacing w:before="0"/>
        <w:ind w:left="709" w:hanging="709"/>
        <w:rPr>
          <w:rFonts w:ascii="Arial" w:hAnsi="Arial" w:cs="Arial"/>
          <w:color w:val="auto"/>
          <w:sz w:val="20"/>
          <w:szCs w:val="20"/>
        </w:rPr>
      </w:pPr>
      <w:r w:rsidRPr="001717F1">
        <w:rPr>
          <w:rStyle w:val="FootnoteReference"/>
          <w:rFonts w:ascii="Arial" w:hAnsi="Arial" w:cs="Arial"/>
          <w:color w:val="auto"/>
          <w:sz w:val="20"/>
          <w:szCs w:val="20"/>
        </w:rPr>
        <w:footnoteRef/>
      </w:r>
      <w:r w:rsidRPr="001717F1">
        <w:rPr>
          <w:rFonts w:ascii="Arial" w:hAnsi="Arial" w:cs="Arial"/>
          <w:color w:val="auto"/>
          <w:sz w:val="20"/>
          <w:szCs w:val="20"/>
        </w:rPr>
        <w:t xml:space="preserve"> </w:t>
      </w:r>
      <w:r w:rsidRPr="001717F1">
        <w:rPr>
          <w:rFonts w:ascii="Arial" w:hAnsi="Arial" w:cs="Arial"/>
          <w:color w:val="auto"/>
          <w:sz w:val="20"/>
          <w:szCs w:val="20"/>
          <w:lang w:val="en-US"/>
        </w:rPr>
        <w:tab/>
      </w:r>
      <w:r w:rsidR="001717F1" w:rsidRPr="001717F1">
        <w:rPr>
          <w:rFonts w:ascii="Arial" w:hAnsi="Arial" w:cs="Arial"/>
          <w:bCs/>
          <w:i/>
          <w:color w:val="auto"/>
          <w:sz w:val="20"/>
          <w:szCs w:val="20"/>
        </w:rPr>
        <w:t>Bato Star Fishing (Pty) Ltd v Minister of Environmental Affairs and Tourism and Others</w:t>
      </w:r>
      <w:r w:rsidR="001717F1" w:rsidRPr="001717F1">
        <w:rPr>
          <w:rFonts w:ascii="Arial" w:hAnsi="Arial" w:cs="Arial"/>
          <w:bCs/>
          <w:color w:val="auto"/>
          <w:sz w:val="20"/>
          <w:szCs w:val="20"/>
        </w:rPr>
        <w:t xml:space="preserve"> 2004 (4) SA 490 (CC)</w:t>
      </w:r>
    </w:p>
  </w:footnote>
  <w:footnote w:id="21">
    <w:p w14:paraId="042E73C4" w14:textId="0290DF4D" w:rsidR="00EC4FD4" w:rsidRPr="001935B3" w:rsidRDefault="00EC4FD4" w:rsidP="001717F1">
      <w:pPr>
        <w:pStyle w:val="FootnoteText"/>
        <w:rPr>
          <w:rFonts w:ascii="Arial" w:hAnsi="Arial" w:cs="Arial"/>
          <w:lang w:val="en-US"/>
        </w:rPr>
      </w:pPr>
      <w:r w:rsidRPr="001935B3">
        <w:rPr>
          <w:rStyle w:val="FootnoteReference"/>
          <w:rFonts w:ascii="Arial" w:hAnsi="Arial" w:cs="Arial"/>
        </w:rPr>
        <w:footnoteRef/>
      </w:r>
      <w:r w:rsidRPr="001935B3">
        <w:rPr>
          <w:rFonts w:ascii="Arial" w:hAnsi="Arial" w:cs="Arial"/>
        </w:rPr>
        <w:t xml:space="preserve"> </w:t>
      </w:r>
      <w:r w:rsidRPr="001935B3">
        <w:rPr>
          <w:rFonts w:ascii="Arial" w:hAnsi="Arial" w:cs="Arial"/>
          <w:lang w:val="en-US"/>
        </w:rPr>
        <w:tab/>
      </w:r>
      <w:r w:rsidRPr="001935B3">
        <w:rPr>
          <w:rFonts w:ascii="Arial" w:hAnsi="Arial" w:cs="Arial"/>
          <w:i/>
          <w:lang w:val="en-US"/>
        </w:rPr>
        <w:t>Jaga v Dönges</w:t>
      </w:r>
      <w:r w:rsidRPr="001935B3">
        <w:rPr>
          <w:rFonts w:ascii="Arial" w:hAnsi="Arial" w:cs="Arial"/>
          <w:lang w:val="en-US"/>
        </w:rPr>
        <w:t xml:space="preserve"> above at 662G-H</w:t>
      </w:r>
    </w:p>
  </w:footnote>
  <w:footnote w:id="22">
    <w:p w14:paraId="0DEE82F2" w14:textId="77777777" w:rsidR="00291712" w:rsidRPr="008A2658" w:rsidRDefault="00291712" w:rsidP="00291712">
      <w:pPr>
        <w:pStyle w:val="FootnoteText"/>
        <w:rPr>
          <w:rFonts w:ascii="Arial" w:hAnsi="Arial" w:cs="Arial"/>
          <w:lang w:val="en-US"/>
        </w:rPr>
      </w:pPr>
      <w:r w:rsidRPr="008A2658">
        <w:rPr>
          <w:rStyle w:val="FootnoteReference"/>
          <w:rFonts w:ascii="Arial" w:hAnsi="Arial" w:cs="Arial"/>
        </w:rPr>
        <w:footnoteRef/>
      </w:r>
      <w:r w:rsidRPr="008A2658">
        <w:rPr>
          <w:rFonts w:ascii="Arial" w:hAnsi="Arial" w:cs="Arial"/>
        </w:rPr>
        <w:t xml:space="preserve"> </w:t>
      </w:r>
      <w:r w:rsidRPr="008A2658">
        <w:rPr>
          <w:rFonts w:ascii="Arial" w:hAnsi="Arial" w:cs="Arial"/>
          <w:lang w:val="en-US"/>
        </w:rPr>
        <w:tab/>
      </w:r>
      <w:r w:rsidRPr="008A2658">
        <w:rPr>
          <w:rFonts w:ascii="Arial" w:hAnsi="Arial" w:cs="Arial"/>
        </w:rPr>
        <w:t>1993 (1) SA 649 (A)</w:t>
      </w:r>
    </w:p>
  </w:footnote>
  <w:footnote w:id="23">
    <w:p w14:paraId="398629E6" w14:textId="26951EE8" w:rsidR="00EC4FD4" w:rsidRPr="009928E6" w:rsidRDefault="00EC4FD4">
      <w:pPr>
        <w:pStyle w:val="FootnoteText"/>
        <w:rPr>
          <w:lang w:val="en-US"/>
        </w:rPr>
      </w:pPr>
      <w:r w:rsidRPr="009928E6">
        <w:rPr>
          <w:rStyle w:val="FootnoteReference"/>
        </w:rPr>
        <w:footnoteRef/>
      </w:r>
      <w:r w:rsidRPr="009928E6">
        <w:t xml:space="preserve"> </w:t>
      </w:r>
      <w:r w:rsidRPr="009928E6">
        <w:rPr>
          <w:lang w:val="en-US"/>
        </w:rPr>
        <w:tab/>
      </w:r>
      <w:r w:rsidRPr="009928E6">
        <w:rPr>
          <w:rFonts w:ascii="Arial" w:hAnsi="Arial" w:cs="Arial"/>
          <w:i/>
          <w:iCs/>
          <w:lang w:val="en-US"/>
        </w:rPr>
        <w:t>Tikly v Johannes NO</w:t>
      </w:r>
      <w:r w:rsidRPr="009928E6">
        <w:rPr>
          <w:rFonts w:ascii="Arial" w:hAnsi="Arial" w:cs="Arial"/>
          <w:iCs/>
          <w:lang w:val="en-US"/>
        </w:rPr>
        <w:t xml:space="preserve"> 1963 (2) SA 588 (T) at 591</w:t>
      </w:r>
    </w:p>
  </w:footnote>
  <w:footnote w:id="24">
    <w:p w14:paraId="205A54B1" w14:textId="77777777" w:rsidR="00DF696E" w:rsidRPr="00291712" w:rsidRDefault="00DF696E" w:rsidP="00DF696E">
      <w:pPr>
        <w:pStyle w:val="FootnoteText"/>
        <w:ind w:left="709" w:hanging="709"/>
        <w:rPr>
          <w:rFonts w:ascii="Arial" w:hAnsi="Arial" w:cs="Arial"/>
          <w:lang w:val="en-US"/>
        </w:rPr>
      </w:pPr>
      <w:r w:rsidRPr="00291712">
        <w:rPr>
          <w:rStyle w:val="FootnoteReference"/>
          <w:rFonts w:ascii="Arial" w:hAnsi="Arial" w:cs="Arial"/>
        </w:rPr>
        <w:footnoteRef/>
      </w:r>
      <w:r w:rsidRPr="00291712">
        <w:rPr>
          <w:rFonts w:ascii="Arial" w:hAnsi="Arial" w:cs="Arial"/>
        </w:rPr>
        <w:t xml:space="preserve"> </w:t>
      </w:r>
      <w:r w:rsidRPr="00291712">
        <w:rPr>
          <w:rFonts w:ascii="Arial" w:hAnsi="Arial" w:cs="Arial"/>
          <w:lang w:val="en-US"/>
        </w:rPr>
        <w:tab/>
        <w:t xml:space="preserve">Contesting the Removal of a Director by the Board of Directors Under the Companies Act, </w:t>
      </w:r>
      <w:r>
        <w:rPr>
          <w:rFonts w:ascii="Arial" w:hAnsi="Arial" w:cs="Arial"/>
          <w:lang w:val="en-US"/>
        </w:rPr>
        <w:t xml:space="preserve">Rehana Cassim, Senior Lecturer, UNISA, </w:t>
      </w:r>
      <w:r w:rsidRPr="00291712">
        <w:rPr>
          <w:rFonts w:ascii="Arial" w:hAnsi="Arial" w:cs="Arial"/>
          <w:lang w:val="en-US"/>
        </w:rPr>
        <w:t>SALJ 2016, p 1</w:t>
      </w:r>
      <w:r>
        <w:rPr>
          <w:rFonts w:ascii="Arial" w:hAnsi="Arial" w:cs="Arial"/>
          <w:lang w:val="en-US"/>
        </w:rPr>
        <w:t>3</w:t>
      </w:r>
      <w:r w:rsidRPr="00291712">
        <w:rPr>
          <w:rFonts w:ascii="Arial" w:hAnsi="Arial" w:cs="Arial"/>
          <w:lang w:val="en-US"/>
        </w:rPr>
        <w:t>3</w:t>
      </w:r>
      <w:r>
        <w:rPr>
          <w:rFonts w:ascii="Arial" w:hAnsi="Arial" w:cs="Arial"/>
          <w:lang w:val="en-US"/>
        </w:rPr>
        <w:t xml:space="preserve"> at 153</w:t>
      </w:r>
    </w:p>
  </w:footnote>
  <w:footnote w:id="25">
    <w:p w14:paraId="037C133B" w14:textId="77777777" w:rsidR="00EC4FD4" w:rsidRPr="009928E6" w:rsidRDefault="00EC4FD4" w:rsidP="00E36F62">
      <w:pPr>
        <w:autoSpaceDE w:val="0"/>
        <w:autoSpaceDN w:val="0"/>
        <w:adjustRightInd w:val="0"/>
        <w:rPr>
          <w:rFonts w:ascii="Arial" w:hAnsi="Arial" w:cs="Arial"/>
          <w:i/>
          <w:iCs/>
          <w:sz w:val="20"/>
          <w:szCs w:val="20"/>
          <w:lang w:val="en-US"/>
        </w:rPr>
      </w:pPr>
      <w:r w:rsidRPr="009928E6">
        <w:rPr>
          <w:rStyle w:val="FootnoteReference"/>
          <w:rFonts w:ascii="Arial" w:hAnsi="Arial" w:cs="Arial"/>
          <w:sz w:val="20"/>
          <w:szCs w:val="20"/>
        </w:rPr>
        <w:footnoteRef/>
      </w:r>
      <w:r w:rsidRPr="009928E6">
        <w:rPr>
          <w:rFonts w:ascii="Arial" w:hAnsi="Arial" w:cs="Arial"/>
          <w:sz w:val="20"/>
          <w:szCs w:val="20"/>
        </w:rPr>
        <w:t xml:space="preserve"> </w:t>
      </w:r>
      <w:r w:rsidRPr="009928E6">
        <w:rPr>
          <w:rFonts w:ascii="Arial" w:hAnsi="Arial" w:cs="Arial"/>
          <w:sz w:val="20"/>
          <w:szCs w:val="20"/>
          <w:lang w:val="en-US"/>
        </w:rPr>
        <w:tab/>
      </w:r>
      <w:r w:rsidRPr="009928E6">
        <w:rPr>
          <w:rFonts w:ascii="Arial" w:hAnsi="Arial" w:cs="Arial"/>
          <w:i/>
          <w:iCs/>
          <w:sz w:val="20"/>
          <w:szCs w:val="20"/>
          <w:lang w:val="en-US"/>
        </w:rPr>
        <w:t>Thuketana v Health Professions Council of South Africa 2003 (2) SA 628 (T) at</w:t>
      </w:r>
    </w:p>
    <w:p w14:paraId="0AEC5140" w14:textId="356A1BF9" w:rsidR="00EC4FD4" w:rsidRPr="009928E6" w:rsidRDefault="00EC4FD4" w:rsidP="00E36F62">
      <w:pPr>
        <w:pStyle w:val="FootnoteText"/>
        <w:ind w:left="709"/>
        <w:rPr>
          <w:rFonts w:ascii="Arial" w:hAnsi="Arial" w:cs="Arial"/>
          <w:lang w:val="en-US"/>
        </w:rPr>
      </w:pPr>
      <w:r w:rsidRPr="009928E6">
        <w:rPr>
          <w:rFonts w:ascii="Arial" w:hAnsi="Arial" w:cs="Arial"/>
          <w:i/>
          <w:iCs/>
          <w:lang w:val="en-US"/>
        </w:rPr>
        <w:t>634 – 5</w:t>
      </w:r>
    </w:p>
  </w:footnote>
  <w:footnote w:id="26">
    <w:p w14:paraId="00DDA0ED" w14:textId="25C91E8C" w:rsidR="00EC4FD4" w:rsidRPr="00D746FB" w:rsidRDefault="00EC4FD4">
      <w:pPr>
        <w:pStyle w:val="FootnoteText"/>
        <w:rPr>
          <w:rFonts w:ascii="Arial" w:hAnsi="Arial" w:cs="Arial"/>
          <w:lang w:val="en-US"/>
        </w:rPr>
      </w:pPr>
      <w:r w:rsidRPr="009928E6">
        <w:rPr>
          <w:rStyle w:val="FootnoteReference"/>
          <w:rFonts w:ascii="Arial" w:hAnsi="Arial" w:cs="Arial"/>
        </w:rPr>
        <w:footnoteRef/>
      </w:r>
      <w:r w:rsidRPr="009928E6">
        <w:rPr>
          <w:rFonts w:ascii="Arial" w:hAnsi="Arial" w:cs="Arial"/>
        </w:rPr>
        <w:t xml:space="preserve"> </w:t>
      </w:r>
      <w:r w:rsidRPr="009928E6">
        <w:rPr>
          <w:rFonts w:ascii="Arial" w:hAnsi="Arial" w:cs="Arial"/>
          <w:lang w:val="en-US"/>
        </w:rPr>
        <w:tab/>
      </w:r>
      <w:r w:rsidRPr="009928E6">
        <w:rPr>
          <w:rFonts w:ascii="Arial" w:hAnsi="Arial" w:cs="Arial"/>
          <w:i/>
          <w:lang w:val="en-US"/>
        </w:rPr>
        <w:t>Tikly</w:t>
      </w:r>
      <w:r w:rsidRPr="009928E6">
        <w:rPr>
          <w:rFonts w:ascii="Arial" w:hAnsi="Arial" w:cs="Arial"/>
          <w:lang w:val="en-US"/>
        </w:rPr>
        <w:t>, above at 590 – 591</w:t>
      </w:r>
      <w:r>
        <w:rPr>
          <w:rFonts w:ascii="Arial" w:hAnsi="Arial" w:cs="Arial"/>
          <w:lang w:val="en-US"/>
        </w:rPr>
        <w:t xml:space="preserve"> </w:t>
      </w:r>
    </w:p>
  </w:footnote>
  <w:footnote w:id="27">
    <w:p w14:paraId="0CA21539" w14:textId="2371BE8D" w:rsidR="00EC4FD4" w:rsidRPr="008876F4" w:rsidRDefault="00EC4FD4">
      <w:pPr>
        <w:pStyle w:val="FootnoteText"/>
        <w:rPr>
          <w:rFonts w:ascii="Arial" w:hAnsi="Arial" w:cs="Arial"/>
          <w:lang w:val="en-US"/>
        </w:rPr>
      </w:pPr>
      <w:r w:rsidRPr="008876F4">
        <w:rPr>
          <w:rStyle w:val="FootnoteReference"/>
          <w:rFonts w:ascii="Arial" w:hAnsi="Arial" w:cs="Arial"/>
        </w:rPr>
        <w:footnoteRef/>
      </w:r>
      <w:r w:rsidRPr="008876F4">
        <w:rPr>
          <w:rFonts w:ascii="Arial" w:hAnsi="Arial" w:cs="Arial"/>
        </w:rPr>
        <w:t xml:space="preserve"> </w:t>
      </w:r>
      <w:r w:rsidRPr="008876F4">
        <w:rPr>
          <w:rFonts w:ascii="Arial" w:hAnsi="Arial" w:cs="Arial"/>
          <w:lang w:val="en-US"/>
        </w:rPr>
        <w:tab/>
      </w:r>
      <w:r w:rsidRPr="00E36F62">
        <w:rPr>
          <w:rFonts w:ascii="Arial" w:hAnsi="Arial" w:cs="Arial"/>
          <w:i/>
          <w:iCs/>
          <w:lang w:val="en-US"/>
        </w:rPr>
        <w:t>Tikly v Johannes NO</w:t>
      </w:r>
      <w:r w:rsidRPr="00E36F62">
        <w:rPr>
          <w:rFonts w:ascii="Arial" w:hAnsi="Arial" w:cs="Arial"/>
          <w:iCs/>
          <w:lang w:val="en-US"/>
        </w:rPr>
        <w:t xml:space="preserve"> 1963 (2) SA 588 (T) at 59</w:t>
      </w:r>
      <w:r>
        <w:rPr>
          <w:rFonts w:ascii="Arial" w:hAnsi="Arial" w:cs="Arial"/>
          <w:iCs/>
          <w:lang w:val="en-US"/>
        </w:rPr>
        <w:t>1</w:t>
      </w:r>
    </w:p>
  </w:footnote>
  <w:footnote w:id="28">
    <w:p w14:paraId="72CAC56E" w14:textId="1063C706" w:rsidR="00EB1C53" w:rsidRPr="00EB1C53" w:rsidRDefault="00EB1C53" w:rsidP="00EB1C53">
      <w:pPr>
        <w:pStyle w:val="FootnoteText"/>
        <w:rPr>
          <w:rFonts w:ascii="Arial" w:hAnsi="Arial" w:cs="Arial"/>
          <w:lang w:val="en-US"/>
        </w:rPr>
      </w:pPr>
      <w:r w:rsidRPr="00EB1C53">
        <w:rPr>
          <w:rStyle w:val="FootnoteReference"/>
          <w:rFonts w:ascii="Arial" w:hAnsi="Arial" w:cs="Arial"/>
        </w:rPr>
        <w:footnoteRef/>
      </w:r>
      <w:r w:rsidRPr="00EB1C53">
        <w:rPr>
          <w:rFonts w:ascii="Arial" w:hAnsi="Arial" w:cs="Arial"/>
        </w:rPr>
        <w:t xml:space="preserve"> </w:t>
      </w:r>
      <w:r w:rsidRPr="00EB1C53">
        <w:rPr>
          <w:rFonts w:ascii="Arial" w:hAnsi="Arial" w:cs="Arial"/>
          <w:lang w:val="en-US"/>
        </w:rPr>
        <w:tab/>
      </w:r>
      <w:r w:rsidRPr="00EB1C53">
        <w:rPr>
          <w:rFonts w:ascii="Arial" w:hAnsi="Arial" w:cs="Arial"/>
          <w:bCs/>
        </w:rPr>
        <w:t>2018 (4) SA 1 (CC)</w:t>
      </w:r>
      <w:r>
        <w:rPr>
          <w:rFonts w:ascii="Arial" w:hAnsi="Arial" w:cs="Arial"/>
          <w:bCs/>
        </w:rPr>
        <w:t xml:space="preserve"> at [14] to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84068634"/>
      <w:docPartObj>
        <w:docPartGallery w:val="Page Numbers (Top of Page)"/>
        <w:docPartUnique/>
      </w:docPartObj>
    </w:sdtPr>
    <w:sdtEndPr>
      <w:rPr>
        <w:rStyle w:val="PageNumber"/>
      </w:rPr>
    </w:sdtEndPr>
    <w:sdtContent>
      <w:p w14:paraId="4BB9BA80" w14:textId="12A6EF89" w:rsidR="00EC4FD4" w:rsidRDefault="00EC4FD4" w:rsidP="008A265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77F333" w14:textId="77777777" w:rsidR="00EC4FD4" w:rsidRDefault="00EC4FD4" w:rsidP="008A265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40055289"/>
      <w:docPartObj>
        <w:docPartGallery w:val="Page Numbers (Top of Page)"/>
        <w:docPartUnique/>
      </w:docPartObj>
    </w:sdtPr>
    <w:sdtEndPr>
      <w:rPr>
        <w:rStyle w:val="PageNumber"/>
      </w:rPr>
    </w:sdtEndPr>
    <w:sdtContent>
      <w:p w14:paraId="1D346E45" w14:textId="745F6F63" w:rsidR="00EC4FD4" w:rsidRDefault="00EC4FD4" w:rsidP="008A265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E5D49">
          <w:rPr>
            <w:rStyle w:val="PageNumber"/>
            <w:noProof/>
          </w:rPr>
          <w:t>2</w:t>
        </w:r>
        <w:r>
          <w:rPr>
            <w:rStyle w:val="PageNumber"/>
          </w:rPr>
          <w:fldChar w:fldCharType="end"/>
        </w:r>
      </w:p>
    </w:sdtContent>
  </w:sdt>
  <w:p w14:paraId="3C68D808" w14:textId="77777777" w:rsidR="00EC4FD4" w:rsidRDefault="00EC4FD4" w:rsidP="008A265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A6D31"/>
    <w:multiLevelType w:val="multilevel"/>
    <w:tmpl w:val="CF707FB6"/>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3.%2..1"/>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E344A4"/>
    <w:multiLevelType w:val="multilevel"/>
    <w:tmpl w:val="FC807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6009C"/>
    <w:multiLevelType w:val="hybridMultilevel"/>
    <w:tmpl w:val="8E2CB768"/>
    <w:lvl w:ilvl="0" w:tplc="D6644F9C">
      <w:start w:val="1"/>
      <w:numFmt w:val="lowerRoman"/>
      <w:lvlText w:val="(%1)"/>
      <w:lvlJc w:val="left"/>
      <w:pPr>
        <w:ind w:left="3276" w:hanging="720"/>
      </w:pPr>
      <w:rPr>
        <w:rFonts w:hint="default"/>
      </w:rPr>
    </w:lvl>
    <w:lvl w:ilvl="1" w:tplc="04090019" w:tentative="1">
      <w:start w:val="1"/>
      <w:numFmt w:val="lowerLetter"/>
      <w:lvlText w:val="%2."/>
      <w:lvlJc w:val="left"/>
      <w:pPr>
        <w:ind w:left="3636" w:hanging="360"/>
      </w:pPr>
    </w:lvl>
    <w:lvl w:ilvl="2" w:tplc="0409001B" w:tentative="1">
      <w:start w:val="1"/>
      <w:numFmt w:val="lowerRoman"/>
      <w:lvlText w:val="%3."/>
      <w:lvlJc w:val="right"/>
      <w:pPr>
        <w:ind w:left="4356" w:hanging="180"/>
      </w:pPr>
    </w:lvl>
    <w:lvl w:ilvl="3" w:tplc="0409000F" w:tentative="1">
      <w:start w:val="1"/>
      <w:numFmt w:val="decimal"/>
      <w:lvlText w:val="%4."/>
      <w:lvlJc w:val="left"/>
      <w:pPr>
        <w:ind w:left="5076" w:hanging="360"/>
      </w:pPr>
    </w:lvl>
    <w:lvl w:ilvl="4" w:tplc="04090019" w:tentative="1">
      <w:start w:val="1"/>
      <w:numFmt w:val="lowerLetter"/>
      <w:lvlText w:val="%5."/>
      <w:lvlJc w:val="left"/>
      <w:pPr>
        <w:ind w:left="5796" w:hanging="360"/>
      </w:pPr>
    </w:lvl>
    <w:lvl w:ilvl="5" w:tplc="0409001B" w:tentative="1">
      <w:start w:val="1"/>
      <w:numFmt w:val="lowerRoman"/>
      <w:lvlText w:val="%6."/>
      <w:lvlJc w:val="right"/>
      <w:pPr>
        <w:ind w:left="6516" w:hanging="180"/>
      </w:pPr>
    </w:lvl>
    <w:lvl w:ilvl="6" w:tplc="0409000F" w:tentative="1">
      <w:start w:val="1"/>
      <w:numFmt w:val="decimal"/>
      <w:lvlText w:val="%7."/>
      <w:lvlJc w:val="left"/>
      <w:pPr>
        <w:ind w:left="7236" w:hanging="360"/>
      </w:pPr>
    </w:lvl>
    <w:lvl w:ilvl="7" w:tplc="04090019" w:tentative="1">
      <w:start w:val="1"/>
      <w:numFmt w:val="lowerLetter"/>
      <w:lvlText w:val="%8."/>
      <w:lvlJc w:val="left"/>
      <w:pPr>
        <w:ind w:left="7956" w:hanging="360"/>
      </w:pPr>
    </w:lvl>
    <w:lvl w:ilvl="8" w:tplc="0409001B" w:tentative="1">
      <w:start w:val="1"/>
      <w:numFmt w:val="lowerRoman"/>
      <w:lvlText w:val="%9."/>
      <w:lvlJc w:val="right"/>
      <w:pPr>
        <w:ind w:left="8676" w:hanging="180"/>
      </w:pPr>
    </w:lvl>
  </w:abstractNum>
  <w:abstractNum w:abstractNumId="3">
    <w:nsid w:val="420620BD"/>
    <w:multiLevelType w:val="hybridMultilevel"/>
    <w:tmpl w:val="30048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365891"/>
    <w:multiLevelType w:val="hybridMultilevel"/>
    <w:tmpl w:val="FBEE77F4"/>
    <w:lvl w:ilvl="0" w:tplc="A7781EC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87F59AA"/>
    <w:multiLevelType w:val="hybridMultilevel"/>
    <w:tmpl w:val="026C6BF2"/>
    <w:lvl w:ilvl="0" w:tplc="F0D4764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65A53D00"/>
    <w:multiLevelType w:val="hybridMultilevel"/>
    <w:tmpl w:val="74043E9A"/>
    <w:lvl w:ilvl="0" w:tplc="AE56899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6F8E5EF3"/>
    <w:multiLevelType w:val="multilevel"/>
    <w:tmpl w:val="B202A82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7A59710B"/>
    <w:multiLevelType w:val="hybridMultilevel"/>
    <w:tmpl w:val="AAD899D2"/>
    <w:lvl w:ilvl="0" w:tplc="FED83C2A">
      <w:start w:val="1"/>
      <w:numFmt w:val="lowerLetter"/>
      <w:lvlText w:val="(%1)"/>
      <w:lvlJc w:val="left"/>
      <w:pPr>
        <w:ind w:left="1692" w:hanging="360"/>
      </w:pPr>
      <w:rPr>
        <w:rFonts w:hint="default"/>
      </w:rPr>
    </w:lvl>
    <w:lvl w:ilvl="1" w:tplc="04090019">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num w:numId="1">
    <w:abstractNumId w:val="0"/>
  </w:num>
  <w:num w:numId="2">
    <w:abstractNumId w:val="3"/>
  </w:num>
  <w:num w:numId="3">
    <w:abstractNumId w:val="2"/>
  </w:num>
  <w:num w:numId="4">
    <w:abstractNumId w:val="8"/>
  </w:num>
  <w:num w:numId="5">
    <w:abstractNumId w:val="5"/>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D2"/>
    <w:rsid w:val="00017274"/>
    <w:rsid w:val="0005036C"/>
    <w:rsid w:val="00064C3A"/>
    <w:rsid w:val="00074C92"/>
    <w:rsid w:val="000874EF"/>
    <w:rsid w:val="0012401B"/>
    <w:rsid w:val="00145ED7"/>
    <w:rsid w:val="00153161"/>
    <w:rsid w:val="001717F1"/>
    <w:rsid w:val="0018141A"/>
    <w:rsid w:val="001C78CF"/>
    <w:rsid w:val="001C7BE2"/>
    <w:rsid w:val="001E7AB0"/>
    <w:rsid w:val="001F194D"/>
    <w:rsid w:val="002014AA"/>
    <w:rsid w:val="00215613"/>
    <w:rsid w:val="00230CFC"/>
    <w:rsid w:val="00230DC9"/>
    <w:rsid w:val="00233230"/>
    <w:rsid w:val="00274E9D"/>
    <w:rsid w:val="00291712"/>
    <w:rsid w:val="002950FC"/>
    <w:rsid w:val="002B16C6"/>
    <w:rsid w:val="002D036E"/>
    <w:rsid w:val="003E1AE8"/>
    <w:rsid w:val="0040603F"/>
    <w:rsid w:val="00416944"/>
    <w:rsid w:val="00424DD5"/>
    <w:rsid w:val="00444FD1"/>
    <w:rsid w:val="00470C01"/>
    <w:rsid w:val="00471060"/>
    <w:rsid w:val="004870B3"/>
    <w:rsid w:val="004A21F2"/>
    <w:rsid w:val="004B1EC7"/>
    <w:rsid w:val="004C1D52"/>
    <w:rsid w:val="0050784F"/>
    <w:rsid w:val="005948A6"/>
    <w:rsid w:val="005A0D9D"/>
    <w:rsid w:val="005A43B4"/>
    <w:rsid w:val="005D38C8"/>
    <w:rsid w:val="005D5E95"/>
    <w:rsid w:val="005E568F"/>
    <w:rsid w:val="005F54ED"/>
    <w:rsid w:val="00644CBF"/>
    <w:rsid w:val="00693280"/>
    <w:rsid w:val="00696A49"/>
    <w:rsid w:val="006D4644"/>
    <w:rsid w:val="006D4C30"/>
    <w:rsid w:val="006F36BA"/>
    <w:rsid w:val="00712EF5"/>
    <w:rsid w:val="007167A6"/>
    <w:rsid w:val="00724056"/>
    <w:rsid w:val="00741E9C"/>
    <w:rsid w:val="0078320D"/>
    <w:rsid w:val="0079439B"/>
    <w:rsid w:val="007E269F"/>
    <w:rsid w:val="007E4B3F"/>
    <w:rsid w:val="008155FE"/>
    <w:rsid w:val="00823686"/>
    <w:rsid w:val="00847E1F"/>
    <w:rsid w:val="00856BA3"/>
    <w:rsid w:val="008876F4"/>
    <w:rsid w:val="008A2658"/>
    <w:rsid w:val="008B0FC5"/>
    <w:rsid w:val="008D5A37"/>
    <w:rsid w:val="008E6901"/>
    <w:rsid w:val="00932593"/>
    <w:rsid w:val="00942942"/>
    <w:rsid w:val="0097430A"/>
    <w:rsid w:val="009760FC"/>
    <w:rsid w:val="009928E6"/>
    <w:rsid w:val="00994FD2"/>
    <w:rsid w:val="009B3384"/>
    <w:rsid w:val="009C20D4"/>
    <w:rsid w:val="009F6F63"/>
    <w:rsid w:val="00A058F2"/>
    <w:rsid w:val="00A15D76"/>
    <w:rsid w:val="00A22D4E"/>
    <w:rsid w:val="00A24ADA"/>
    <w:rsid w:val="00A341A5"/>
    <w:rsid w:val="00A35552"/>
    <w:rsid w:val="00A65E42"/>
    <w:rsid w:val="00AC30A4"/>
    <w:rsid w:val="00AE38C9"/>
    <w:rsid w:val="00AE5D49"/>
    <w:rsid w:val="00B067E5"/>
    <w:rsid w:val="00B26ED7"/>
    <w:rsid w:val="00B706CF"/>
    <w:rsid w:val="00B9315A"/>
    <w:rsid w:val="00B94FE2"/>
    <w:rsid w:val="00BE19AC"/>
    <w:rsid w:val="00C23089"/>
    <w:rsid w:val="00C37EDC"/>
    <w:rsid w:val="00C545EA"/>
    <w:rsid w:val="00C9515C"/>
    <w:rsid w:val="00D07CBB"/>
    <w:rsid w:val="00D14606"/>
    <w:rsid w:val="00D736F6"/>
    <w:rsid w:val="00D746FB"/>
    <w:rsid w:val="00D92313"/>
    <w:rsid w:val="00DB2336"/>
    <w:rsid w:val="00DC424E"/>
    <w:rsid w:val="00DD64DC"/>
    <w:rsid w:val="00DE6CD8"/>
    <w:rsid w:val="00DF26F3"/>
    <w:rsid w:val="00DF696E"/>
    <w:rsid w:val="00E36F62"/>
    <w:rsid w:val="00E878EA"/>
    <w:rsid w:val="00EB1C53"/>
    <w:rsid w:val="00EC4FD4"/>
    <w:rsid w:val="00F07781"/>
    <w:rsid w:val="00F32C5B"/>
    <w:rsid w:val="00F54EE1"/>
    <w:rsid w:val="00F5584A"/>
    <w:rsid w:val="00F655BB"/>
    <w:rsid w:val="00F67BA5"/>
    <w:rsid w:val="00FB2136"/>
    <w:rsid w:val="00FB3162"/>
    <w:rsid w:val="00FC1072"/>
    <w:rsid w:val="00FD4001"/>
    <w:rsid w:val="00FF2A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979D"/>
  <w15:chartTrackingRefBased/>
  <w15:docId w15:val="{C8D0B012-6DC6-0343-82EE-6155541C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BA3"/>
    <w:rPr>
      <w:rFonts w:ascii="Times New Roman" w:eastAsia="Times New Roman" w:hAnsi="Times New Roman" w:cs="Times New Roman"/>
    </w:rPr>
  </w:style>
  <w:style w:type="paragraph" w:styleId="Heading1">
    <w:name w:val="heading 1"/>
    <w:basedOn w:val="Normal"/>
    <w:next w:val="Normal"/>
    <w:link w:val="Heading1Char"/>
    <w:qFormat/>
    <w:rsid w:val="00994FD2"/>
    <w:pPr>
      <w:keepNext/>
      <w:widowControl w:val="0"/>
      <w:numPr>
        <w:ilvl w:val="12"/>
      </w:numPr>
      <w:tabs>
        <w:tab w:val="left" w:pos="-1440"/>
        <w:tab w:val="left" w:pos="-720"/>
        <w:tab w:val="left" w:pos="38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outlineLvl w:val="0"/>
    </w:pPr>
    <w:rPr>
      <w:rFonts w:ascii="Arial" w:hAnsi="Arial" w:cs="Arial"/>
      <w:lang w:val="en-US"/>
    </w:rPr>
  </w:style>
  <w:style w:type="paragraph" w:styleId="Heading2">
    <w:name w:val="heading 2"/>
    <w:basedOn w:val="Normal"/>
    <w:next w:val="Normal"/>
    <w:link w:val="Heading2Char"/>
    <w:uiPriority w:val="9"/>
    <w:unhideWhenUsed/>
    <w:qFormat/>
    <w:rsid w:val="001C7B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FD2"/>
    <w:rPr>
      <w:rFonts w:ascii="Arial" w:eastAsia="Times New Roman" w:hAnsi="Arial" w:cs="Arial"/>
      <w:lang w:val="en-US"/>
    </w:rPr>
  </w:style>
  <w:style w:type="paragraph" w:styleId="ListParagraph">
    <w:name w:val="List Paragraph"/>
    <w:basedOn w:val="Normal"/>
    <w:uiPriority w:val="34"/>
    <w:qFormat/>
    <w:rsid w:val="00994FD2"/>
    <w:pPr>
      <w:ind w:left="720"/>
      <w:contextualSpacing/>
    </w:pPr>
  </w:style>
  <w:style w:type="paragraph" w:styleId="Title">
    <w:name w:val="Title"/>
    <w:basedOn w:val="Normal"/>
    <w:link w:val="TitleChar"/>
    <w:uiPriority w:val="10"/>
    <w:qFormat/>
    <w:rsid w:val="00994FD2"/>
    <w:pPr>
      <w:spacing w:line="480" w:lineRule="auto"/>
      <w:jc w:val="center"/>
    </w:pPr>
    <w:rPr>
      <w:rFonts w:ascii="Arial" w:hAnsi="Arial" w:cs="Arial"/>
      <w:b/>
      <w:bCs/>
      <w:lang w:val="en-US"/>
    </w:rPr>
  </w:style>
  <w:style w:type="character" w:customStyle="1" w:styleId="TitleChar">
    <w:name w:val="Title Char"/>
    <w:basedOn w:val="DefaultParagraphFont"/>
    <w:link w:val="Title"/>
    <w:uiPriority w:val="10"/>
    <w:rsid w:val="00994FD2"/>
    <w:rPr>
      <w:rFonts w:ascii="Arial" w:eastAsia="Times New Roman" w:hAnsi="Arial" w:cs="Arial"/>
      <w:b/>
      <w:bCs/>
      <w:lang w:val="en-US"/>
    </w:rPr>
  </w:style>
  <w:style w:type="paragraph" w:customStyle="1" w:styleId="Default">
    <w:name w:val="Default"/>
    <w:rsid w:val="0040603F"/>
    <w:pPr>
      <w:autoSpaceDE w:val="0"/>
      <w:autoSpaceDN w:val="0"/>
      <w:adjustRightInd w:val="0"/>
    </w:pPr>
    <w:rPr>
      <w:rFonts w:ascii="Arial" w:hAnsi="Arial" w:cs="Arial"/>
      <w:color w:val="000000"/>
      <w:lang w:val="en-US"/>
    </w:rPr>
  </w:style>
  <w:style w:type="paragraph" w:styleId="NormalWeb">
    <w:name w:val="Normal (Web)"/>
    <w:basedOn w:val="Normal"/>
    <w:uiPriority w:val="99"/>
    <w:unhideWhenUsed/>
    <w:rsid w:val="00693280"/>
    <w:pPr>
      <w:spacing w:before="100" w:beforeAutospacing="1" w:after="100" w:afterAutospacing="1"/>
    </w:pPr>
  </w:style>
  <w:style w:type="paragraph" w:styleId="FootnoteText">
    <w:name w:val="footnote text"/>
    <w:basedOn w:val="Normal"/>
    <w:link w:val="FootnoteTextChar"/>
    <w:unhideWhenUsed/>
    <w:rsid w:val="00693280"/>
    <w:rPr>
      <w:sz w:val="20"/>
      <w:szCs w:val="20"/>
    </w:rPr>
  </w:style>
  <w:style w:type="character" w:customStyle="1" w:styleId="FootnoteTextChar">
    <w:name w:val="Footnote Text Char"/>
    <w:basedOn w:val="DefaultParagraphFont"/>
    <w:link w:val="FootnoteText"/>
    <w:rsid w:val="00693280"/>
    <w:rPr>
      <w:sz w:val="20"/>
      <w:szCs w:val="20"/>
    </w:rPr>
  </w:style>
  <w:style w:type="character" w:styleId="FootnoteReference">
    <w:name w:val="footnote reference"/>
    <w:basedOn w:val="DefaultParagraphFont"/>
    <w:unhideWhenUsed/>
    <w:rsid w:val="00693280"/>
    <w:rPr>
      <w:vertAlign w:val="superscript"/>
    </w:rPr>
  </w:style>
  <w:style w:type="character" w:customStyle="1" w:styleId="Heading2Char">
    <w:name w:val="Heading 2 Char"/>
    <w:basedOn w:val="DefaultParagraphFont"/>
    <w:link w:val="Heading2"/>
    <w:uiPriority w:val="9"/>
    <w:rsid w:val="001C7BE2"/>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1C7BE2"/>
  </w:style>
  <w:style w:type="paragraph" w:styleId="Header">
    <w:name w:val="header"/>
    <w:basedOn w:val="Normal"/>
    <w:link w:val="HeaderChar"/>
    <w:uiPriority w:val="99"/>
    <w:unhideWhenUsed/>
    <w:rsid w:val="008A2658"/>
    <w:pPr>
      <w:tabs>
        <w:tab w:val="center" w:pos="4680"/>
        <w:tab w:val="right" w:pos="9360"/>
      </w:tabs>
    </w:pPr>
  </w:style>
  <w:style w:type="character" w:customStyle="1" w:styleId="HeaderChar">
    <w:name w:val="Header Char"/>
    <w:basedOn w:val="DefaultParagraphFont"/>
    <w:link w:val="Header"/>
    <w:uiPriority w:val="99"/>
    <w:rsid w:val="008A2658"/>
  </w:style>
  <w:style w:type="character" w:styleId="PageNumber">
    <w:name w:val="page number"/>
    <w:basedOn w:val="DefaultParagraphFont"/>
    <w:uiPriority w:val="99"/>
    <w:semiHidden/>
    <w:unhideWhenUsed/>
    <w:rsid w:val="008A2658"/>
  </w:style>
  <w:style w:type="character" w:styleId="Hyperlink">
    <w:name w:val="Hyperlink"/>
    <w:basedOn w:val="DefaultParagraphFont"/>
    <w:uiPriority w:val="99"/>
    <w:semiHidden/>
    <w:unhideWhenUsed/>
    <w:rsid w:val="00856BA3"/>
    <w:rPr>
      <w:color w:val="0000FF"/>
      <w:u w:val="single"/>
    </w:rPr>
  </w:style>
  <w:style w:type="character" w:styleId="FollowedHyperlink">
    <w:name w:val="FollowedHyperlink"/>
    <w:basedOn w:val="DefaultParagraphFont"/>
    <w:uiPriority w:val="99"/>
    <w:semiHidden/>
    <w:unhideWhenUsed/>
    <w:rsid w:val="002156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3697">
      <w:bodyDiv w:val="1"/>
      <w:marLeft w:val="0"/>
      <w:marRight w:val="0"/>
      <w:marTop w:val="0"/>
      <w:marBottom w:val="0"/>
      <w:divBdr>
        <w:top w:val="none" w:sz="0" w:space="0" w:color="auto"/>
        <w:left w:val="none" w:sz="0" w:space="0" w:color="auto"/>
        <w:bottom w:val="none" w:sz="0" w:space="0" w:color="auto"/>
        <w:right w:val="none" w:sz="0" w:space="0" w:color="auto"/>
      </w:divBdr>
      <w:divsChild>
        <w:div w:id="1614365561">
          <w:marLeft w:val="0"/>
          <w:marRight w:val="0"/>
          <w:marTop w:val="0"/>
          <w:marBottom w:val="0"/>
          <w:divBdr>
            <w:top w:val="none" w:sz="0" w:space="0" w:color="auto"/>
            <w:left w:val="none" w:sz="0" w:space="0" w:color="auto"/>
            <w:bottom w:val="none" w:sz="0" w:space="0" w:color="auto"/>
            <w:right w:val="none" w:sz="0" w:space="0" w:color="auto"/>
          </w:divBdr>
          <w:divsChild>
            <w:div w:id="865599944">
              <w:marLeft w:val="0"/>
              <w:marRight w:val="0"/>
              <w:marTop w:val="0"/>
              <w:marBottom w:val="0"/>
              <w:divBdr>
                <w:top w:val="none" w:sz="0" w:space="0" w:color="auto"/>
                <w:left w:val="none" w:sz="0" w:space="0" w:color="auto"/>
                <w:bottom w:val="none" w:sz="0" w:space="0" w:color="auto"/>
                <w:right w:val="none" w:sz="0" w:space="0" w:color="auto"/>
              </w:divBdr>
              <w:divsChild>
                <w:div w:id="7647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2885">
      <w:bodyDiv w:val="1"/>
      <w:marLeft w:val="0"/>
      <w:marRight w:val="0"/>
      <w:marTop w:val="0"/>
      <w:marBottom w:val="0"/>
      <w:divBdr>
        <w:top w:val="none" w:sz="0" w:space="0" w:color="auto"/>
        <w:left w:val="none" w:sz="0" w:space="0" w:color="auto"/>
        <w:bottom w:val="none" w:sz="0" w:space="0" w:color="auto"/>
        <w:right w:val="none" w:sz="0" w:space="0" w:color="auto"/>
      </w:divBdr>
      <w:divsChild>
        <w:div w:id="186867459">
          <w:marLeft w:val="0"/>
          <w:marRight w:val="0"/>
          <w:marTop w:val="0"/>
          <w:marBottom w:val="0"/>
          <w:divBdr>
            <w:top w:val="none" w:sz="0" w:space="0" w:color="auto"/>
            <w:left w:val="none" w:sz="0" w:space="0" w:color="auto"/>
            <w:bottom w:val="none" w:sz="0" w:space="0" w:color="auto"/>
            <w:right w:val="none" w:sz="0" w:space="0" w:color="auto"/>
          </w:divBdr>
          <w:divsChild>
            <w:div w:id="2005159178">
              <w:marLeft w:val="0"/>
              <w:marRight w:val="0"/>
              <w:marTop w:val="0"/>
              <w:marBottom w:val="0"/>
              <w:divBdr>
                <w:top w:val="none" w:sz="0" w:space="0" w:color="auto"/>
                <w:left w:val="none" w:sz="0" w:space="0" w:color="auto"/>
                <w:bottom w:val="none" w:sz="0" w:space="0" w:color="auto"/>
                <w:right w:val="none" w:sz="0" w:space="0" w:color="auto"/>
              </w:divBdr>
              <w:divsChild>
                <w:div w:id="7232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9581">
      <w:bodyDiv w:val="1"/>
      <w:marLeft w:val="0"/>
      <w:marRight w:val="0"/>
      <w:marTop w:val="0"/>
      <w:marBottom w:val="0"/>
      <w:divBdr>
        <w:top w:val="none" w:sz="0" w:space="0" w:color="auto"/>
        <w:left w:val="none" w:sz="0" w:space="0" w:color="auto"/>
        <w:bottom w:val="none" w:sz="0" w:space="0" w:color="auto"/>
        <w:right w:val="none" w:sz="0" w:space="0" w:color="auto"/>
      </w:divBdr>
    </w:div>
    <w:div w:id="210969034">
      <w:bodyDiv w:val="1"/>
      <w:marLeft w:val="0"/>
      <w:marRight w:val="0"/>
      <w:marTop w:val="0"/>
      <w:marBottom w:val="0"/>
      <w:divBdr>
        <w:top w:val="none" w:sz="0" w:space="0" w:color="auto"/>
        <w:left w:val="none" w:sz="0" w:space="0" w:color="auto"/>
        <w:bottom w:val="none" w:sz="0" w:space="0" w:color="auto"/>
        <w:right w:val="none" w:sz="0" w:space="0" w:color="auto"/>
      </w:divBdr>
    </w:div>
    <w:div w:id="215702759">
      <w:bodyDiv w:val="1"/>
      <w:marLeft w:val="0"/>
      <w:marRight w:val="0"/>
      <w:marTop w:val="0"/>
      <w:marBottom w:val="0"/>
      <w:divBdr>
        <w:top w:val="none" w:sz="0" w:space="0" w:color="auto"/>
        <w:left w:val="none" w:sz="0" w:space="0" w:color="auto"/>
        <w:bottom w:val="none" w:sz="0" w:space="0" w:color="auto"/>
        <w:right w:val="none" w:sz="0" w:space="0" w:color="auto"/>
      </w:divBdr>
    </w:div>
    <w:div w:id="228346526">
      <w:bodyDiv w:val="1"/>
      <w:marLeft w:val="0"/>
      <w:marRight w:val="0"/>
      <w:marTop w:val="0"/>
      <w:marBottom w:val="0"/>
      <w:divBdr>
        <w:top w:val="none" w:sz="0" w:space="0" w:color="auto"/>
        <w:left w:val="none" w:sz="0" w:space="0" w:color="auto"/>
        <w:bottom w:val="none" w:sz="0" w:space="0" w:color="auto"/>
        <w:right w:val="none" w:sz="0" w:space="0" w:color="auto"/>
      </w:divBdr>
    </w:div>
    <w:div w:id="254023191">
      <w:bodyDiv w:val="1"/>
      <w:marLeft w:val="0"/>
      <w:marRight w:val="0"/>
      <w:marTop w:val="0"/>
      <w:marBottom w:val="0"/>
      <w:divBdr>
        <w:top w:val="none" w:sz="0" w:space="0" w:color="auto"/>
        <w:left w:val="none" w:sz="0" w:space="0" w:color="auto"/>
        <w:bottom w:val="none" w:sz="0" w:space="0" w:color="auto"/>
        <w:right w:val="none" w:sz="0" w:space="0" w:color="auto"/>
      </w:divBdr>
    </w:div>
    <w:div w:id="325325134">
      <w:bodyDiv w:val="1"/>
      <w:marLeft w:val="0"/>
      <w:marRight w:val="0"/>
      <w:marTop w:val="0"/>
      <w:marBottom w:val="0"/>
      <w:divBdr>
        <w:top w:val="none" w:sz="0" w:space="0" w:color="auto"/>
        <w:left w:val="none" w:sz="0" w:space="0" w:color="auto"/>
        <w:bottom w:val="none" w:sz="0" w:space="0" w:color="auto"/>
        <w:right w:val="none" w:sz="0" w:space="0" w:color="auto"/>
      </w:divBdr>
    </w:div>
    <w:div w:id="346754063">
      <w:bodyDiv w:val="1"/>
      <w:marLeft w:val="0"/>
      <w:marRight w:val="0"/>
      <w:marTop w:val="0"/>
      <w:marBottom w:val="0"/>
      <w:divBdr>
        <w:top w:val="none" w:sz="0" w:space="0" w:color="auto"/>
        <w:left w:val="none" w:sz="0" w:space="0" w:color="auto"/>
        <w:bottom w:val="none" w:sz="0" w:space="0" w:color="auto"/>
        <w:right w:val="none" w:sz="0" w:space="0" w:color="auto"/>
      </w:divBdr>
      <w:divsChild>
        <w:div w:id="1191459174">
          <w:marLeft w:val="0"/>
          <w:marRight w:val="0"/>
          <w:marTop w:val="0"/>
          <w:marBottom w:val="0"/>
          <w:divBdr>
            <w:top w:val="none" w:sz="0" w:space="0" w:color="auto"/>
            <w:left w:val="none" w:sz="0" w:space="0" w:color="auto"/>
            <w:bottom w:val="none" w:sz="0" w:space="0" w:color="auto"/>
            <w:right w:val="none" w:sz="0" w:space="0" w:color="auto"/>
          </w:divBdr>
          <w:divsChild>
            <w:div w:id="1129976498">
              <w:marLeft w:val="0"/>
              <w:marRight w:val="0"/>
              <w:marTop w:val="0"/>
              <w:marBottom w:val="0"/>
              <w:divBdr>
                <w:top w:val="none" w:sz="0" w:space="0" w:color="auto"/>
                <w:left w:val="none" w:sz="0" w:space="0" w:color="auto"/>
                <w:bottom w:val="none" w:sz="0" w:space="0" w:color="auto"/>
                <w:right w:val="none" w:sz="0" w:space="0" w:color="auto"/>
              </w:divBdr>
              <w:divsChild>
                <w:div w:id="6288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79538">
      <w:bodyDiv w:val="1"/>
      <w:marLeft w:val="0"/>
      <w:marRight w:val="0"/>
      <w:marTop w:val="0"/>
      <w:marBottom w:val="0"/>
      <w:divBdr>
        <w:top w:val="none" w:sz="0" w:space="0" w:color="auto"/>
        <w:left w:val="none" w:sz="0" w:space="0" w:color="auto"/>
        <w:bottom w:val="none" w:sz="0" w:space="0" w:color="auto"/>
        <w:right w:val="none" w:sz="0" w:space="0" w:color="auto"/>
      </w:divBdr>
    </w:div>
    <w:div w:id="394161340">
      <w:bodyDiv w:val="1"/>
      <w:marLeft w:val="0"/>
      <w:marRight w:val="0"/>
      <w:marTop w:val="0"/>
      <w:marBottom w:val="0"/>
      <w:divBdr>
        <w:top w:val="none" w:sz="0" w:space="0" w:color="auto"/>
        <w:left w:val="none" w:sz="0" w:space="0" w:color="auto"/>
        <w:bottom w:val="none" w:sz="0" w:space="0" w:color="auto"/>
        <w:right w:val="none" w:sz="0" w:space="0" w:color="auto"/>
      </w:divBdr>
      <w:divsChild>
        <w:div w:id="1402366477">
          <w:marLeft w:val="0"/>
          <w:marRight w:val="0"/>
          <w:marTop w:val="0"/>
          <w:marBottom w:val="0"/>
          <w:divBdr>
            <w:top w:val="none" w:sz="0" w:space="0" w:color="auto"/>
            <w:left w:val="none" w:sz="0" w:space="0" w:color="auto"/>
            <w:bottom w:val="none" w:sz="0" w:space="0" w:color="auto"/>
            <w:right w:val="none" w:sz="0" w:space="0" w:color="auto"/>
          </w:divBdr>
          <w:divsChild>
            <w:div w:id="1097795039">
              <w:marLeft w:val="0"/>
              <w:marRight w:val="0"/>
              <w:marTop w:val="0"/>
              <w:marBottom w:val="0"/>
              <w:divBdr>
                <w:top w:val="none" w:sz="0" w:space="0" w:color="auto"/>
                <w:left w:val="none" w:sz="0" w:space="0" w:color="auto"/>
                <w:bottom w:val="none" w:sz="0" w:space="0" w:color="auto"/>
                <w:right w:val="none" w:sz="0" w:space="0" w:color="auto"/>
              </w:divBdr>
              <w:divsChild>
                <w:div w:id="749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50098">
      <w:bodyDiv w:val="1"/>
      <w:marLeft w:val="0"/>
      <w:marRight w:val="0"/>
      <w:marTop w:val="0"/>
      <w:marBottom w:val="0"/>
      <w:divBdr>
        <w:top w:val="none" w:sz="0" w:space="0" w:color="auto"/>
        <w:left w:val="none" w:sz="0" w:space="0" w:color="auto"/>
        <w:bottom w:val="none" w:sz="0" w:space="0" w:color="auto"/>
        <w:right w:val="none" w:sz="0" w:space="0" w:color="auto"/>
      </w:divBdr>
      <w:divsChild>
        <w:div w:id="1622225390">
          <w:marLeft w:val="0"/>
          <w:marRight w:val="0"/>
          <w:marTop w:val="0"/>
          <w:marBottom w:val="0"/>
          <w:divBdr>
            <w:top w:val="none" w:sz="0" w:space="0" w:color="auto"/>
            <w:left w:val="none" w:sz="0" w:space="0" w:color="auto"/>
            <w:bottom w:val="none" w:sz="0" w:space="0" w:color="auto"/>
            <w:right w:val="none" w:sz="0" w:space="0" w:color="auto"/>
          </w:divBdr>
          <w:divsChild>
            <w:div w:id="1570188440">
              <w:marLeft w:val="0"/>
              <w:marRight w:val="0"/>
              <w:marTop w:val="0"/>
              <w:marBottom w:val="0"/>
              <w:divBdr>
                <w:top w:val="none" w:sz="0" w:space="0" w:color="auto"/>
                <w:left w:val="none" w:sz="0" w:space="0" w:color="auto"/>
                <w:bottom w:val="none" w:sz="0" w:space="0" w:color="auto"/>
                <w:right w:val="none" w:sz="0" w:space="0" w:color="auto"/>
              </w:divBdr>
              <w:divsChild>
                <w:div w:id="1599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49094">
      <w:bodyDiv w:val="1"/>
      <w:marLeft w:val="0"/>
      <w:marRight w:val="0"/>
      <w:marTop w:val="0"/>
      <w:marBottom w:val="0"/>
      <w:divBdr>
        <w:top w:val="none" w:sz="0" w:space="0" w:color="auto"/>
        <w:left w:val="none" w:sz="0" w:space="0" w:color="auto"/>
        <w:bottom w:val="none" w:sz="0" w:space="0" w:color="auto"/>
        <w:right w:val="none" w:sz="0" w:space="0" w:color="auto"/>
      </w:divBdr>
    </w:div>
    <w:div w:id="659499976">
      <w:bodyDiv w:val="1"/>
      <w:marLeft w:val="0"/>
      <w:marRight w:val="0"/>
      <w:marTop w:val="0"/>
      <w:marBottom w:val="0"/>
      <w:divBdr>
        <w:top w:val="none" w:sz="0" w:space="0" w:color="auto"/>
        <w:left w:val="none" w:sz="0" w:space="0" w:color="auto"/>
        <w:bottom w:val="none" w:sz="0" w:space="0" w:color="auto"/>
        <w:right w:val="none" w:sz="0" w:space="0" w:color="auto"/>
      </w:divBdr>
    </w:div>
    <w:div w:id="867833990">
      <w:bodyDiv w:val="1"/>
      <w:marLeft w:val="0"/>
      <w:marRight w:val="0"/>
      <w:marTop w:val="0"/>
      <w:marBottom w:val="0"/>
      <w:divBdr>
        <w:top w:val="none" w:sz="0" w:space="0" w:color="auto"/>
        <w:left w:val="none" w:sz="0" w:space="0" w:color="auto"/>
        <w:bottom w:val="none" w:sz="0" w:space="0" w:color="auto"/>
        <w:right w:val="none" w:sz="0" w:space="0" w:color="auto"/>
      </w:divBdr>
    </w:div>
    <w:div w:id="912475310">
      <w:bodyDiv w:val="1"/>
      <w:marLeft w:val="0"/>
      <w:marRight w:val="0"/>
      <w:marTop w:val="0"/>
      <w:marBottom w:val="0"/>
      <w:divBdr>
        <w:top w:val="none" w:sz="0" w:space="0" w:color="auto"/>
        <w:left w:val="none" w:sz="0" w:space="0" w:color="auto"/>
        <w:bottom w:val="none" w:sz="0" w:space="0" w:color="auto"/>
        <w:right w:val="none" w:sz="0" w:space="0" w:color="auto"/>
      </w:divBdr>
    </w:div>
    <w:div w:id="990643706">
      <w:bodyDiv w:val="1"/>
      <w:marLeft w:val="0"/>
      <w:marRight w:val="0"/>
      <w:marTop w:val="0"/>
      <w:marBottom w:val="0"/>
      <w:divBdr>
        <w:top w:val="none" w:sz="0" w:space="0" w:color="auto"/>
        <w:left w:val="none" w:sz="0" w:space="0" w:color="auto"/>
        <w:bottom w:val="none" w:sz="0" w:space="0" w:color="auto"/>
        <w:right w:val="none" w:sz="0" w:space="0" w:color="auto"/>
      </w:divBdr>
    </w:div>
    <w:div w:id="1019165454">
      <w:bodyDiv w:val="1"/>
      <w:marLeft w:val="0"/>
      <w:marRight w:val="0"/>
      <w:marTop w:val="0"/>
      <w:marBottom w:val="0"/>
      <w:divBdr>
        <w:top w:val="none" w:sz="0" w:space="0" w:color="auto"/>
        <w:left w:val="none" w:sz="0" w:space="0" w:color="auto"/>
        <w:bottom w:val="none" w:sz="0" w:space="0" w:color="auto"/>
        <w:right w:val="none" w:sz="0" w:space="0" w:color="auto"/>
      </w:divBdr>
    </w:div>
    <w:div w:id="1056587861">
      <w:bodyDiv w:val="1"/>
      <w:marLeft w:val="0"/>
      <w:marRight w:val="0"/>
      <w:marTop w:val="0"/>
      <w:marBottom w:val="0"/>
      <w:divBdr>
        <w:top w:val="none" w:sz="0" w:space="0" w:color="auto"/>
        <w:left w:val="none" w:sz="0" w:space="0" w:color="auto"/>
        <w:bottom w:val="none" w:sz="0" w:space="0" w:color="auto"/>
        <w:right w:val="none" w:sz="0" w:space="0" w:color="auto"/>
      </w:divBdr>
      <w:divsChild>
        <w:div w:id="207691730">
          <w:marLeft w:val="0"/>
          <w:marRight w:val="0"/>
          <w:marTop w:val="0"/>
          <w:marBottom w:val="0"/>
          <w:divBdr>
            <w:top w:val="none" w:sz="0" w:space="0" w:color="auto"/>
            <w:left w:val="none" w:sz="0" w:space="0" w:color="auto"/>
            <w:bottom w:val="none" w:sz="0" w:space="0" w:color="auto"/>
            <w:right w:val="none" w:sz="0" w:space="0" w:color="auto"/>
          </w:divBdr>
          <w:divsChild>
            <w:div w:id="1564412485">
              <w:marLeft w:val="0"/>
              <w:marRight w:val="0"/>
              <w:marTop w:val="0"/>
              <w:marBottom w:val="0"/>
              <w:divBdr>
                <w:top w:val="none" w:sz="0" w:space="0" w:color="auto"/>
                <w:left w:val="none" w:sz="0" w:space="0" w:color="auto"/>
                <w:bottom w:val="none" w:sz="0" w:space="0" w:color="auto"/>
                <w:right w:val="none" w:sz="0" w:space="0" w:color="auto"/>
              </w:divBdr>
              <w:divsChild>
                <w:div w:id="920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58923">
      <w:bodyDiv w:val="1"/>
      <w:marLeft w:val="0"/>
      <w:marRight w:val="0"/>
      <w:marTop w:val="0"/>
      <w:marBottom w:val="0"/>
      <w:divBdr>
        <w:top w:val="none" w:sz="0" w:space="0" w:color="auto"/>
        <w:left w:val="none" w:sz="0" w:space="0" w:color="auto"/>
        <w:bottom w:val="none" w:sz="0" w:space="0" w:color="auto"/>
        <w:right w:val="none" w:sz="0" w:space="0" w:color="auto"/>
      </w:divBdr>
    </w:div>
    <w:div w:id="1106576828">
      <w:bodyDiv w:val="1"/>
      <w:marLeft w:val="0"/>
      <w:marRight w:val="0"/>
      <w:marTop w:val="0"/>
      <w:marBottom w:val="0"/>
      <w:divBdr>
        <w:top w:val="none" w:sz="0" w:space="0" w:color="auto"/>
        <w:left w:val="none" w:sz="0" w:space="0" w:color="auto"/>
        <w:bottom w:val="none" w:sz="0" w:space="0" w:color="auto"/>
        <w:right w:val="none" w:sz="0" w:space="0" w:color="auto"/>
      </w:divBdr>
    </w:div>
    <w:div w:id="1154490986">
      <w:bodyDiv w:val="1"/>
      <w:marLeft w:val="0"/>
      <w:marRight w:val="0"/>
      <w:marTop w:val="0"/>
      <w:marBottom w:val="0"/>
      <w:divBdr>
        <w:top w:val="none" w:sz="0" w:space="0" w:color="auto"/>
        <w:left w:val="none" w:sz="0" w:space="0" w:color="auto"/>
        <w:bottom w:val="none" w:sz="0" w:space="0" w:color="auto"/>
        <w:right w:val="none" w:sz="0" w:space="0" w:color="auto"/>
      </w:divBdr>
    </w:div>
    <w:div w:id="1192382719">
      <w:bodyDiv w:val="1"/>
      <w:marLeft w:val="0"/>
      <w:marRight w:val="0"/>
      <w:marTop w:val="0"/>
      <w:marBottom w:val="0"/>
      <w:divBdr>
        <w:top w:val="none" w:sz="0" w:space="0" w:color="auto"/>
        <w:left w:val="none" w:sz="0" w:space="0" w:color="auto"/>
        <w:bottom w:val="none" w:sz="0" w:space="0" w:color="auto"/>
        <w:right w:val="none" w:sz="0" w:space="0" w:color="auto"/>
      </w:divBdr>
    </w:div>
    <w:div w:id="1195584403">
      <w:bodyDiv w:val="1"/>
      <w:marLeft w:val="0"/>
      <w:marRight w:val="0"/>
      <w:marTop w:val="0"/>
      <w:marBottom w:val="0"/>
      <w:divBdr>
        <w:top w:val="none" w:sz="0" w:space="0" w:color="auto"/>
        <w:left w:val="none" w:sz="0" w:space="0" w:color="auto"/>
        <w:bottom w:val="none" w:sz="0" w:space="0" w:color="auto"/>
        <w:right w:val="none" w:sz="0" w:space="0" w:color="auto"/>
      </w:divBdr>
    </w:div>
    <w:div w:id="1288203519">
      <w:bodyDiv w:val="1"/>
      <w:marLeft w:val="0"/>
      <w:marRight w:val="0"/>
      <w:marTop w:val="0"/>
      <w:marBottom w:val="0"/>
      <w:divBdr>
        <w:top w:val="none" w:sz="0" w:space="0" w:color="auto"/>
        <w:left w:val="none" w:sz="0" w:space="0" w:color="auto"/>
        <w:bottom w:val="none" w:sz="0" w:space="0" w:color="auto"/>
        <w:right w:val="none" w:sz="0" w:space="0" w:color="auto"/>
      </w:divBdr>
      <w:divsChild>
        <w:div w:id="447625022">
          <w:marLeft w:val="0"/>
          <w:marRight w:val="0"/>
          <w:marTop w:val="0"/>
          <w:marBottom w:val="0"/>
          <w:divBdr>
            <w:top w:val="none" w:sz="0" w:space="0" w:color="auto"/>
            <w:left w:val="none" w:sz="0" w:space="0" w:color="auto"/>
            <w:bottom w:val="none" w:sz="0" w:space="0" w:color="auto"/>
            <w:right w:val="none" w:sz="0" w:space="0" w:color="auto"/>
          </w:divBdr>
          <w:divsChild>
            <w:div w:id="1862665517">
              <w:marLeft w:val="0"/>
              <w:marRight w:val="0"/>
              <w:marTop w:val="0"/>
              <w:marBottom w:val="0"/>
              <w:divBdr>
                <w:top w:val="none" w:sz="0" w:space="0" w:color="auto"/>
                <w:left w:val="none" w:sz="0" w:space="0" w:color="auto"/>
                <w:bottom w:val="none" w:sz="0" w:space="0" w:color="auto"/>
                <w:right w:val="none" w:sz="0" w:space="0" w:color="auto"/>
              </w:divBdr>
              <w:divsChild>
                <w:div w:id="20238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0289">
      <w:bodyDiv w:val="1"/>
      <w:marLeft w:val="0"/>
      <w:marRight w:val="0"/>
      <w:marTop w:val="0"/>
      <w:marBottom w:val="0"/>
      <w:divBdr>
        <w:top w:val="none" w:sz="0" w:space="0" w:color="auto"/>
        <w:left w:val="none" w:sz="0" w:space="0" w:color="auto"/>
        <w:bottom w:val="none" w:sz="0" w:space="0" w:color="auto"/>
        <w:right w:val="none" w:sz="0" w:space="0" w:color="auto"/>
      </w:divBdr>
    </w:div>
    <w:div w:id="1419864493">
      <w:bodyDiv w:val="1"/>
      <w:marLeft w:val="0"/>
      <w:marRight w:val="0"/>
      <w:marTop w:val="0"/>
      <w:marBottom w:val="0"/>
      <w:divBdr>
        <w:top w:val="none" w:sz="0" w:space="0" w:color="auto"/>
        <w:left w:val="none" w:sz="0" w:space="0" w:color="auto"/>
        <w:bottom w:val="none" w:sz="0" w:space="0" w:color="auto"/>
        <w:right w:val="none" w:sz="0" w:space="0" w:color="auto"/>
      </w:divBdr>
    </w:div>
    <w:div w:id="1466580987">
      <w:bodyDiv w:val="1"/>
      <w:marLeft w:val="0"/>
      <w:marRight w:val="0"/>
      <w:marTop w:val="0"/>
      <w:marBottom w:val="0"/>
      <w:divBdr>
        <w:top w:val="none" w:sz="0" w:space="0" w:color="auto"/>
        <w:left w:val="none" w:sz="0" w:space="0" w:color="auto"/>
        <w:bottom w:val="none" w:sz="0" w:space="0" w:color="auto"/>
        <w:right w:val="none" w:sz="0" w:space="0" w:color="auto"/>
      </w:divBdr>
      <w:divsChild>
        <w:div w:id="1333024539">
          <w:marLeft w:val="0"/>
          <w:marRight w:val="0"/>
          <w:marTop w:val="0"/>
          <w:marBottom w:val="0"/>
          <w:divBdr>
            <w:top w:val="none" w:sz="0" w:space="0" w:color="auto"/>
            <w:left w:val="none" w:sz="0" w:space="0" w:color="auto"/>
            <w:bottom w:val="none" w:sz="0" w:space="0" w:color="auto"/>
            <w:right w:val="none" w:sz="0" w:space="0" w:color="auto"/>
          </w:divBdr>
          <w:divsChild>
            <w:div w:id="657807191">
              <w:marLeft w:val="0"/>
              <w:marRight w:val="0"/>
              <w:marTop w:val="0"/>
              <w:marBottom w:val="0"/>
              <w:divBdr>
                <w:top w:val="none" w:sz="0" w:space="0" w:color="auto"/>
                <w:left w:val="none" w:sz="0" w:space="0" w:color="auto"/>
                <w:bottom w:val="none" w:sz="0" w:space="0" w:color="auto"/>
                <w:right w:val="none" w:sz="0" w:space="0" w:color="auto"/>
              </w:divBdr>
              <w:divsChild>
                <w:div w:id="11076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84263">
      <w:bodyDiv w:val="1"/>
      <w:marLeft w:val="0"/>
      <w:marRight w:val="0"/>
      <w:marTop w:val="0"/>
      <w:marBottom w:val="0"/>
      <w:divBdr>
        <w:top w:val="none" w:sz="0" w:space="0" w:color="auto"/>
        <w:left w:val="none" w:sz="0" w:space="0" w:color="auto"/>
        <w:bottom w:val="none" w:sz="0" w:space="0" w:color="auto"/>
        <w:right w:val="none" w:sz="0" w:space="0" w:color="auto"/>
      </w:divBdr>
    </w:div>
    <w:div w:id="1513105609">
      <w:bodyDiv w:val="1"/>
      <w:marLeft w:val="0"/>
      <w:marRight w:val="0"/>
      <w:marTop w:val="0"/>
      <w:marBottom w:val="0"/>
      <w:divBdr>
        <w:top w:val="none" w:sz="0" w:space="0" w:color="auto"/>
        <w:left w:val="none" w:sz="0" w:space="0" w:color="auto"/>
        <w:bottom w:val="none" w:sz="0" w:space="0" w:color="auto"/>
        <w:right w:val="none" w:sz="0" w:space="0" w:color="auto"/>
      </w:divBdr>
    </w:div>
    <w:div w:id="1518957003">
      <w:bodyDiv w:val="1"/>
      <w:marLeft w:val="0"/>
      <w:marRight w:val="0"/>
      <w:marTop w:val="0"/>
      <w:marBottom w:val="0"/>
      <w:divBdr>
        <w:top w:val="none" w:sz="0" w:space="0" w:color="auto"/>
        <w:left w:val="none" w:sz="0" w:space="0" w:color="auto"/>
        <w:bottom w:val="none" w:sz="0" w:space="0" w:color="auto"/>
        <w:right w:val="none" w:sz="0" w:space="0" w:color="auto"/>
      </w:divBdr>
    </w:div>
    <w:div w:id="1622177858">
      <w:bodyDiv w:val="1"/>
      <w:marLeft w:val="0"/>
      <w:marRight w:val="0"/>
      <w:marTop w:val="0"/>
      <w:marBottom w:val="0"/>
      <w:divBdr>
        <w:top w:val="none" w:sz="0" w:space="0" w:color="auto"/>
        <w:left w:val="none" w:sz="0" w:space="0" w:color="auto"/>
        <w:bottom w:val="none" w:sz="0" w:space="0" w:color="auto"/>
        <w:right w:val="none" w:sz="0" w:space="0" w:color="auto"/>
      </w:divBdr>
    </w:div>
    <w:div w:id="1624848216">
      <w:bodyDiv w:val="1"/>
      <w:marLeft w:val="0"/>
      <w:marRight w:val="0"/>
      <w:marTop w:val="0"/>
      <w:marBottom w:val="0"/>
      <w:divBdr>
        <w:top w:val="none" w:sz="0" w:space="0" w:color="auto"/>
        <w:left w:val="none" w:sz="0" w:space="0" w:color="auto"/>
        <w:bottom w:val="none" w:sz="0" w:space="0" w:color="auto"/>
        <w:right w:val="none" w:sz="0" w:space="0" w:color="auto"/>
      </w:divBdr>
    </w:div>
    <w:div w:id="1636450753">
      <w:bodyDiv w:val="1"/>
      <w:marLeft w:val="0"/>
      <w:marRight w:val="0"/>
      <w:marTop w:val="0"/>
      <w:marBottom w:val="0"/>
      <w:divBdr>
        <w:top w:val="none" w:sz="0" w:space="0" w:color="auto"/>
        <w:left w:val="none" w:sz="0" w:space="0" w:color="auto"/>
        <w:bottom w:val="none" w:sz="0" w:space="0" w:color="auto"/>
        <w:right w:val="none" w:sz="0" w:space="0" w:color="auto"/>
      </w:divBdr>
      <w:divsChild>
        <w:div w:id="1693804260">
          <w:marLeft w:val="0"/>
          <w:marRight w:val="0"/>
          <w:marTop w:val="0"/>
          <w:marBottom w:val="0"/>
          <w:divBdr>
            <w:top w:val="none" w:sz="0" w:space="0" w:color="auto"/>
            <w:left w:val="none" w:sz="0" w:space="0" w:color="auto"/>
            <w:bottom w:val="none" w:sz="0" w:space="0" w:color="auto"/>
            <w:right w:val="none" w:sz="0" w:space="0" w:color="auto"/>
          </w:divBdr>
          <w:divsChild>
            <w:div w:id="1816138025">
              <w:marLeft w:val="0"/>
              <w:marRight w:val="0"/>
              <w:marTop w:val="0"/>
              <w:marBottom w:val="0"/>
              <w:divBdr>
                <w:top w:val="none" w:sz="0" w:space="0" w:color="auto"/>
                <w:left w:val="none" w:sz="0" w:space="0" w:color="auto"/>
                <w:bottom w:val="none" w:sz="0" w:space="0" w:color="auto"/>
                <w:right w:val="none" w:sz="0" w:space="0" w:color="auto"/>
              </w:divBdr>
              <w:divsChild>
                <w:div w:id="2353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75913">
      <w:bodyDiv w:val="1"/>
      <w:marLeft w:val="0"/>
      <w:marRight w:val="0"/>
      <w:marTop w:val="0"/>
      <w:marBottom w:val="0"/>
      <w:divBdr>
        <w:top w:val="none" w:sz="0" w:space="0" w:color="auto"/>
        <w:left w:val="none" w:sz="0" w:space="0" w:color="auto"/>
        <w:bottom w:val="none" w:sz="0" w:space="0" w:color="auto"/>
        <w:right w:val="none" w:sz="0" w:space="0" w:color="auto"/>
      </w:divBdr>
    </w:div>
    <w:div w:id="1805151543">
      <w:bodyDiv w:val="1"/>
      <w:marLeft w:val="0"/>
      <w:marRight w:val="0"/>
      <w:marTop w:val="0"/>
      <w:marBottom w:val="0"/>
      <w:divBdr>
        <w:top w:val="none" w:sz="0" w:space="0" w:color="auto"/>
        <w:left w:val="none" w:sz="0" w:space="0" w:color="auto"/>
        <w:bottom w:val="none" w:sz="0" w:space="0" w:color="auto"/>
        <w:right w:val="none" w:sz="0" w:space="0" w:color="auto"/>
      </w:divBdr>
    </w:div>
    <w:div w:id="1866597631">
      <w:bodyDiv w:val="1"/>
      <w:marLeft w:val="0"/>
      <w:marRight w:val="0"/>
      <w:marTop w:val="0"/>
      <w:marBottom w:val="0"/>
      <w:divBdr>
        <w:top w:val="none" w:sz="0" w:space="0" w:color="auto"/>
        <w:left w:val="none" w:sz="0" w:space="0" w:color="auto"/>
        <w:bottom w:val="none" w:sz="0" w:space="0" w:color="auto"/>
        <w:right w:val="none" w:sz="0" w:space="0" w:color="auto"/>
      </w:divBdr>
    </w:div>
    <w:div w:id="1886257954">
      <w:bodyDiv w:val="1"/>
      <w:marLeft w:val="0"/>
      <w:marRight w:val="0"/>
      <w:marTop w:val="0"/>
      <w:marBottom w:val="0"/>
      <w:divBdr>
        <w:top w:val="none" w:sz="0" w:space="0" w:color="auto"/>
        <w:left w:val="none" w:sz="0" w:space="0" w:color="auto"/>
        <w:bottom w:val="none" w:sz="0" w:space="0" w:color="auto"/>
        <w:right w:val="none" w:sz="0" w:space="0" w:color="auto"/>
      </w:divBdr>
    </w:div>
    <w:div w:id="1939370389">
      <w:bodyDiv w:val="1"/>
      <w:marLeft w:val="0"/>
      <w:marRight w:val="0"/>
      <w:marTop w:val="0"/>
      <w:marBottom w:val="0"/>
      <w:divBdr>
        <w:top w:val="none" w:sz="0" w:space="0" w:color="auto"/>
        <w:left w:val="none" w:sz="0" w:space="0" w:color="auto"/>
        <w:bottom w:val="none" w:sz="0" w:space="0" w:color="auto"/>
        <w:right w:val="none" w:sz="0" w:space="0" w:color="auto"/>
      </w:divBdr>
      <w:divsChild>
        <w:div w:id="520431428">
          <w:marLeft w:val="0"/>
          <w:marRight w:val="0"/>
          <w:marTop w:val="0"/>
          <w:marBottom w:val="0"/>
          <w:divBdr>
            <w:top w:val="none" w:sz="0" w:space="0" w:color="auto"/>
            <w:left w:val="none" w:sz="0" w:space="0" w:color="auto"/>
            <w:bottom w:val="none" w:sz="0" w:space="0" w:color="auto"/>
            <w:right w:val="none" w:sz="0" w:space="0" w:color="auto"/>
          </w:divBdr>
          <w:divsChild>
            <w:div w:id="1746873228">
              <w:marLeft w:val="0"/>
              <w:marRight w:val="0"/>
              <w:marTop w:val="0"/>
              <w:marBottom w:val="0"/>
              <w:divBdr>
                <w:top w:val="none" w:sz="0" w:space="0" w:color="auto"/>
                <w:left w:val="none" w:sz="0" w:space="0" w:color="auto"/>
                <w:bottom w:val="none" w:sz="0" w:space="0" w:color="auto"/>
                <w:right w:val="none" w:sz="0" w:space="0" w:color="auto"/>
              </w:divBdr>
              <w:divsChild>
                <w:div w:id="13761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4333">
      <w:bodyDiv w:val="1"/>
      <w:marLeft w:val="0"/>
      <w:marRight w:val="0"/>
      <w:marTop w:val="0"/>
      <w:marBottom w:val="0"/>
      <w:divBdr>
        <w:top w:val="none" w:sz="0" w:space="0" w:color="auto"/>
        <w:left w:val="none" w:sz="0" w:space="0" w:color="auto"/>
        <w:bottom w:val="none" w:sz="0" w:space="0" w:color="auto"/>
        <w:right w:val="none" w:sz="0" w:space="0" w:color="auto"/>
      </w:divBdr>
    </w:div>
    <w:div w:id="211277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lii.org/cgi-bin/LawCite?cit=1991%20%282%29%20SA%2021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flii.org/cgi-bin/LawCite?cit=2012%20%283%29%20SA%20486" TargetMode="External"/><Relationship Id="rId4" Type="http://schemas.openxmlformats.org/officeDocument/2006/relationships/webSettings" Target="webSettings.xml"/><Relationship Id="rId9" Type="http://schemas.openxmlformats.org/officeDocument/2006/relationships/hyperlink" Target="http://www.saflii.org/cgi-bin/LawCite?cit=%5b2012%5d%20ZASCA%201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2008%20%284%29%20SA%203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6159</Words>
  <Characters>35107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Mokone</cp:lastModifiedBy>
  <cp:revision>3</cp:revision>
  <cp:lastPrinted>2023-04-25T10:19:00Z</cp:lastPrinted>
  <dcterms:created xsi:type="dcterms:W3CDTF">2023-05-29T11:34:00Z</dcterms:created>
  <dcterms:modified xsi:type="dcterms:W3CDTF">2023-05-29T11:34:00Z</dcterms:modified>
</cp:coreProperties>
</file>