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5ECA1" w14:textId="734CA52C" w:rsidR="00D84B5D" w:rsidRDefault="00D84B5D" w:rsidP="00D84B5D">
      <w:pPr>
        <w:pStyle w:val="LegalTitle"/>
        <w:spacing w:after="120" w:line="360" w:lineRule="auto"/>
        <w:jc w:val="both"/>
        <w:rPr>
          <w:u w:val="single"/>
        </w:rPr>
      </w:pPr>
      <w:r>
        <w:rPr>
          <w:noProof/>
          <w:u w:val="single"/>
        </w:rPr>
        <w:drawing>
          <wp:inline distT="0" distB="0" distL="0" distR="0" wp14:anchorId="3819A3B3" wp14:editId="4AA9E896">
            <wp:extent cx="4284980" cy="467995"/>
            <wp:effectExtent l="0" t="0" r="1270" b="8255"/>
            <wp:docPr id="18312380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4980" cy="467995"/>
                    </a:xfrm>
                    <a:prstGeom prst="rect">
                      <a:avLst/>
                    </a:prstGeom>
                    <a:noFill/>
                    <a:ln>
                      <a:noFill/>
                    </a:ln>
                  </pic:spPr>
                </pic:pic>
              </a:graphicData>
            </a:graphic>
          </wp:inline>
        </w:drawing>
      </w:r>
    </w:p>
    <w:p w14:paraId="6D2AD4D4" w14:textId="1C0C1FAD" w:rsidR="004466A8" w:rsidRPr="00B013F2" w:rsidRDefault="004466A8" w:rsidP="004466A8">
      <w:pPr>
        <w:pStyle w:val="LegalTitle"/>
        <w:spacing w:after="120" w:line="360" w:lineRule="auto"/>
        <w:rPr>
          <w:u w:val="single"/>
        </w:rPr>
      </w:pPr>
      <w:r w:rsidRPr="00B013F2">
        <w:rPr>
          <w:noProof/>
          <w:lang w:eastAsia="en-ZA"/>
        </w:rPr>
        <w:drawing>
          <wp:inline distT="0" distB="0" distL="0" distR="0" wp14:anchorId="676F0DD3" wp14:editId="2A7243C7">
            <wp:extent cx="1536065" cy="153606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1F33B298" w14:textId="77777777" w:rsidR="004466A8" w:rsidRPr="00B013F2" w:rsidRDefault="004466A8" w:rsidP="004466A8">
      <w:pPr>
        <w:pStyle w:val="LegalTitle"/>
        <w:spacing w:after="240" w:line="360" w:lineRule="auto"/>
        <w:rPr>
          <w:rFonts w:cs="Arial"/>
          <w:u w:val="single"/>
        </w:rPr>
      </w:pPr>
      <w:r w:rsidRPr="00B013F2">
        <w:rPr>
          <w:rFonts w:cs="Arial"/>
          <w:u w:val="single"/>
        </w:rPr>
        <w:t>IN THE HIGH COURT OF SOUTH AFRICA</w:t>
      </w:r>
    </w:p>
    <w:p w14:paraId="40792349" w14:textId="6E52E9CE" w:rsidR="00034996" w:rsidRPr="00B013F2" w:rsidRDefault="004466A8" w:rsidP="00034996">
      <w:pPr>
        <w:pStyle w:val="LegalTitle"/>
        <w:spacing w:line="360" w:lineRule="auto"/>
        <w:rPr>
          <w:rFonts w:cs="Arial"/>
          <w:u w:val="single"/>
        </w:rPr>
      </w:pPr>
      <w:r w:rsidRPr="00B013F2">
        <w:rPr>
          <w:rFonts w:cs="Arial"/>
          <w:u w:val="single"/>
        </w:rPr>
        <w:t xml:space="preserve">GAUTENG DIVISION, </w:t>
      </w:r>
      <w:r w:rsidR="000B2477" w:rsidRPr="00B013F2">
        <w:rPr>
          <w:rFonts w:cs="Arial"/>
          <w:u w:val="single"/>
        </w:rPr>
        <w:t>PR</w:t>
      </w:r>
      <w:r w:rsidR="00E200FC" w:rsidRPr="00B013F2">
        <w:rPr>
          <w:rFonts w:cs="Arial"/>
          <w:u w:val="single"/>
        </w:rPr>
        <w:t>E</w:t>
      </w:r>
      <w:r w:rsidR="000B2477" w:rsidRPr="00B013F2">
        <w:rPr>
          <w:rFonts w:cs="Arial"/>
          <w:u w:val="single"/>
        </w:rPr>
        <w:t>TORIA</w:t>
      </w:r>
    </w:p>
    <w:p w14:paraId="1192C484" w14:textId="4BC93741" w:rsidR="00310AC5" w:rsidRPr="00730D85" w:rsidRDefault="00730D85" w:rsidP="00310AC5">
      <w:pPr>
        <w:pStyle w:val="LegalNormal"/>
        <w:rPr>
          <w:rFonts w:ascii="Times New Roman" w:hAnsi="Times New Roman"/>
          <w:sz w:val="28"/>
          <w:szCs w:val="28"/>
        </w:rPr>
      </w:pPr>
      <w:r w:rsidRPr="00B013F2">
        <w:rPr>
          <w:rFonts w:eastAsiaTheme="minorEastAsia" w:cs="Arial"/>
          <w:noProof/>
          <w:lang w:eastAsia="en-ZA"/>
        </w:rPr>
        <mc:AlternateContent>
          <mc:Choice Requires="wps">
            <w:drawing>
              <wp:anchor distT="0" distB="0" distL="114300" distR="114300" simplePos="0" relativeHeight="251659264" behindDoc="0" locked="0" layoutInCell="1" allowOverlap="1" wp14:anchorId="7C9EE0E3" wp14:editId="025F74AC">
                <wp:simplePos x="0" y="0"/>
                <wp:positionH relativeFrom="margin">
                  <wp:posOffset>-196850</wp:posOffset>
                </wp:positionH>
                <wp:positionV relativeFrom="paragraph">
                  <wp:posOffset>345440</wp:posOffset>
                </wp:positionV>
                <wp:extent cx="3829050" cy="1663700"/>
                <wp:effectExtent l="0" t="0" r="190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663700"/>
                        </a:xfrm>
                        <a:prstGeom prst="rect">
                          <a:avLst/>
                        </a:prstGeom>
                        <a:solidFill>
                          <a:srgbClr val="FFFFFF"/>
                        </a:solidFill>
                        <a:ln w="9525">
                          <a:solidFill>
                            <a:srgbClr val="000000"/>
                          </a:solidFill>
                          <a:miter lim="800000"/>
                          <a:headEnd/>
                          <a:tailEnd/>
                        </a:ln>
                      </wps:spPr>
                      <wps:txbx>
                        <w:txbxContent>
                          <w:p w14:paraId="0365E8EC" w14:textId="77777777" w:rsidR="00B621CF" w:rsidRPr="00B013F2" w:rsidRDefault="00B621CF" w:rsidP="004466A8">
                            <w:pPr>
                              <w:rPr>
                                <w:rFonts w:ascii="Century Gothic" w:hAnsi="Century Gothic" w:cs="Arial"/>
                                <w:b/>
                                <w:sz w:val="20"/>
                                <w:szCs w:val="20"/>
                              </w:rPr>
                            </w:pPr>
                            <w:r w:rsidRPr="00B013F2">
                              <w:rPr>
                                <w:rFonts w:ascii="Century Gothic" w:hAnsi="Century Gothic" w:cs="Arial"/>
                                <w:b/>
                                <w:sz w:val="20"/>
                                <w:szCs w:val="20"/>
                              </w:rPr>
                              <w:t>DELETE WHICHEVER IS NOT APPLICABLE</w:t>
                            </w:r>
                          </w:p>
                          <w:p w14:paraId="77A557EF" w14:textId="54798CD9" w:rsidR="00B621CF" w:rsidRPr="00B013F2" w:rsidRDefault="00B42B70" w:rsidP="00B42B70">
                            <w:pPr>
                              <w:tabs>
                                <w:tab w:val="left" w:pos="720"/>
                              </w:tabs>
                              <w:ind w:left="720" w:hanging="720"/>
                              <w:rPr>
                                <w:rFonts w:ascii="Century Gothic" w:hAnsi="Century Gothic"/>
                                <w:sz w:val="20"/>
                                <w:szCs w:val="20"/>
                              </w:rPr>
                            </w:pPr>
                            <w:r w:rsidRPr="00B013F2">
                              <w:rPr>
                                <w:rFonts w:ascii="Century Gothic" w:hAnsi="Century Gothic"/>
                                <w:sz w:val="20"/>
                                <w:szCs w:val="20"/>
                              </w:rPr>
                              <w:t>(1)</w:t>
                            </w:r>
                            <w:r w:rsidRPr="00B013F2">
                              <w:rPr>
                                <w:rFonts w:ascii="Century Gothic" w:hAnsi="Century Gothic"/>
                                <w:sz w:val="20"/>
                                <w:szCs w:val="20"/>
                              </w:rPr>
                              <w:tab/>
                            </w:r>
                            <w:r w:rsidR="00B621CF" w:rsidRPr="00B013F2">
                              <w:rPr>
                                <w:rFonts w:ascii="Century Gothic" w:hAnsi="Century Gothic"/>
                                <w:sz w:val="20"/>
                                <w:szCs w:val="20"/>
                              </w:rPr>
                              <w:t xml:space="preserve">REPORTABLE: </w:t>
                            </w:r>
                            <w:r w:rsidR="00B621CF" w:rsidRPr="00B013F2">
                              <w:rPr>
                                <w:rFonts w:ascii="Century Gothic" w:hAnsi="Century Gothic"/>
                                <w:b/>
                                <w:i/>
                                <w:sz w:val="20"/>
                                <w:szCs w:val="20"/>
                              </w:rPr>
                              <w:t>NO</w:t>
                            </w:r>
                          </w:p>
                          <w:p w14:paraId="1D2B607D" w14:textId="09C13777" w:rsidR="00B621CF" w:rsidRPr="00B013F2" w:rsidRDefault="00B42B70" w:rsidP="00B42B70">
                            <w:pPr>
                              <w:tabs>
                                <w:tab w:val="left" w:pos="720"/>
                              </w:tabs>
                              <w:ind w:left="720" w:hanging="720"/>
                              <w:rPr>
                                <w:rFonts w:ascii="Century Gothic" w:hAnsi="Century Gothic"/>
                                <w:sz w:val="20"/>
                                <w:szCs w:val="20"/>
                              </w:rPr>
                            </w:pPr>
                            <w:r w:rsidRPr="00B013F2">
                              <w:rPr>
                                <w:rFonts w:ascii="Century Gothic" w:hAnsi="Century Gothic"/>
                                <w:sz w:val="20"/>
                                <w:szCs w:val="20"/>
                              </w:rPr>
                              <w:t>(2)</w:t>
                            </w:r>
                            <w:r w:rsidRPr="00B013F2">
                              <w:rPr>
                                <w:rFonts w:ascii="Century Gothic" w:hAnsi="Century Gothic"/>
                                <w:sz w:val="20"/>
                                <w:szCs w:val="20"/>
                              </w:rPr>
                              <w:tab/>
                            </w:r>
                            <w:r w:rsidR="00B621CF" w:rsidRPr="00B013F2">
                              <w:rPr>
                                <w:rFonts w:ascii="Century Gothic" w:hAnsi="Century Gothic"/>
                                <w:sz w:val="20"/>
                                <w:szCs w:val="20"/>
                              </w:rPr>
                              <w:t xml:space="preserve">OF INTEREST TO OTHER JUDGES: </w:t>
                            </w:r>
                            <w:r w:rsidR="00B621CF" w:rsidRPr="00B013F2">
                              <w:rPr>
                                <w:rFonts w:ascii="Century Gothic" w:hAnsi="Century Gothic"/>
                                <w:b/>
                                <w:i/>
                                <w:sz w:val="20"/>
                                <w:szCs w:val="20"/>
                              </w:rPr>
                              <w:t>NO</w:t>
                            </w:r>
                          </w:p>
                          <w:p w14:paraId="24216E35" w14:textId="380743CF" w:rsidR="00B621CF" w:rsidRPr="00730D85" w:rsidRDefault="00B42B70" w:rsidP="00B42B70">
                            <w:pPr>
                              <w:tabs>
                                <w:tab w:val="left" w:pos="720"/>
                              </w:tabs>
                              <w:ind w:left="720" w:hanging="720"/>
                              <w:rPr>
                                <w:rFonts w:ascii="Century Gothic" w:hAnsi="Century Gothic"/>
                                <w:b/>
                                <w:sz w:val="20"/>
                                <w:szCs w:val="20"/>
                              </w:rPr>
                            </w:pPr>
                            <w:r w:rsidRPr="00730D85">
                              <w:rPr>
                                <w:rFonts w:ascii="Century Gothic" w:hAnsi="Century Gothic"/>
                                <w:sz w:val="20"/>
                                <w:szCs w:val="20"/>
                              </w:rPr>
                              <w:t>(3)</w:t>
                            </w:r>
                            <w:r w:rsidRPr="00730D85">
                              <w:rPr>
                                <w:rFonts w:ascii="Century Gothic" w:hAnsi="Century Gothic"/>
                                <w:sz w:val="20"/>
                                <w:szCs w:val="20"/>
                              </w:rPr>
                              <w:tab/>
                            </w:r>
                            <w:r w:rsidR="00B621CF" w:rsidRPr="00B013F2">
                              <w:rPr>
                                <w:rFonts w:ascii="Century Gothic" w:hAnsi="Century Gothic"/>
                                <w:sz w:val="20"/>
                                <w:szCs w:val="20"/>
                              </w:rPr>
                              <w:t>REVISED:</w:t>
                            </w:r>
                            <w:r w:rsidR="00B621CF" w:rsidRPr="00730D85">
                              <w:rPr>
                                <w:rFonts w:ascii="Century Gothic" w:hAnsi="Century Gothic"/>
                                <w:b/>
                                <w:i/>
                                <w:sz w:val="20"/>
                                <w:szCs w:val="20"/>
                              </w:rPr>
                              <w:t xml:space="preserve"> </w:t>
                            </w:r>
                            <w:r w:rsidR="00980835" w:rsidRPr="00730D85">
                              <w:rPr>
                                <w:rFonts w:ascii="Century Gothic" w:hAnsi="Century Gothic"/>
                                <w:b/>
                                <w:bCs/>
                                <w:i/>
                                <w:sz w:val="20"/>
                                <w:szCs w:val="20"/>
                              </w:rPr>
                              <w:t>NO</w:t>
                            </w:r>
                          </w:p>
                          <w:p w14:paraId="40095D73" w14:textId="77777777" w:rsidR="00730D85" w:rsidRPr="00B013F2" w:rsidRDefault="00730D85" w:rsidP="00730D85">
                            <w:pPr>
                              <w:ind w:left="900"/>
                              <w:rPr>
                                <w:rFonts w:ascii="Century Gothic" w:hAnsi="Century Gothic"/>
                                <w:sz w:val="20"/>
                                <w:szCs w:val="20"/>
                              </w:rPr>
                            </w:pPr>
                          </w:p>
                          <w:p w14:paraId="248EFA67" w14:textId="73DC4677" w:rsidR="00B621CF" w:rsidRPr="00B013F2" w:rsidRDefault="00B621CF" w:rsidP="004466A8">
                            <w:pPr>
                              <w:rPr>
                                <w:rFonts w:ascii="Century Gothic" w:hAnsi="Century Gothic"/>
                                <w:sz w:val="22"/>
                                <w:szCs w:val="22"/>
                              </w:rPr>
                            </w:pPr>
                            <w:r w:rsidRPr="00B013F2">
                              <w:rPr>
                                <w:rFonts w:ascii="Century Gothic" w:hAnsi="Century Gothic"/>
                                <w:sz w:val="22"/>
                                <w:szCs w:val="22"/>
                              </w:rPr>
                              <w:t>Date</w:t>
                            </w:r>
                            <w:r w:rsidRPr="00874CE0">
                              <w:rPr>
                                <w:rFonts w:ascii="Century Gothic" w:hAnsi="Century Gothic"/>
                                <w:sz w:val="22"/>
                                <w:szCs w:val="22"/>
                              </w:rPr>
                              <w:t>:</w:t>
                            </w:r>
                            <w:r w:rsidRPr="00874CE0">
                              <w:rPr>
                                <w:rFonts w:ascii="Century Gothic" w:hAnsi="Century Gothic"/>
                                <w:sz w:val="22"/>
                                <w:szCs w:val="22"/>
                                <w:u w:val="single"/>
                              </w:rPr>
                              <w:t xml:space="preserve"> </w:t>
                            </w:r>
                            <w:r w:rsidR="00730D85" w:rsidRPr="00874CE0">
                              <w:rPr>
                                <w:rFonts w:ascii="Century Gothic" w:hAnsi="Century Gothic"/>
                                <w:b/>
                                <w:i/>
                                <w:sz w:val="22"/>
                                <w:szCs w:val="22"/>
                                <w:u w:val="single"/>
                              </w:rPr>
                              <w:t>06 March</w:t>
                            </w:r>
                            <w:r w:rsidR="00FA6668" w:rsidRPr="00874CE0">
                              <w:rPr>
                                <w:rFonts w:ascii="Century Gothic" w:hAnsi="Century Gothic"/>
                                <w:b/>
                                <w:i/>
                                <w:sz w:val="22"/>
                                <w:szCs w:val="22"/>
                                <w:u w:val="single"/>
                              </w:rPr>
                              <w:t xml:space="preserve"> </w:t>
                            </w:r>
                            <w:r w:rsidRPr="00874CE0">
                              <w:rPr>
                                <w:rFonts w:ascii="Century Gothic" w:hAnsi="Century Gothic"/>
                                <w:b/>
                                <w:i/>
                                <w:sz w:val="22"/>
                                <w:szCs w:val="22"/>
                                <w:u w:val="single"/>
                              </w:rPr>
                              <w:t>20</w:t>
                            </w:r>
                            <w:r w:rsidR="00F663D1" w:rsidRPr="00874CE0">
                              <w:rPr>
                                <w:rFonts w:ascii="Century Gothic" w:hAnsi="Century Gothic"/>
                                <w:b/>
                                <w:i/>
                                <w:sz w:val="22"/>
                                <w:szCs w:val="22"/>
                                <w:u w:val="single"/>
                              </w:rPr>
                              <w:t>2</w:t>
                            </w:r>
                            <w:r w:rsidR="00622405" w:rsidRPr="00874CE0">
                              <w:rPr>
                                <w:rFonts w:ascii="Century Gothic" w:hAnsi="Century Gothic"/>
                                <w:b/>
                                <w:i/>
                                <w:sz w:val="22"/>
                                <w:szCs w:val="22"/>
                                <w:u w:val="single"/>
                              </w:rPr>
                              <w:t>4</w:t>
                            </w:r>
                            <w:r w:rsidRPr="00B013F2">
                              <w:rPr>
                                <w:rFonts w:ascii="Century Gothic" w:hAnsi="Century Gothic"/>
                                <w:sz w:val="22"/>
                                <w:szCs w:val="22"/>
                              </w:rPr>
                              <w:t xml:space="preserve"> </w:t>
                            </w:r>
                            <w:r w:rsidR="00730D85">
                              <w:rPr>
                                <w:rFonts w:ascii="Century Gothic" w:hAnsi="Century Gothic"/>
                                <w:sz w:val="22"/>
                                <w:szCs w:val="22"/>
                              </w:rPr>
                              <w:t xml:space="preserve"> </w:t>
                            </w:r>
                            <w:r w:rsidR="00874CE0">
                              <w:rPr>
                                <w:rFonts w:ascii="Century Gothic" w:hAnsi="Century Gothic"/>
                                <w:sz w:val="22"/>
                                <w:szCs w:val="22"/>
                              </w:rPr>
                              <w:t xml:space="preserve"> </w:t>
                            </w:r>
                            <w:r w:rsidR="00995C9F" w:rsidRPr="00B013F2">
                              <w:rPr>
                                <w:rFonts w:ascii="Century Gothic" w:hAnsi="Century Gothic"/>
                                <w:sz w:val="22"/>
                                <w:szCs w:val="22"/>
                              </w:rPr>
                              <w:t>Signature: _</w:t>
                            </w:r>
                            <w:r w:rsidRPr="00B013F2">
                              <w:rPr>
                                <w:rFonts w:ascii="Century Gothic" w:hAnsi="Century Gothic"/>
                                <w:sz w:val="22"/>
                                <w:szCs w:val="22"/>
                              </w:rPr>
                              <w:t>________________</w:t>
                            </w:r>
                          </w:p>
                          <w:p w14:paraId="1AFCECFB" w14:textId="77777777" w:rsidR="00B621CF" w:rsidRPr="00B013F2" w:rsidRDefault="00B621CF" w:rsidP="004466A8">
                            <w:pPr>
                              <w:rPr>
                                <w:rFonts w:ascii="Century Gothic" w:hAnsi="Century Gothic"/>
                                <w:sz w:val="28"/>
                                <w:szCs w:val="28"/>
                              </w:rPr>
                            </w:pPr>
                          </w:p>
                          <w:p w14:paraId="741C0CE2" w14:textId="77777777" w:rsidR="00B621CF" w:rsidRPr="00B013F2" w:rsidRDefault="00B621CF" w:rsidP="004466A8">
                            <w:pPr>
                              <w:rPr>
                                <w:rFonts w:ascii="Century Gothic" w:hAnsi="Century Gothic"/>
                                <w:sz w:val="28"/>
                                <w:szCs w:val="28"/>
                              </w:rPr>
                            </w:pPr>
                          </w:p>
                          <w:p w14:paraId="732720AD" w14:textId="77777777" w:rsidR="00B621CF" w:rsidRPr="00B013F2" w:rsidRDefault="00B621CF" w:rsidP="004466A8">
                            <w:pPr>
                              <w:rPr>
                                <w:rFonts w:ascii="Century Gothic" w:hAnsi="Century Gothic"/>
                                <w:sz w:val="28"/>
                                <w:szCs w:val="28"/>
                              </w:rPr>
                            </w:pPr>
                          </w:p>
                          <w:p w14:paraId="3F1D8050" w14:textId="77777777" w:rsidR="00B621CF" w:rsidRPr="00B013F2" w:rsidRDefault="00B621CF" w:rsidP="004466A8">
                            <w:pPr>
                              <w:rPr>
                                <w:rFonts w:ascii="Century Gothic" w:hAnsi="Century Gothic"/>
                                <w:sz w:val="28"/>
                                <w:szCs w:val="28"/>
                              </w:rPr>
                            </w:pPr>
                          </w:p>
                          <w:p w14:paraId="69D05374" w14:textId="77777777" w:rsidR="00B621CF" w:rsidRPr="00B013F2" w:rsidRDefault="00B621CF" w:rsidP="004466A8">
                            <w:pPr>
                              <w:rPr>
                                <w:rFonts w:ascii="Century Gothic" w:hAnsi="Century Gothic"/>
                                <w:b/>
                                <w:sz w:val="18"/>
                                <w:szCs w:val="18"/>
                              </w:rPr>
                            </w:pPr>
                          </w:p>
                          <w:p w14:paraId="781E7389" w14:textId="77777777" w:rsidR="00B621CF" w:rsidRPr="00B013F2" w:rsidRDefault="00B621CF" w:rsidP="004466A8">
                            <w:pPr>
                              <w:rPr>
                                <w:rFonts w:ascii="Century Gothic" w:hAnsi="Century Gothic"/>
                                <w:b/>
                                <w:sz w:val="18"/>
                                <w:szCs w:val="18"/>
                              </w:rPr>
                            </w:pPr>
                          </w:p>
                          <w:p w14:paraId="43434C46" w14:textId="77777777" w:rsidR="00B621CF" w:rsidRPr="00B013F2" w:rsidRDefault="00B621CF" w:rsidP="004466A8">
                            <w:pPr>
                              <w:rPr>
                                <w:rFonts w:ascii="Century Gothic" w:hAnsi="Century Gothic"/>
                                <w:b/>
                                <w:sz w:val="18"/>
                                <w:szCs w:val="18"/>
                              </w:rPr>
                            </w:pPr>
                          </w:p>
                          <w:p w14:paraId="07D1FCDD" w14:textId="77777777" w:rsidR="00B621CF" w:rsidRPr="00B013F2" w:rsidRDefault="00B621CF" w:rsidP="004466A8">
                            <w:pPr>
                              <w:rPr>
                                <w:rFonts w:ascii="Century Gothic" w:hAnsi="Century Gothic"/>
                                <w:b/>
                                <w:sz w:val="18"/>
                                <w:szCs w:val="18"/>
                              </w:rPr>
                            </w:pPr>
                          </w:p>
                          <w:p w14:paraId="1DDE5F30" w14:textId="77777777" w:rsidR="00B621CF" w:rsidRPr="00B013F2" w:rsidRDefault="00B621CF" w:rsidP="004466A8">
                            <w:pPr>
                              <w:rPr>
                                <w:rFonts w:ascii="Century Gothic" w:hAnsi="Century Gothic"/>
                                <w:sz w:val="18"/>
                                <w:szCs w:val="18"/>
                              </w:rPr>
                            </w:pPr>
                            <w:r w:rsidRPr="00B013F2">
                              <w:rPr>
                                <w:rFonts w:ascii="Century Gothic" w:hAnsi="Century Gothic"/>
                                <w:sz w:val="18"/>
                                <w:szCs w:val="18"/>
                              </w:rPr>
                              <w:tab/>
                            </w:r>
                            <w:r w:rsidRPr="00B013F2">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EE0E3" id="_x0000_t202" coordsize="21600,21600" o:spt="202" path="m,l,21600r21600,l21600,xe">
                <v:stroke joinstyle="miter"/>
                <v:path gradientshapeok="t" o:connecttype="rect"/>
              </v:shapetype>
              <v:shape id="Text Box 1" o:spid="_x0000_s1026" type="#_x0000_t202" style="position:absolute;left:0;text-align:left;margin-left:-15.5pt;margin-top:27.2pt;width:301.5pt;height:13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">
                <v:textbox>
                  <w:txbxContent>
                    <w:p w14:paraId="0365E8EC" w14:textId="77777777" w:rsidR="00B621CF" w:rsidRPr="00B013F2" w:rsidRDefault="00B621CF" w:rsidP="004466A8">
                      <w:pPr>
                        <w:rPr>
                          <w:rFonts w:ascii="Century Gothic" w:hAnsi="Century Gothic" w:cs="Arial"/>
                          <w:b/>
                          <w:sz w:val="20"/>
                          <w:szCs w:val="20"/>
                        </w:rPr>
                      </w:pPr>
                      <w:r w:rsidRPr="00B013F2">
                        <w:rPr>
                          <w:rFonts w:ascii="Century Gothic" w:hAnsi="Century Gothic" w:cs="Arial"/>
                          <w:b/>
                          <w:sz w:val="20"/>
                          <w:szCs w:val="20"/>
                        </w:rPr>
                        <w:t>DELETE WHICHEVER IS NOT APPLICABLE</w:t>
                      </w:r>
                    </w:p>
                    <w:p w14:paraId="77A557EF" w14:textId="54798CD9" w:rsidR="00B621CF" w:rsidRPr="00B013F2" w:rsidRDefault="00B42B70" w:rsidP="00B42B70">
                      <w:pPr>
                        <w:tabs>
                          <w:tab w:val="left" w:pos="720"/>
                        </w:tabs>
                        <w:ind w:left="720" w:hanging="720"/>
                        <w:rPr>
                          <w:rFonts w:ascii="Century Gothic" w:hAnsi="Century Gothic"/>
                          <w:sz w:val="20"/>
                          <w:szCs w:val="20"/>
                        </w:rPr>
                      </w:pPr>
                      <w:r w:rsidRPr="00B013F2">
                        <w:rPr>
                          <w:rFonts w:ascii="Century Gothic" w:hAnsi="Century Gothic"/>
                          <w:sz w:val="20"/>
                          <w:szCs w:val="20"/>
                        </w:rPr>
                        <w:t>(1)</w:t>
                      </w:r>
                      <w:r w:rsidRPr="00B013F2">
                        <w:rPr>
                          <w:rFonts w:ascii="Century Gothic" w:hAnsi="Century Gothic"/>
                          <w:sz w:val="20"/>
                          <w:szCs w:val="20"/>
                        </w:rPr>
                        <w:tab/>
                      </w:r>
                      <w:r w:rsidR="00B621CF" w:rsidRPr="00B013F2">
                        <w:rPr>
                          <w:rFonts w:ascii="Century Gothic" w:hAnsi="Century Gothic"/>
                          <w:sz w:val="20"/>
                          <w:szCs w:val="20"/>
                        </w:rPr>
                        <w:t xml:space="preserve">REPORTABLE: </w:t>
                      </w:r>
                      <w:r w:rsidR="00B621CF" w:rsidRPr="00B013F2">
                        <w:rPr>
                          <w:rFonts w:ascii="Century Gothic" w:hAnsi="Century Gothic"/>
                          <w:b/>
                          <w:i/>
                          <w:sz w:val="20"/>
                          <w:szCs w:val="20"/>
                        </w:rPr>
                        <w:t>NO</w:t>
                      </w:r>
                    </w:p>
                    <w:p w14:paraId="1D2B607D" w14:textId="09C13777" w:rsidR="00B621CF" w:rsidRPr="00B013F2" w:rsidRDefault="00B42B70" w:rsidP="00B42B70">
                      <w:pPr>
                        <w:tabs>
                          <w:tab w:val="left" w:pos="720"/>
                        </w:tabs>
                        <w:ind w:left="720" w:hanging="720"/>
                        <w:rPr>
                          <w:rFonts w:ascii="Century Gothic" w:hAnsi="Century Gothic"/>
                          <w:sz w:val="20"/>
                          <w:szCs w:val="20"/>
                        </w:rPr>
                      </w:pPr>
                      <w:r w:rsidRPr="00B013F2">
                        <w:rPr>
                          <w:rFonts w:ascii="Century Gothic" w:hAnsi="Century Gothic"/>
                          <w:sz w:val="20"/>
                          <w:szCs w:val="20"/>
                        </w:rPr>
                        <w:t>(2)</w:t>
                      </w:r>
                      <w:r w:rsidRPr="00B013F2">
                        <w:rPr>
                          <w:rFonts w:ascii="Century Gothic" w:hAnsi="Century Gothic"/>
                          <w:sz w:val="20"/>
                          <w:szCs w:val="20"/>
                        </w:rPr>
                        <w:tab/>
                      </w:r>
                      <w:r w:rsidR="00B621CF" w:rsidRPr="00B013F2">
                        <w:rPr>
                          <w:rFonts w:ascii="Century Gothic" w:hAnsi="Century Gothic"/>
                          <w:sz w:val="20"/>
                          <w:szCs w:val="20"/>
                        </w:rPr>
                        <w:t xml:space="preserve">OF INTEREST TO OTHER JUDGES: </w:t>
                      </w:r>
                      <w:r w:rsidR="00B621CF" w:rsidRPr="00B013F2">
                        <w:rPr>
                          <w:rFonts w:ascii="Century Gothic" w:hAnsi="Century Gothic"/>
                          <w:b/>
                          <w:i/>
                          <w:sz w:val="20"/>
                          <w:szCs w:val="20"/>
                        </w:rPr>
                        <w:t>NO</w:t>
                      </w:r>
                    </w:p>
                    <w:p w14:paraId="24216E35" w14:textId="380743CF" w:rsidR="00B621CF" w:rsidRPr="00730D85" w:rsidRDefault="00B42B70" w:rsidP="00B42B70">
                      <w:pPr>
                        <w:tabs>
                          <w:tab w:val="left" w:pos="720"/>
                        </w:tabs>
                        <w:ind w:left="720" w:hanging="720"/>
                        <w:rPr>
                          <w:rFonts w:ascii="Century Gothic" w:hAnsi="Century Gothic"/>
                          <w:b/>
                          <w:sz w:val="20"/>
                          <w:szCs w:val="20"/>
                        </w:rPr>
                      </w:pPr>
                      <w:r w:rsidRPr="00730D85">
                        <w:rPr>
                          <w:rFonts w:ascii="Century Gothic" w:hAnsi="Century Gothic"/>
                          <w:sz w:val="20"/>
                          <w:szCs w:val="20"/>
                        </w:rPr>
                        <w:t>(3)</w:t>
                      </w:r>
                      <w:r w:rsidRPr="00730D85">
                        <w:rPr>
                          <w:rFonts w:ascii="Century Gothic" w:hAnsi="Century Gothic"/>
                          <w:sz w:val="20"/>
                          <w:szCs w:val="20"/>
                        </w:rPr>
                        <w:tab/>
                      </w:r>
                      <w:r w:rsidR="00B621CF" w:rsidRPr="00B013F2">
                        <w:rPr>
                          <w:rFonts w:ascii="Century Gothic" w:hAnsi="Century Gothic"/>
                          <w:sz w:val="20"/>
                          <w:szCs w:val="20"/>
                        </w:rPr>
                        <w:t>REVISED:</w:t>
                      </w:r>
                      <w:r w:rsidR="00B621CF" w:rsidRPr="00730D85">
                        <w:rPr>
                          <w:rFonts w:ascii="Century Gothic" w:hAnsi="Century Gothic"/>
                          <w:b/>
                          <w:i/>
                          <w:sz w:val="20"/>
                          <w:szCs w:val="20"/>
                        </w:rPr>
                        <w:t xml:space="preserve"> </w:t>
                      </w:r>
                      <w:r w:rsidR="00980835" w:rsidRPr="00730D85">
                        <w:rPr>
                          <w:rFonts w:ascii="Century Gothic" w:hAnsi="Century Gothic"/>
                          <w:b/>
                          <w:bCs/>
                          <w:i/>
                          <w:sz w:val="20"/>
                          <w:szCs w:val="20"/>
                        </w:rPr>
                        <w:t>NO</w:t>
                      </w:r>
                    </w:p>
                    <w:p w14:paraId="40095D73" w14:textId="77777777" w:rsidR="00730D85" w:rsidRPr="00B013F2" w:rsidRDefault="00730D85" w:rsidP="00730D85">
                      <w:pPr>
                        <w:ind w:left="900"/>
                        <w:rPr>
                          <w:rFonts w:ascii="Century Gothic" w:hAnsi="Century Gothic"/>
                          <w:sz w:val="20"/>
                          <w:szCs w:val="20"/>
                        </w:rPr>
                      </w:pPr>
                    </w:p>
                    <w:p w14:paraId="248EFA67" w14:textId="73DC4677" w:rsidR="00B621CF" w:rsidRPr="00B013F2" w:rsidRDefault="00B621CF" w:rsidP="004466A8">
                      <w:pPr>
                        <w:rPr>
                          <w:rFonts w:ascii="Century Gothic" w:hAnsi="Century Gothic"/>
                          <w:sz w:val="22"/>
                          <w:szCs w:val="22"/>
                        </w:rPr>
                      </w:pPr>
                      <w:r w:rsidRPr="00B013F2">
                        <w:rPr>
                          <w:rFonts w:ascii="Century Gothic" w:hAnsi="Century Gothic"/>
                          <w:sz w:val="22"/>
                          <w:szCs w:val="22"/>
                        </w:rPr>
                        <w:t>Date</w:t>
                      </w:r>
                      <w:r w:rsidRPr="00874CE0">
                        <w:rPr>
                          <w:rFonts w:ascii="Century Gothic" w:hAnsi="Century Gothic"/>
                          <w:sz w:val="22"/>
                          <w:szCs w:val="22"/>
                        </w:rPr>
                        <w:t>:</w:t>
                      </w:r>
                      <w:r w:rsidRPr="00874CE0">
                        <w:rPr>
                          <w:rFonts w:ascii="Century Gothic" w:hAnsi="Century Gothic"/>
                          <w:sz w:val="22"/>
                          <w:szCs w:val="22"/>
                          <w:u w:val="single"/>
                        </w:rPr>
                        <w:t xml:space="preserve"> </w:t>
                      </w:r>
                      <w:r w:rsidR="00730D85" w:rsidRPr="00874CE0">
                        <w:rPr>
                          <w:rFonts w:ascii="Century Gothic" w:hAnsi="Century Gothic"/>
                          <w:b/>
                          <w:i/>
                          <w:sz w:val="22"/>
                          <w:szCs w:val="22"/>
                          <w:u w:val="single"/>
                        </w:rPr>
                        <w:t>06 March</w:t>
                      </w:r>
                      <w:r w:rsidR="00FA6668" w:rsidRPr="00874CE0">
                        <w:rPr>
                          <w:rFonts w:ascii="Century Gothic" w:hAnsi="Century Gothic"/>
                          <w:b/>
                          <w:i/>
                          <w:sz w:val="22"/>
                          <w:szCs w:val="22"/>
                          <w:u w:val="single"/>
                        </w:rPr>
                        <w:t xml:space="preserve"> </w:t>
                      </w:r>
                      <w:r w:rsidRPr="00874CE0">
                        <w:rPr>
                          <w:rFonts w:ascii="Century Gothic" w:hAnsi="Century Gothic"/>
                          <w:b/>
                          <w:i/>
                          <w:sz w:val="22"/>
                          <w:szCs w:val="22"/>
                          <w:u w:val="single"/>
                        </w:rPr>
                        <w:t>20</w:t>
                      </w:r>
                      <w:r w:rsidR="00F663D1" w:rsidRPr="00874CE0">
                        <w:rPr>
                          <w:rFonts w:ascii="Century Gothic" w:hAnsi="Century Gothic"/>
                          <w:b/>
                          <w:i/>
                          <w:sz w:val="22"/>
                          <w:szCs w:val="22"/>
                          <w:u w:val="single"/>
                        </w:rPr>
                        <w:t>2</w:t>
                      </w:r>
                      <w:r w:rsidR="00622405" w:rsidRPr="00874CE0">
                        <w:rPr>
                          <w:rFonts w:ascii="Century Gothic" w:hAnsi="Century Gothic"/>
                          <w:b/>
                          <w:i/>
                          <w:sz w:val="22"/>
                          <w:szCs w:val="22"/>
                          <w:u w:val="single"/>
                        </w:rPr>
                        <w:t>4</w:t>
                      </w:r>
                      <w:r w:rsidRPr="00B013F2">
                        <w:rPr>
                          <w:rFonts w:ascii="Century Gothic" w:hAnsi="Century Gothic"/>
                          <w:sz w:val="22"/>
                          <w:szCs w:val="22"/>
                        </w:rPr>
                        <w:t xml:space="preserve"> </w:t>
                      </w:r>
                      <w:r w:rsidR="00730D85">
                        <w:rPr>
                          <w:rFonts w:ascii="Century Gothic" w:hAnsi="Century Gothic"/>
                          <w:sz w:val="22"/>
                          <w:szCs w:val="22"/>
                        </w:rPr>
                        <w:t xml:space="preserve"> </w:t>
                      </w:r>
                      <w:r w:rsidR="00874CE0">
                        <w:rPr>
                          <w:rFonts w:ascii="Century Gothic" w:hAnsi="Century Gothic"/>
                          <w:sz w:val="22"/>
                          <w:szCs w:val="22"/>
                        </w:rPr>
                        <w:t xml:space="preserve"> </w:t>
                      </w:r>
                      <w:r w:rsidR="00995C9F" w:rsidRPr="00B013F2">
                        <w:rPr>
                          <w:rFonts w:ascii="Century Gothic" w:hAnsi="Century Gothic"/>
                          <w:sz w:val="22"/>
                          <w:szCs w:val="22"/>
                        </w:rPr>
                        <w:t>Signature: _</w:t>
                      </w:r>
                      <w:r w:rsidRPr="00B013F2">
                        <w:rPr>
                          <w:rFonts w:ascii="Century Gothic" w:hAnsi="Century Gothic"/>
                          <w:sz w:val="22"/>
                          <w:szCs w:val="22"/>
                        </w:rPr>
                        <w:t>________________</w:t>
                      </w:r>
                    </w:p>
                    <w:p w14:paraId="1AFCECFB" w14:textId="77777777" w:rsidR="00B621CF" w:rsidRPr="00B013F2" w:rsidRDefault="00B621CF" w:rsidP="004466A8">
                      <w:pPr>
                        <w:rPr>
                          <w:rFonts w:ascii="Century Gothic" w:hAnsi="Century Gothic"/>
                          <w:sz w:val="28"/>
                          <w:szCs w:val="28"/>
                        </w:rPr>
                      </w:pPr>
                    </w:p>
                    <w:p w14:paraId="741C0CE2" w14:textId="77777777" w:rsidR="00B621CF" w:rsidRPr="00B013F2" w:rsidRDefault="00B621CF" w:rsidP="004466A8">
                      <w:pPr>
                        <w:rPr>
                          <w:rFonts w:ascii="Century Gothic" w:hAnsi="Century Gothic"/>
                          <w:sz w:val="28"/>
                          <w:szCs w:val="28"/>
                        </w:rPr>
                      </w:pPr>
                    </w:p>
                    <w:p w14:paraId="732720AD" w14:textId="77777777" w:rsidR="00B621CF" w:rsidRPr="00B013F2" w:rsidRDefault="00B621CF" w:rsidP="004466A8">
                      <w:pPr>
                        <w:rPr>
                          <w:rFonts w:ascii="Century Gothic" w:hAnsi="Century Gothic"/>
                          <w:sz w:val="28"/>
                          <w:szCs w:val="28"/>
                        </w:rPr>
                      </w:pPr>
                    </w:p>
                    <w:p w14:paraId="3F1D8050" w14:textId="77777777" w:rsidR="00B621CF" w:rsidRPr="00B013F2" w:rsidRDefault="00B621CF" w:rsidP="004466A8">
                      <w:pPr>
                        <w:rPr>
                          <w:rFonts w:ascii="Century Gothic" w:hAnsi="Century Gothic"/>
                          <w:sz w:val="28"/>
                          <w:szCs w:val="28"/>
                        </w:rPr>
                      </w:pPr>
                    </w:p>
                    <w:p w14:paraId="69D05374" w14:textId="77777777" w:rsidR="00B621CF" w:rsidRPr="00B013F2" w:rsidRDefault="00B621CF" w:rsidP="004466A8">
                      <w:pPr>
                        <w:rPr>
                          <w:rFonts w:ascii="Century Gothic" w:hAnsi="Century Gothic"/>
                          <w:b/>
                          <w:sz w:val="18"/>
                          <w:szCs w:val="18"/>
                        </w:rPr>
                      </w:pPr>
                    </w:p>
                    <w:p w14:paraId="781E7389" w14:textId="77777777" w:rsidR="00B621CF" w:rsidRPr="00B013F2" w:rsidRDefault="00B621CF" w:rsidP="004466A8">
                      <w:pPr>
                        <w:rPr>
                          <w:rFonts w:ascii="Century Gothic" w:hAnsi="Century Gothic"/>
                          <w:b/>
                          <w:sz w:val="18"/>
                          <w:szCs w:val="18"/>
                        </w:rPr>
                      </w:pPr>
                    </w:p>
                    <w:p w14:paraId="43434C46" w14:textId="77777777" w:rsidR="00B621CF" w:rsidRPr="00B013F2" w:rsidRDefault="00B621CF" w:rsidP="004466A8">
                      <w:pPr>
                        <w:rPr>
                          <w:rFonts w:ascii="Century Gothic" w:hAnsi="Century Gothic"/>
                          <w:b/>
                          <w:sz w:val="18"/>
                          <w:szCs w:val="18"/>
                        </w:rPr>
                      </w:pPr>
                    </w:p>
                    <w:p w14:paraId="07D1FCDD" w14:textId="77777777" w:rsidR="00B621CF" w:rsidRPr="00B013F2" w:rsidRDefault="00B621CF" w:rsidP="004466A8">
                      <w:pPr>
                        <w:rPr>
                          <w:rFonts w:ascii="Century Gothic" w:hAnsi="Century Gothic"/>
                          <w:b/>
                          <w:sz w:val="18"/>
                          <w:szCs w:val="18"/>
                        </w:rPr>
                      </w:pPr>
                    </w:p>
                    <w:p w14:paraId="1DDE5F30" w14:textId="77777777" w:rsidR="00B621CF" w:rsidRPr="00B013F2" w:rsidRDefault="00B621CF" w:rsidP="004466A8">
                      <w:pPr>
                        <w:rPr>
                          <w:rFonts w:ascii="Century Gothic" w:hAnsi="Century Gothic"/>
                          <w:sz w:val="18"/>
                          <w:szCs w:val="18"/>
                        </w:rPr>
                      </w:pPr>
                      <w:r w:rsidRPr="00B013F2">
                        <w:rPr>
                          <w:rFonts w:ascii="Century Gothic" w:hAnsi="Century Gothic"/>
                          <w:sz w:val="18"/>
                          <w:szCs w:val="18"/>
                        </w:rPr>
                        <w:tab/>
                      </w:r>
                      <w:r w:rsidRPr="00B013F2">
                        <w:rPr>
                          <w:rFonts w:ascii="Century Gothic" w:hAnsi="Century Gothic"/>
                          <w:sz w:val="18"/>
                          <w:szCs w:val="18"/>
                        </w:rPr>
                        <w:tab/>
                      </w:r>
                    </w:p>
                  </w:txbxContent>
                </v:textbox>
                <w10:wrap anchorx="margin"/>
              </v:shape>
            </w:pict>
          </mc:Fallback>
        </mc:AlternateContent>
      </w:r>
      <w:r>
        <w:rPr>
          <w:b/>
        </w:rPr>
        <w:t xml:space="preserve">                                                                                                        </w:t>
      </w:r>
      <w:r w:rsidR="00310AC5" w:rsidRPr="00B013F2">
        <w:rPr>
          <w:b/>
        </w:rPr>
        <w:t xml:space="preserve">   CASE</w:t>
      </w:r>
      <w:r w:rsidR="00917D26" w:rsidRPr="00B013F2">
        <w:rPr>
          <w:b/>
        </w:rPr>
        <w:t xml:space="preserve"> </w:t>
      </w:r>
      <w:r w:rsidR="00310AC5" w:rsidRPr="00B013F2">
        <w:rPr>
          <w:b/>
        </w:rPr>
        <w:t>NO</w:t>
      </w:r>
      <w:r w:rsidR="008370EB" w:rsidRPr="00B013F2">
        <w:rPr>
          <w:b/>
        </w:rPr>
        <w:t>:</w:t>
      </w:r>
      <w:r w:rsidR="00515C92" w:rsidRPr="00B013F2">
        <w:rPr>
          <w:b/>
        </w:rPr>
        <w:t xml:space="preserve"> </w:t>
      </w:r>
      <w:r w:rsidR="008370EB" w:rsidRPr="00B013F2">
        <w:rPr>
          <w:b/>
        </w:rPr>
        <w:t>5</w:t>
      </w:r>
      <w:r w:rsidR="00BB0299">
        <w:rPr>
          <w:b/>
        </w:rPr>
        <w:t>3/2019</w:t>
      </w:r>
    </w:p>
    <w:p w14:paraId="2D828AC7" w14:textId="6676F805" w:rsidR="007C0412" w:rsidRPr="00B013F2" w:rsidRDefault="007C0412" w:rsidP="00310AC5">
      <w:pPr>
        <w:pStyle w:val="LegalNormal"/>
        <w:rPr>
          <w:b/>
        </w:rPr>
      </w:pPr>
      <w:r w:rsidRPr="00B013F2">
        <w:rPr>
          <w:b/>
        </w:rPr>
        <w:tab/>
      </w:r>
      <w:r w:rsidRPr="00B013F2">
        <w:rPr>
          <w:b/>
        </w:rPr>
        <w:tab/>
      </w:r>
      <w:r w:rsidRPr="00B013F2">
        <w:rPr>
          <w:b/>
        </w:rPr>
        <w:tab/>
      </w:r>
      <w:r w:rsidRPr="00B013F2">
        <w:rPr>
          <w:b/>
        </w:rPr>
        <w:tab/>
      </w:r>
      <w:r w:rsidRPr="00B013F2">
        <w:rPr>
          <w:b/>
        </w:rPr>
        <w:tab/>
      </w:r>
      <w:r w:rsidRPr="00B013F2">
        <w:rPr>
          <w:b/>
        </w:rPr>
        <w:tab/>
      </w:r>
      <w:r w:rsidRPr="00B013F2">
        <w:rPr>
          <w:b/>
        </w:rPr>
        <w:tab/>
      </w:r>
      <w:r w:rsidRPr="00B013F2">
        <w:rPr>
          <w:b/>
        </w:rPr>
        <w:tab/>
      </w:r>
      <w:r w:rsidRPr="00B013F2">
        <w:rPr>
          <w:b/>
        </w:rPr>
        <w:tab/>
      </w:r>
      <w:r w:rsidR="002D17B2" w:rsidRPr="00B013F2">
        <w:rPr>
          <w:b/>
        </w:rPr>
        <w:t xml:space="preserve"> </w:t>
      </w:r>
      <w:r w:rsidR="0074084B" w:rsidRPr="00B013F2">
        <w:rPr>
          <w:b/>
        </w:rPr>
        <w:tab/>
      </w:r>
    </w:p>
    <w:p w14:paraId="43854107" w14:textId="72D3E226" w:rsidR="00117E26" w:rsidRPr="00B013F2" w:rsidRDefault="00DD3DB7" w:rsidP="00310AC5">
      <w:pPr>
        <w:pStyle w:val="LegalNormal"/>
      </w:pPr>
      <w:r w:rsidRPr="00B013F2">
        <w:rPr>
          <w:b/>
        </w:rPr>
        <w:tab/>
      </w:r>
      <w:r w:rsidRPr="00B013F2">
        <w:rPr>
          <w:b/>
        </w:rPr>
        <w:tab/>
      </w:r>
      <w:r w:rsidRPr="00B013F2">
        <w:rPr>
          <w:b/>
        </w:rPr>
        <w:tab/>
      </w:r>
      <w:r w:rsidRPr="00B013F2">
        <w:rPr>
          <w:b/>
        </w:rPr>
        <w:tab/>
      </w:r>
      <w:r w:rsidRPr="00B013F2">
        <w:rPr>
          <w:b/>
        </w:rPr>
        <w:tab/>
      </w:r>
      <w:r w:rsidRPr="00B013F2">
        <w:rPr>
          <w:b/>
        </w:rPr>
        <w:tab/>
      </w:r>
      <w:r w:rsidRPr="00B013F2">
        <w:rPr>
          <w:b/>
        </w:rPr>
        <w:tab/>
      </w:r>
      <w:r w:rsidRPr="00B013F2">
        <w:rPr>
          <w:b/>
        </w:rPr>
        <w:tab/>
      </w:r>
      <w:r w:rsidRPr="00B013F2">
        <w:rPr>
          <w:b/>
        </w:rPr>
        <w:tab/>
        <w:t xml:space="preserve">   </w:t>
      </w:r>
    </w:p>
    <w:p w14:paraId="4689B533" w14:textId="75B889A4" w:rsidR="00310AC5" w:rsidRPr="00B013F2" w:rsidRDefault="00310AC5" w:rsidP="00310AC5">
      <w:pPr>
        <w:pStyle w:val="LegalNormal"/>
        <w:rPr>
          <w:b/>
        </w:rPr>
      </w:pPr>
      <w:r w:rsidRPr="00B013F2">
        <w:t>In the matter between:</w:t>
      </w:r>
    </w:p>
    <w:p w14:paraId="2BF936AD" w14:textId="727BAFC5" w:rsidR="00310AC5" w:rsidRPr="00B013F2" w:rsidRDefault="005B519F" w:rsidP="00FA6668">
      <w:pPr>
        <w:pStyle w:val="LegalNormal"/>
        <w:spacing w:line="276" w:lineRule="auto"/>
        <w:rPr>
          <w:bCs/>
        </w:rPr>
      </w:pPr>
      <w:r w:rsidRPr="00B013F2">
        <w:rPr>
          <w:b/>
        </w:rPr>
        <w:t>B</w:t>
      </w:r>
      <w:r w:rsidR="0044600B">
        <w:rPr>
          <w:b/>
        </w:rPr>
        <w:t>HEKANI WELCOME</w:t>
      </w:r>
      <w:r w:rsidR="00BB0299">
        <w:rPr>
          <w:b/>
        </w:rPr>
        <w:t xml:space="preserve"> GCABASHE</w:t>
      </w:r>
      <w:r w:rsidR="00C405E9">
        <w:rPr>
          <w:b/>
        </w:rPr>
        <w:tab/>
      </w:r>
      <w:r w:rsidR="00C405E9">
        <w:rPr>
          <w:b/>
        </w:rPr>
        <w:tab/>
      </w:r>
      <w:r w:rsidR="00C405E9">
        <w:rPr>
          <w:b/>
        </w:rPr>
        <w:tab/>
      </w:r>
      <w:r w:rsidR="00C405E9">
        <w:rPr>
          <w:b/>
        </w:rPr>
        <w:tab/>
      </w:r>
      <w:r w:rsidR="007744C7" w:rsidRPr="00B013F2">
        <w:rPr>
          <w:bCs/>
        </w:rPr>
        <w:t xml:space="preserve">        </w:t>
      </w:r>
      <w:r w:rsidR="002C50D8" w:rsidRPr="00B013F2">
        <w:rPr>
          <w:bCs/>
        </w:rPr>
        <w:tab/>
      </w:r>
      <w:r w:rsidR="002C50D8" w:rsidRPr="00B013F2">
        <w:rPr>
          <w:bCs/>
        </w:rPr>
        <w:tab/>
        <w:t xml:space="preserve">     </w:t>
      </w:r>
      <w:r w:rsidR="007744C7" w:rsidRPr="00B013F2">
        <w:rPr>
          <w:bCs/>
        </w:rPr>
        <w:t>A</w:t>
      </w:r>
      <w:r w:rsidR="000324B4" w:rsidRPr="00B013F2">
        <w:rPr>
          <w:bCs/>
        </w:rPr>
        <w:t>ppl</w:t>
      </w:r>
      <w:r w:rsidR="00744AB5" w:rsidRPr="00B013F2">
        <w:rPr>
          <w:bCs/>
        </w:rPr>
        <w:t>i</w:t>
      </w:r>
      <w:r w:rsidR="000324B4" w:rsidRPr="00B013F2">
        <w:rPr>
          <w:bCs/>
        </w:rPr>
        <w:t>cant</w:t>
      </w:r>
    </w:p>
    <w:p w14:paraId="3C26A99E" w14:textId="6014285B" w:rsidR="00815432" w:rsidRPr="00B013F2" w:rsidRDefault="00FD669E" w:rsidP="00FA6668">
      <w:pPr>
        <w:pStyle w:val="LegalNormal"/>
        <w:spacing w:line="276" w:lineRule="auto"/>
        <w:rPr>
          <w:bCs/>
        </w:rPr>
      </w:pPr>
      <w:r w:rsidRPr="00B013F2">
        <w:rPr>
          <w:bCs/>
        </w:rPr>
        <w:t>and</w:t>
      </w:r>
    </w:p>
    <w:p w14:paraId="7F2B1F7C" w14:textId="013DB042" w:rsidR="00714897" w:rsidRPr="00B013F2" w:rsidRDefault="00484AAC" w:rsidP="00D554AE">
      <w:pPr>
        <w:pStyle w:val="LegalNormal"/>
        <w:spacing w:line="240" w:lineRule="auto"/>
        <w:rPr>
          <w:b/>
        </w:rPr>
      </w:pPr>
      <w:r w:rsidRPr="00B013F2">
        <w:rPr>
          <w:b/>
        </w:rPr>
        <w:t>M</w:t>
      </w:r>
      <w:r w:rsidR="00B40DDF">
        <w:rPr>
          <w:b/>
        </w:rPr>
        <w:t>TN GROUP LTD</w:t>
      </w:r>
      <w:r w:rsidR="00C405E9">
        <w:rPr>
          <w:b/>
        </w:rPr>
        <w:tab/>
      </w:r>
      <w:r w:rsidR="00C405E9">
        <w:rPr>
          <w:b/>
        </w:rPr>
        <w:tab/>
      </w:r>
      <w:r w:rsidR="00C405E9">
        <w:rPr>
          <w:b/>
        </w:rPr>
        <w:tab/>
      </w:r>
      <w:r w:rsidR="00A92B7B" w:rsidRPr="00B013F2">
        <w:rPr>
          <w:bCs/>
        </w:rPr>
        <w:tab/>
        <w:t xml:space="preserve">   </w:t>
      </w:r>
      <w:r w:rsidR="00714897" w:rsidRPr="00B013F2">
        <w:rPr>
          <w:bCs/>
        </w:rPr>
        <w:t xml:space="preserve">  </w:t>
      </w:r>
      <w:r w:rsidR="00CF47C9" w:rsidRPr="00B013F2">
        <w:rPr>
          <w:bCs/>
        </w:rPr>
        <w:tab/>
      </w:r>
      <w:r w:rsidR="00CF47C9" w:rsidRPr="00B013F2">
        <w:rPr>
          <w:bCs/>
        </w:rPr>
        <w:tab/>
      </w:r>
      <w:r w:rsidR="00CF47C9" w:rsidRPr="00B013F2">
        <w:rPr>
          <w:bCs/>
        </w:rPr>
        <w:tab/>
      </w:r>
      <w:r w:rsidR="00CF47C9" w:rsidRPr="00B013F2">
        <w:rPr>
          <w:bCs/>
        </w:rPr>
        <w:tab/>
        <w:t xml:space="preserve">    </w:t>
      </w:r>
      <w:r w:rsidR="00426A8F" w:rsidRPr="00B013F2">
        <w:rPr>
          <w:bCs/>
        </w:rPr>
        <w:t xml:space="preserve">   </w:t>
      </w:r>
      <w:r w:rsidR="00CE22EB">
        <w:rPr>
          <w:bCs/>
        </w:rPr>
        <w:t xml:space="preserve">    </w:t>
      </w:r>
      <w:r w:rsidR="00426A8F" w:rsidRPr="00B013F2">
        <w:rPr>
          <w:bCs/>
        </w:rPr>
        <w:t xml:space="preserve"> </w:t>
      </w:r>
      <w:r w:rsidR="00D554AE" w:rsidRPr="00B013F2">
        <w:rPr>
          <w:bCs/>
        </w:rPr>
        <w:t>Respondent</w:t>
      </w:r>
      <w:r w:rsidR="00D7476F" w:rsidRPr="00B013F2">
        <w:rPr>
          <w:b/>
        </w:rPr>
        <w:t xml:space="preserve"> </w:t>
      </w:r>
    </w:p>
    <w:p w14:paraId="1F1E0059" w14:textId="77777777" w:rsidR="00443EE1" w:rsidRPr="00B013F2" w:rsidRDefault="00443EE1" w:rsidP="00FA6668">
      <w:pPr>
        <w:pStyle w:val="LegalNormal"/>
        <w:spacing w:line="276" w:lineRule="auto"/>
        <w:rPr>
          <w:bCs/>
        </w:rPr>
      </w:pPr>
    </w:p>
    <w:p w14:paraId="72F74422" w14:textId="0B27322D" w:rsidR="00673136" w:rsidRPr="00B013F2" w:rsidRDefault="004466A8" w:rsidP="00C62517">
      <w:pPr>
        <w:pStyle w:val="LegalTramLines"/>
        <w:spacing w:line="480" w:lineRule="auto"/>
        <w:rPr>
          <w:rFonts w:ascii="Arial" w:hAnsi="Arial" w:cs="Arial"/>
        </w:rPr>
      </w:pPr>
      <w:r w:rsidRPr="00B013F2">
        <w:rPr>
          <w:rFonts w:ascii="Arial" w:hAnsi="Arial" w:cs="Arial"/>
        </w:rPr>
        <w:t>JUDGMENT</w:t>
      </w:r>
    </w:p>
    <w:p w14:paraId="12FDC8A9" w14:textId="66635217" w:rsidR="00673136" w:rsidRPr="00B013F2" w:rsidRDefault="00EC47D2" w:rsidP="00673136">
      <w:pPr>
        <w:pStyle w:val="LegalMAINHEADING"/>
        <w:rPr>
          <w:rFonts w:cs="Arial"/>
        </w:rPr>
      </w:pPr>
      <w:r w:rsidRPr="00B013F2">
        <w:rPr>
          <w:rFonts w:cs="Arial"/>
        </w:rPr>
        <w:lastRenderedPageBreak/>
        <w:t xml:space="preserve">nyathi </w:t>
      </w:r>
      <w:r w:rsidR="00673136" w:rsidRPr="00B013F2">
        <w:rPr>
          <w:rFonts w:cs="Arial"/>
        </w:rPr>
        <w:t>j</w:t>
      </w:r>
    </w:p>
    <w:p w14:paraId="2C5DEEC5" w14:textId="0912F9D6" w:rsidR="00310AC5" w:rsidRPr="00B013F2" w:rsidRDefault="00B42B70" w:rsidP="00B42B70">
      <w:pPr>
        <w:pStyle w:val="LegalNormal"/>
        <w:ind w:left="720" w:hanging="360"/>
        <w:rPr>
          <w:b/>
        </w:rPr>
      </w:pPr>
      <w:r w:rsidRPr="00B013F2">
        <w:rPr>
          <w:b/>
        </w:rPr>
        <w:t>A.</w:t>
      </w:r>
      <w:r w:rsidRPr="00B013F2">
        <w:rPr>
          <w:b/>
        </w:rPr>
        <w:tab/>
      </w:r>
      <w:r w:rsidR="00310AC5" w:rsidRPr="00B013F2">
        <w:rPr>
          <w:b/>
        </w:rPr>
        <w:t>INTRODUCTION</w:t>
      </w:r>
    </w:p>
    <w:p w14:paraId="666B78E2" w14:textId="1B8CF155" w:rsidR="00FA1BA3" w:rsidRDefault="00B42B70" w:rsidP="00B42B70">
      <w:pPr>
        <w:pStyle w:val="LegalNormal"/>
        <w:tabs>
          <w:tab w:val="left" w:pos="927"/>
        </w:tabs>
        <w:ind w:left="927" w:hanging="567"/>
      </w:pPr>
      <w:r>
        <w:t>[1]</w:t>
      </w:r>
      <w:r>
        <w:tab/>
      </w:r>
      <w:r w:rsidR="00EA748D">
        <w:t>This is an</w:t>
      </w:r>
      <w:r w:rsidR="00FA1BA3" w:rsidRPr="00FA1BA3">
        <w:t xml:space="preserve"> application to compel the respondent to furnish cell phone records of the applicant for the cell phone number </w:t>
      </w:r>
      <w:r w:rsidR="00D84B5D">
        <w:t>[…]</w:t>
      </w:r>
      <w:r w:rsidR="00FA1BA3" w:rsidRPr="00FA1BA3">
        <w:t xml:space="preserve"> for the period from 20 April 2014 to 29 April 2014.</w:t>
      </w:r>
    </w:p>
    <w:p w14:paraId="6F54FDF5" w14:textId="3EE2BD82" w:rsidR="00297CB0" w:rsidRDefault="00B42B70" w:rsidP="00B42B70">
      <w:pPr>
        <w:pStyle w:val="LegalNormal"/>
        <w:tabs>
          <w:tab w:val="left" w:pos="927"/>
        </w:tabs>
        <w:ind w:left="927" w:hanging="567"/>
      </w:pPr>
      <w:r>
        <w:t>[2]</w:t>
      </w:r>
      <w:r>
        <w:tab/>
      </w:r>
      <w:r w:rsidR="007450C9" w:rsidRPr="00B013F2">
        <w:t xml:space="preserve">The </w:t>
      </w:r>
      <w:r w:rsidR="007D217D" w:rsidRPr="00B013F2">
        <w:t>application is opposed by the second respondent.</w:t>
      </w:r>
    </w:p>
    <w:p w14:paraId="36AF900B" w14:textId="1A8A18B6" w:rsidR="008C0E56" w:rsidRPr="00B013F2" w:rsidRDefault="00B42B70" w:rsidP="00B42B70">
      <w:pPr>
        <w:pStyle w:val="LegalNormal"/>
        <w:tabs>
          <w:tab w:val="left" w:pos="927"/>
        </w:tabs>
        <w:ind w:left="927" w:hanging="567"/>
      </w:pPr>
      <w:r w:rsidRPr="00B013F2">
        <w:t>[3]</w:t>
      </w:r>
      <w:r w:rsidRPr="00B013F2">
        <w:tab/>
      </w:r>
      <w:r w:rsidR="00CB20D1" w:rsidRPr="00CB20D1">
        <w:t>The applicant is Bhekani Welcome Gcabashe an adult male currently incarcerated at Zonderwater Medium A Correctional Center, Cullinan, Gauteng. The respondent is MTN (Pty) Ltd a private company and a South African multinational corporation and mobile network provider incorporated in accordance with the law of the Republic of South Africa. Its principal place of business is situated at 216 14th Avenue, Fairland, Roodepoort, Johannesburg.</w:t>
      </w:r>
    </w:p>
    <w:p w14:paraId="6BDAD092" w14:textId="2D290AA5" w:rsidR="00646D62" w:rsidRPr="00B013F2" w:rsidRDefault="00B42B70" w:rsidP="00B42B70">
      <w:pPr>
        <w:pStyle w:val="LegalNormal"/>
        <w:ind w:left="720" w:hanging="360"/>
        <w:rPr>
          <w:b/>
          <w:bCs/>
        </w:rPr>
      </w:pPr>
      <w:r w:rsidRPr="00B013F2">
        <w:rPr>
          <w:b/>
          <w:bCs/>
        </w:rPr>
        <w:t>B.</w:t>
      </w:r>
      <w:r w:rsidRPr="00B013F2">
        <w:rPr>
          <w:b/>
          <w:bCs/>
        </w:rPr>
        <w:tab/>
      </w:r>
      <w:r w:rsidR="00F30786">
        <w:rPr>
          <w:b/>
          <w:bCs/>
        </w:rPr>
        <w:t>B</w:t>
      </w:r>
      <w:r w:rsidR="00566203" w:rsidRPr="00B013F2">
        <w:rPr>
          <w:b/>
          <w:bCs/>
        </w:rPr>
        <w:t>AC</w:t>
      </w:r>
      <w:r w:rsidR="00C96C3B">
        <w:rPr>
          <w:b/>
          <w:bCs/>
        </w:rPr>
        <w:t>KGROUND</w:t>
      </w:r>
    </w:p>
    <w:p w14:paraId="5B8F3342" w14:textId="0774F6B4" w:rsidR="00161DE4" w:rsidRDefault="00B42B70" w:rsidP="00B42B70">
      <w:pPr>
        <w:pStyle w:val="LegalNormal"/>
        <w:tabs>
          <w:tab w:val="left" w:pos="927"/>
        </w:tabs>
        <w:ind w:left="927" w:hanging="567"/>
      </w:pPr>
      <w:r>
        <w:t>[4]</w:t>
      </w:r>
      <w:r>
        <w:tab/>
      </w:r>
      <w:r w:rsidR="00C96C3B" w:rsidRPr="00C96C3B">
        <w:t xml:space="preserve">The applicant in this matter was charged with and convicted of armed robbery and is currently incarcerated at Zonderwater Medium A Correctional Centre, Cullinan in Gauteng. The applicant is in the process of appealing his conviction and sentence.  He brought an application to compel the respondent, MTN, to provide him with copies of his cell phone records for cell phone number </w:t>
      </w:r>
      <w:r w:rsidR="00D84B5D">
        <w:t>[…]</w:t>
      </w:r>
      <w:r w:rsidR="00C96C3B" w:rsidRPr="00C96C3B">
        <w:t xml:space="preserve"> for the period 20 April 2014 until 29 April 2014. These records were once released </w:t>
      </w:r>
      <w:r w:rsidR="00C96C3B" w:rsidRPr="00C96C3B">
        <w:lastRenderedPageBreak/>
        <w:t>by the respondent to the National Prosecuting Authority in terms of section 205(1) of the Criminal Procedure Act 51 of 1977 for trial purposes. The applicant is of the opinion that his cell phone records that were used by the state in his trial to secure his conviction were either tainted or fabricated.</w:t>
      </w:r>
    </w:p>
    <w:p w14:paraId="1FB6E419" w14:textId="61474D7F" w:rsidR="00897B10" w:rsidRDefault="00B42B70" w:rsidP="00B42B70">
      <w:pPr>
        <w:tabs>
          <w:tab w:val="left" w:pos="927"/>
        </w:tabs>
        <w:spacing w:line="480" w:lineRule="auto"/>
        <w:ind w:left="927" w:hanging="567"/>
      </w:pPr>
      <w:r>
        <w:t>[5]</w:t>
      </w:r>
      <w:r>
        <w:tab/>
      </w:r>
      <w:r w:rsidR="00112F81" w:rsidRPr="00112F81">
        <w:t xml:space="preserve">The applicant contends that he was wrongfully charged and convicted of armed robbery as a result he seeks his detailed itemised billing records for the period of the robbery in question because he </w:t>
      </w:r>
      <w:r w:rsidR="00A03202">
        <w:t>harbours suspicions</w:t>
      </w:r>
      <w:r w:rsidR="009B1C2A">
        <w:t xml:space="preserve"> regarding</w:t>
      </w:r>
      <w:r w:rsidR="00112F81" w:rsidRPr="00112F81">
        <w:t xml:space="preserve"> th</w:t>
      </w:r>
      <w:r w:rsidR="00D6321C">
        <w:t>e</w:t>
      </w:r>
      <w:r w:rsidR="00112F81" w:rsidRPr="00112F81">
        <w:t xml:space="preserve"> cell phone records</w:t>
      </w:r>
      <w:r w:rsidR="009B1C2A">
        <w:t xml:space="preserve"> that were</w:t>
      </w:r>
      <w:r w:rsidR="00112F81" w:rsidRPr="00112F81">
        <w:t xml:space="preserve"> used in his trial which led to his conviction. </w:t>
      </w:r>
    </w:p>
    <w:p w14:paraId="4007757A" w14:textId="77777777" w:rsidR="00EA748D" w:rsidRDefault="00EA748D" w:rsidP="00EA748D">
      <w:pPr>
        <w:pStyle w:val="ListParagraph"/>
        <w:spacing w:line="480" w:lineRule="auto"/>
        <w:ind w:left="927"/>
      </w:pPr>
    </w:p>
    <w:p w14:paraId="61BAC885" w14:textId="2CC338D6" w:rsidR="00E46704" w:rsidRDefault="00B42B70" w:rsidP="00B42B70">
      <w:pPr>
        <w:tabs>
          <w:tab w:val="left" w:pos="927"/>
        </w:tabs>
        <w:spacing w:line="480" w:lineRule="auto"/>
        <w:ind w:left="927" w:hanging="567"/>
      </w:pPr>
      <w:r>
        <w:t>[6]</w:t>
      </w:r>
      <w:r>
        <w:tab/>
      </w:r>
      <w:r w:rsidR="00112F81" w:rsidRPr="00101BA4">
        <w:t>He intends to compare the records he will obtain from the respondent with those</w:t>
      </w:r>
      <w:r w:rsidR="00101BA4" w:rsidRPr="00101BA4">
        <w:t xml:space="preserve"> used at trial to determine the accuracy thereof</w:t>
      </w:r>
      <w:r w:rsidR="00112F81" w:rsidRPr="00101BA4">
        <w:t>.</w:t>
      </w:r>
      <w:r w:rsidR="00112F81" w:rsidRPr="00112F81">
        <w:t xml:space="preserve"> The applicant contends that he was not part of the robbery crew and </w:t>
      </w:r>
      <w:r w:rsidR="00897B10">
        <w:t xml:space="preserve">was </w:t>
      </w:r>
      <w:r w:rsidR="00112F81" w:rsidRPr="00112F81">
        <w:t xml:space="preserve">not in contact with any of the co-accused before, during and after the robbery and he was not found in possession of the money that was stolen. </w:t>
      </w:r>
    </w:p>
    <w:p w14:paraId="59F2C6E4" w14:textId="51A12F47" w:rsidR="00EA748D" w:rsidRDefault="00EA748D" w:rsidP="00EA748D">
      <w:pPr>
        <w:spacing w:line="480" w:lineRule="auto"/>
      </w:pPr>
    </w:p>
    <w:p w14:paraId="55FCB638" w14:textId="687C6694" w:rsidR="00EA748D" w:rsidRDefault="00B42B70" w:rsidP="00B42B70">
      <w:pPr>
        <w:tabs>
          <w:tab w:val="left" w:pos="927"/>
        </w:tabs>
        <w:spacing w:line="480" w:lineRule="auto"/>
        <w:ind w:left="927" w:hanging="567"/>
      </w:pPr>
      <w:r>
        <w:t>[7]</w:t>
      </w:r>
      <w:r>
        <w:tab/>
      </w:r>
      <w:r w:rsidR="00112F81" w:rsidRPr="00112F81">
        <w:t xml:space="preserve">He contends that the number </w:t>
      </w:r>
      <w:r w:rsidR="00D84B5D">
        <w:t>[…]</w:t>
      </w:r>
      <w:r w:rsidR="00112F81" w:rsidRPr="00112F81">
        <w:t xml:space="preserve"> for which the cell phone records are sought is his. He contends that his cell phone records which are in the possession of the respondent will </w:t>
      </w:r>
      <w:r w:rsidR="00896336">
        <w:t>detail and reveal</w:t>
      </w:r>
      <w:r w:rsidR="00112F81" w:rsidRPr="00112F81">
        <w:t xml:space="preserve"> his whereabouts </w:t>
      </w:r>
      <w:r w:rsidR="00B312D0">
        <w:t xml:space="preserve">at the time </w:t>
      </w:r>
      <w:r w:rsidR="00112F81" w:rsidRPr="00112F81">
        <w:t xml:space="preserve">when the robbery </w:t>
      </w:r>
      <w:r w:rsidR="00B312D0">
        <w:t xml:space="preserve">is alleged to have </w:t>
      </w:r>
      <w:r w:rsidR="00112F81" w:rsidRPr="00112F81">
        <w:t>t</w:t>
      </w:r>
      <w:r w:rsidR="00B312D0">
        <w:t>a</w:t>
      </w:r>
      <w:r w:rsidR="00112F81" w:rsidRPr="00112F81">
        <w:t>k</w:t>
      </w:r>
      <w:r w:rsidR="00B312D0">
        <w:t>en</w:t>
      </w:r>
      <w:r w:rsidR="00112F81" w:rsidRPr="00112F81">
        <w:t xml:space="preserve"> place, and this will prove his innocence</w:t>
      </w:r>
      <w:r w:rsidR="00876077">
        <w:t xml:space="preserve"> once and for all</w:t>
      </w:r>
      <w:r w:rsidR="00112F81" w:rsidRPr="00112F81">
        <w:t xml:space="preserve"> as he submitted that he was not part of the robbery crew. </w:t>
      </w:r>
    </w:p>
    <w:p w14:paraId="30921850" w14:textId="3E9068F0" w:rsidR="00EA748D" w:rsidRDefault="00EA748D" w:rsidP="00EA748D">
      <w:pPr>
        <w:spacing w:line="480" w:lineRule="auto"/>
      </w:pPr>
    </w:p>
    <w:p w14:paraId="2886F2CC" w14:textId="3C1CF12F" w:rsidR="00112F81" w:rsidRPr="00112F81" w:rsidRDefault="00B42B70" w:rsidP="00B42B70">
      <w:pPr>
        <w:tabs>
          <w:tab w:val="left" w:pos="927"/>
        </w:tabs>
        <w:spacing w:before="240" w:line="480" w:lineRule="auto"/>
        <w:ind w:left="927" w:hanging="567"/>
      </w:pPr>
      <w:r w:rsidRPr="00112F81">
        <w:lastRenderedPageBreak/>
        <w:t>[8]</w:t>
      </w:r>
      <w:r w:rsidRPr="00112F81">
        <w:tab/>
      </w:r>
      <w:r w:rsidR="00112F81" w:rsidRPr="00112F81">
        <w:t>He contends that this cell phone triangula</w:t>
      </w:r>
      <w:r w:rsidR="00876077">
        <w:t>tion</w:t>
      </w:r>
      <w:r w:rsidR="00112F81" w:rsidRPr="00112F81">
        <w:t xml:space="preserve"> evidence is essential to his appeal and the realisation of his constitutional right to a fair trial. The applicant relies on section 32(1)(b) of the Constitution to show his entitlement to the records requested from the respondent. The applicant submits that section 32(1)(b) of the Constitution trumps any other legislation including statutes dealing with communication-related information</w:t>
      </w:r>
      <w:r w:rsidR="008A7A67">
        <w:t xml:space="preserve"> such as </w:t>
      </w:r>
      <w:r w:rsidR="00FF635D">
        <w:t>R</w:t>
      </w:r>
      <w:r w:rsidR="008A7A67">
        <w:t>ICA.</w:t>
      </w:r>
      <w:r w:rsidR="00090F1C">
        <w:rPr>
          <w:rStyle w:val="FootnoteReference"/>
        </w:rPr>
        <w:footnoteReference w:id="1"/>
      </w:r>
    </w:p>
    <w:p w14:paraId="3F3C6C10" w14:textId="34ADAD35" w:rsidR="00112F81" w:rsidRPr="00B013F2" w:rsidRDefault="00B42B70" w:rsidP="00B42B70">
      <w:pPr>
        <w:pStyle w:val="LegalNormal"/>
        <w:tabs>
          <w:tab w:val="left" w:pos="927"/>
        </w:tabs>
        <w:spacing w:before="240"/>
        <w:ind w:left="927" w:hanging="567"/>
      </w:pPr>
      <w:r w:rsidRPr="00B013F2">
        <w:t>[9]</w:t>
      </w:r>
      <w:r w:rsidRPr="00B013F2">
        <w:tab/>
      </w:r>
      <w:r w:rsidR="00E22A69" w:rsidRPr="00E22A69">
        <w:t xml:space="preserve">The applicant submits that the respondent will not suffer any prejudice if the court finds in </w:t>
      </w:r>
      <w:r w:rsidR="00A97F9B">
        <w:t xml:space="preserve">his </w:t>
      </w:r>
      <w:r w:rsidR="00E22A69" w:rsidRPr="00E22A69">
        <w:t>favour</w:t>
      </w:r>
      <w:r w:rsidR="00A97F9B">
        <w:t>,</w:t>
      </w:r>
      <w:r w:rsidR="00E22A69" w:rsidRPr="00E22A69">
        <w:t xml:space="preserve"> while he </w:t>
      </w:r>
      <w:r w:rsidR="00A97F9B">
        <w:t xml:space="preserve">stands to </w:t>
      </w:r>
      <w:r w:rsidR="00E22A69" w:rsidRPr="00E22A69">
        <w:t xml:space="preserve">suffer great prejudice if the court does not grant the relief he seeks. The prejudice will be that he will not be able to bring another application to introduce further evidence to prove that he was wrongfully convicted. Moreover, if the court does not grant the relief sought it will set a dangerous precedent, one that will cause an injustice and violate </w:t>
      </w:r>
      <w:r w:rsidR="00A97F9B">
        <w:t>people’s</w:t>
      </w:r>
      <w:r w:rsidR="00E22A69" w:rsidRPr="00E22A69">
        <w:t xml:space="preserve"> constitutional rights.</w:t>
      </w:r>
    </w:p>
    <w:p w14:paraId="548C2843" w14:textId="1A4A6FBF" w:rsidR="00603BFB" w:rsidRDefault="00B42B70" w:rsidP="00B42B70">
      <w:pPr>
        <w:pStyle w:val="LegalNormal"/>
        <w:tabs>
          <w:tab w:val="left" w:pos="927"/>
        </w:tabs>
        <w:ind w:left="927" w:hanging="567"/>
      </w:pPr>
      <w:r>
        <w:t>[10]</w:t>
      </w:r>
      <w:r>
        <w:tab/>
      </w:r>
      <w:r w:rsidR="00A661F1">
        <w:t>The applicant has filed a second set of heads of argument.</w:t>
      </w:r>
      <w:r w:rsidR="00A86428" w:rsidRPr="00A86428">
        <w:t xml:space="preserve"> </w:t>
      </w:r>
      <w:r w:rsidR="00603BFB">
        <w:t>Here</w:t>
      </w:r>
      <w:r w:rsidR="00A86428" w:rsidRPr="00A86428">
        <w:t xml:space="preserve"> the applicant contends that he is a customer of the respondent as the number </w:t>
      </w:r>
      <w:r w:rsidR="00D84B5D">
        <w:t>[…]</w:t>
      </w:r>
      <w:r w:rsidR="00A86428" w:rsidRPr="00A86428">
        <w:t xml:space="preserve"> which he requests records for belonged to him before the robbery leading up to the period when he was convicted, and it was serviced by the respondent up until it was put out of service after this application was lodged. </w:t>
      </w:r>
    </w:p>
    <w:p w14:paraId="665E1376" w14:textId="0449B251" w:rsidR="00425C83" w:rsidRDefault="00B42B70" w:rsidP="00B42B70">
      <w:pPr>
        <w:pStyle w:val="LegalNormal"/>
        <w:tabs>
          <w:tab w:val="left" w:pos="927"/>
        </w:tabs>
        <w:ind w:left="927" w:hanging="567"/>
      </w:pPr>
      <w:r>
        <w:lastRenderedPageBreak/>
        <w:t>[11]</w:t>
      </w:r>
      <w:r>
        <w:tab/>
      </w:r>
      <w:r w:rsidR="00A86428" w:rsidRPr="00A86428">
        <w:t>He submits that he was never in a contractual agreement with the respondent, but he was on a pre-paid plan also offered by the respondent. He attached a confirmatory affidavit of his wife of 23 years attesting same. He submits that although he cannot obtain his account details since he is incarcerated, the number in question appears in his ABSA business bank account and cheque account. He submits that this is sufficient to establish his locus standi and that he is a customer of the respondent who is entitled to the cell phone records he seeks. He further submits that the respondent has this information at its fingertips and can assist the court in determining that the number in question is in fact his number and that he is a customer of the respondent.</w:t>
      </w:r>
    </w:p>
    <w:p w14:paraId="4479149A" w14:textId="3FCBB0C8" w:rsidR="00A661F1" w:rsidRDefault="00B42B70" w:rsidP="00B42B70">
      <w:pPr>
        <w:pStyle w:val="LegalNormal"/>
        <w:tabs>
          <w:tab w:val="left" w:pos="927"/>
        </w:tabs>
        <w:ind w:left="927" w:hanging="567"/>
      </w:pPr>
      <w:r>
        <w:t>[12]</w:t>
      </w:r>
      <w:r>
        <w:tab/>
      </w:r>
      <w:r w:rsidR="009F0F09" w:rsidRPr="009F0F09">
        <w:t xml:space="preserve">Additionally, the applicant has annexed in his second set of heads, the </w:t>
      </w:r>
      <w:r w:rsidR="00737EDC">
        <w:t>“</w:t>
      </w:r>
      <w:r w:rsidR="009F0F09" w:rsidRPr="009F0F09">
        <w:t>without prejudice</w:t>
      </w:r>
      <w:r w:rsidR="00737EDC">
        <w:t>”</w:t>
      </w:r>
      <w:r w:rsidR="009F0F09" w:rsidRPr="009F0F09">
        <w:t xml:space="preserve"> correspondences sent to his erstwhile attorneys and then to him after his attorneys withdrew. One of these essentially state that the respondent has not received any proof that the number for which the cell phone records are sought belongs to the applicant and as such they cannot release such information to him until he has satisfied </w:t>
      </w:r>
      <w:r w:rsidR="00737EDC">
        <w:t xml:space="preserve">them </w:t>
      </w:r>
      <w:r w:rsidR="009F0F09" w:rsidRPr="009F0F09">
        <w:t xml:space="preserve">that the number does or did belong to the applicant; further, the respondent states that the cell phone records released to the state in terms of section 205(1) of the Criminal Procedure Act 61 of 1977 should be in the record of the applicant’s criminal trial and the respondent invites the applicant to request this information from his criminal trial record. In the second without prejudice correspondence, the respondent calls on the applicant to withdraw the application before this court due to the delay in finalizing this matter and due to the applicant’s erstwhile attorneys’ withdrawal. </w:t>
      </w:r>
      <w:r w:rsidR="009F0F09" w:rsidRPr="009F0F09">
        <w:lastRenderedPageBreak/>
        <w:t xml:space="preserve">Failing to do so, the respondent stated they will move to dismiss this application and seek costs on an attorney and client scale.  </w:t>
      </w:r>
    </w:p>
    <w:p w14:paraId="50749D6B" w14:textId="447B0DC2" w:rsidR="009960DF" w:rsidRPr="00D47881" w:rsidRDefault="00B42B70" w:rsidP="00B42B70">
      <w:pPr>
        <w:pStyle w:val="LegalNormal"/>
        <w:ind w:left="720" w:hanging="360"/>
        <w:rPr>
          <w:b/>
          <w:bCs/>
        </w:rPr>
      </w:pPr>
      <w:r w:rsidRPr="00D47881">
        <w:rPr>
          <w:b/>
          <w:bCs/>
        </w:rPr>
        <w:t>C.</w:t>
      </w:r>
      <w:r w:rsidRPr="00D47881">
        <w:rPr>
          <w:b/>
          <w:bCs/>
        </w:rPr>
        <w:tab/>
      </w:r>
      <w:r w:rsidR="00425C83" w:rsidRPr="00D47881">
        <w:rPr>
          <w:b/>
          <w:bCs/>
        </w:rPr>
        <w:t>THE RESPONDENT’S S</w:t>
      </w:r>
      <w:r w:rsidR="005576B4">
        <w:rPr>
          <w:b/>
          <w:bCs/>
        </w:rPr>
        <w:t>UBMISSIONS</w:t>
      </w:r>
    </w:p>
    <w:p w14:paraId="5158951C" w14:textId="18C1237C" w:rsidR="001E2187" w:rsidRDefault="00B42B70" w:rsidP="00B42B70">
      <w:pPr>
        <w:pStyle w:val="LegalNormal"/>
        <w:tabs>
          <w:tab w:val="left" w:pos="927"/>
        </w:tabs>
        <w:ind w:left="927" w:hanging="567"/>
      </w:pPr>
      <w:r>
        <w:t>[13]</w:t>
      </w:r>
      <w:r>
        <w:tab/>
      </w:r>
      <w:r w:rsidR="008D19F4" w:rsidRPr="008D19F4">
        <w:t xml:space="preserve">The respondent raised points </w:t>
      </w:r>
      <w:r w:rsidR="008D19F4" w:rsidRPr="008D19F4">
        <w:rPr>
          <w:i/>
          <w:iCs/>
        </w:rPr>
        <w:t>in limine</w:t>
      </w:r>
      <w:r w:rsidR="008D19F4" w:rsidRPr="008D19F4">
        <w:t xml:space="preserve"> in that the applicant did not set out the empowering provision on which he relies on for bringing this application and it thus difficult to determine if the applicant has made all the necessary averments to support the allegations he made; the applicant does not allege the grounds upon which he is entitled to the information he has requested from the respondent, he did not furnish proof that he was a customer of the respondent during the period upon which he requires the cell phone records; the applicant’s application has lapsed in that the maximum storage period for archived communication-rel</w:t>
      </w:r>
      <w:r w:rsidR="00EA748D">
        <w:t>ated information</w:t>
      </w:r>
      <w:r w:rsidR="008D19F4" w:rsidRPr="008D19F4">
        <w:t>.</w:t>
      </w:r>
    </w:p>
    <w:p w14:paraId="3710DB69" w14:textId="683D7512" w:rsidR="008D19F4" w:rsidRDefault="00B42B70" w:rsidP="00B42B70">
      <w:pPr>
        <w:pStyle w:val="LegalNormal"/>
        <w:tabs>
          <w:tab w:val="left" w:pos="927"/>
        </w:tabs>
        <w:ind w:left="927" w:hanging="567"/>
      </w:pPr>
      <w:r>
        <w:t>[14]</w:t>
      </w:r>
      <w:r>
        <w:tab/>
      </w:r>
      <w:r w:rsidR="0076770E" w:rsidRPr="0076770E">
        <w:t>The respondent submits that the Independent Communications Authority of South Africa (ICASA) prescribed regulations in terms of section 4 read with section 69(1) of the Electronic Communications Act 2005 in respect of the code of conduct for electronic communications and electronic communications network services licensees, which stipulate that requested communication-related information can only be provided to customers or consumers, subject to certain exceptions. The respondent</w:t>
      </w:r>
      <w:r w:rsidR="0002035A">
        <w:t xml:space="preserve"> </w:t>
      </w:r>
      <w:r w:rsidR="0002035A" w:rsidRPr="0002035A">
        <w:t>submits that the applicant has not shown any relationship with the respondent entitling him the title of ‘customer’.</w:t>
      </w:r>
    </w:p>
    <w:p w14:paraId="26EFF3FA" w14:textId="6391B79A" w:rsidR="008F2E6A" w:rsidRDefault="00B42B70" w:rsidP="00B42B70">
      <w:pPr>
        <w:pStyle w:val="LegalNormal"/>
        <w:tabs>
          <w:tab w:val="left" w:pos="927"/>
        </w:tabs>
        <w:ind w:left="927" w:hanging="567"/>
      </w:pPr>
      <w:r>
        <w:lastRenderedPageBreak/>
        <w:t>[15]</w:t>
      </w:r>
      <w:r>
        <w:tab/>
      </w:r>
      <w:r w:rsidR="00CA64A7" w:rsidRPr="00CA64A7">
        <w:t>The respondent submits that the applicant is mistaken in believing that it can and should provide the information sought. The respondent submits that the reason for such a submission is that the regulations released by ICASA stipulate that communication-related information must be stored for a maximum period of 3 years and this application is late as the three years have lapsed and the respondent no longer has the information requested in its possession. The respondent further submits that this application is futile and if the court grants the order sought by the applicant, the order will have no practical effect as the respondent cannot provide information it does not have, and it will expose the respondent to incurable and perpetual contempt of court.</w:t>
      </w:r>
    </w:p>
    <w:p w14:paraId="731F09D0" w14:textId="3BB68178" w:rsidR="00C64245" w:rsidRDefault="00B42B70" w:rsidP="00B42B70">
      <w:pPr>
        <w:pStyle w:val="LegalNormal"/>
        <w:tabs>
          <w:tab w:val="left" w:pos="927"/>
        </w:tabs>
        <w:ind w:left="927" w:hanging="567"/>
      </w:pPr>
      <w:r>
        <w:t>[16]</w:t>
      </w:r>
      <w:r>
        <w:tab/>
      </w:r>
      <w:r w:rsidR="00C64245" w:rsidRPr="00C64245">
        <w:t>The respondent submits that this application is flawed, and the relief sought is not legally competent based on the submissions it made above, as such the application falls to be dismissed with costs.</w:t>
      </w:r>
    </w:p>
    <w:p w14:paraId="30B6FD8F" w14:textId="35401414" w:rsidR="00C64245" w:rsidRPr="0044596C" w:rsidRDefault="005023C6" w:rsidP="0044596C">
      <w:pPr>
        <w:pStyle w:val="LegalNormal"/>
        <w:ind w:left="360"/>
        <w:rPr>
          <w:b/>
          <w:bCs/>
        </w:rPr>
      </w:pPr>
      <w:r w:rsidRPr="0044596C">
        <w:rPr>
          <w:b/>
          <w:bCs/>
        </w:rPr>
        <w:t>Issues for determination</w:t>
      </w:r>
    </w:p>
    <w:p w14:paraId="5CE8DADA" w14:textId="32BDF03F" w:rsidR="0044596C" w:rsidRDefault="00B42B70" w:rsidP="00B42B70">
      <w:pPr>
        <w:pStyle w:val="LegalNormal"/>
        <w:tabs>
          <w:tab w:val="left" w:pos="927"/>
        </w:tabs>
        <w:ind w:left="927" w:hanging="567"/>
      </w:pPr>
      <w:r>
        <w:t>[17]</w:t>
      </w:r>
      <w:r>
        <w:tab/>
      </w:r>
      <w:r w:rsidR="00FD7F25" w:rsidRPr="00FD7F25">
        <w:t xml:space="preserve">There are two issues for consideration in this matter. Firstly, whether the applicant is entitled to request the cell phone records from the respondent and </w:t>
      </w:r>
      <w:r w:rsidR="00C269E0">
        <w:t xml:space="preserve">secondly, </w:t>
      </w:r>
      <w:r w:rsidR="00FD7F25" w:rsidRPr="00FD7F25">
        <w:t>whether the relief sought is legally competent.</w:t>
      </w:r>
    </w:p>
    <w:p w14:paraId="234F721A" w14:textId="77777777" w:rsidR="00610F1F" w:rsidRDefault="00610F1F" w:rsidP="00610F1F">
      <w:pPr>
        <w:pStyle w:val="LegalNormal"/>
        <w:ind w:left="927"/>
      </w:pPr>
    </w:p>
    <w:p w14:paraId="6ED867E6" w14:textId="77777777" w:rsidR="004E016E" w:rsidRDefault="004E016E" w:rsidP="004E016E">
      <w:pPr>
        <w:pStyle w:val="LegalNormal"/>
        <w:ind w:left="927"/>
      </w:pPr>
    </w:p>
    <w:p w14:paraId="167C8109" w14:textId="4BD4834D" w:rsidR="00C269E0" w:rsidRPr="004E016E" w:rsidRDefault="00B42B70" w:rsidP="00B42B70">
      <w:pPr>
        <w:pStyle w:val="LegalNormal"/>
        <w:ind w:left="720" w:hanging="360"/>
        <w:rPr>
          <w:b/>
          <w:bCs/>
        </w:rPr>
      </w:pPr>
      <w:r w:rsidRPr="004E016E">
        <w:rPr>
          <w:b/>
          <w:bCs/>
        </w:rPr>
        <w:lastRenderedPageBreak/>
        <w:t>D.</w:t>
      </w:r>
      <w:r w:rsidRPr="004E016E">
        <w:rPr>
          <w:b/>
          <w:bCs/>
        </w:rPr>
        <w:tab/>
      </w:r>
      <w:r w:rsidR="004E016E" w:rsidRPr="004E016E">
        <w:rPr>
          <w:b/>
          <w:bCs/>
        </w:rPr>
        <w:t xml:space="preserve"> </w:t>
      </w:r>
      <w:r w:rsidR="000715CB">
        <w:rPr>
          <w:b/>
          <w:bCs/>
        </w:rPr>
        <w:t>ANALYSIS OF THE</w:t>
      </w:r>
      <w:r w:rsidR="004E016E" w:rsidRPr="004E016E">
        <w:rPr>
          <w:b/>
          <w:bCs/>
        </w:rPr>
        <w:t xml:space="preserve"> LEGAL PROVISIONS</w:t>
      </w:r>
    </w:p>
    <w:p w14:paraId="333D236F" w14:textId="59D7EE0E" w:rsidR="00AF5423" w:rsidRDefault="00B42B70" w:rsidP="00B42B70">
      <w:pPr>
        <w:pStyle w:val="LegalNormal"/>
        <w:tabs>
          <w:tab w:val="left" w:pos="927"/>
        </w:tabs>
        <w:ind w:left="927" w:hanging="567"/>
      </w:pPr>
      <w:r>
        <w:t>[18]</w:t>
      </w:r>
      <w:r>
        <w:tab/>
      </w:r>
      <w:r w:rsidR="00E9128E">
        <w:t>Section 32 of the Constitution stipulates that</w:t>
      </w:r>
      <w:r w:rsidR="008F074D">
        <w:t>:</w:t>
      </w:r>
    </w:p>
    <w:p w14:paraId="7EC8DC38" w14:textId="77777777" w:rsidR="00F6482A" w:rsidRPr="00EF777C" w:rsidRDefault="00F6482A" w:rsidP="00F6482A">
      <w:pPr>
        <w:ind w:left="720"/>
        <w:rPr>
          <w:rFonts w:cs="Arial"/>
        </w:rPr>
      </w:pPr>
      <w:r w:rsidRPr="00EF777C">
        <w:rPr>
          <w:rFonts w:cs="Arial"/>
        </w:rPr>
        <w:t>“Access to information</w:t>
      </w:r>
    </w:p>
    <w:p w14:paraId="7AB55962" w14:textId="77777777" w:rsidR="00F6482A" w:rsidRPr="00EF777C" w:rsidRDefault="00F6482A" w:rsidP="00F6482A">
      <w:pPr>
        <w:ind w:left="720"/>
        <w:rPr>
          <w:rFonts w:cs="Arial"/>
        </w:rPr>
      </w:pPr>
      <w:r w:rsidRPr="00EF777C">
        <w:rPr>
          <w:rFonts w:cs="Arial"/>
        </w:rPr>
        <w:t>(1) Everyone has the right of access to—</w:t>
      </w:r>
    </w:p>
    <w:p w14:paraId="1A330D59" w14:textId="77777777" w:rsidR="00F6482A" w:rsidRPr="00EF777C" w:rsidRDefault="00F6482A" w:rsidP="00F6482A">
      <w:pPr>
        <w:ind w:left="1440"/>
        <w:rPr>
          <w:rFonts w:cs="Arial"/>
        </w:rPr>
      </w:pPr>
      <w:r w:rsidRPr="00EF777C">
        <w:rPr>
          <w:rFonts w:cs="Arial"/>
        </w:rPr>
        <w:t xml:space="preserve">(a) any information held by the state; and </w:t>
      </w:r>
    </w:p>
    <w:p w14:paraId="3393D5D7" w14:textId="77777777" w:rsidR="00F6482A" w:rsidRPr="00EF777C" w:rsidRDefault="00F6482A" w:rsidP="00F6482A">
      <w:pPr>
        <w:ind w:left="1440"/>
        <w:rPr>
          <w:rFonts w:cs="Arial"/>
        </w:rPr>
      </w:pPr>
      <w:r w:rsidRPr="00EF777C">
        <w:rPr>
          <w:rFonts w:cs="Arial"/>
        </w:rPr>
        <w:t>(b) any information that is held by another person and that is required for the exercise or protection of any rights.</w:t>
      </w:r>
    </w:p>
    <w:p w14:paraId="497F7006" w14:textId="77777777" w:rsidR="00F6482A" w:rsidRPr="00EF777C" w:rsidRDefault="00F6482A" w:rsidP="007D1FBA">
      <w:pPr>
        <w:spacing w:before="240"/>
        <w:ind w:firstLine="720"/>
        <w:rPr>
          <w:rFonts w:cs="Arial"/>
        </w:rPr>
      </w:pPr>
      <w:r w:rsidRPr="00EF777C">
        <w:rPr>
          <w:rFonts w:cs="Arial"/>
        </w:rPr>
        <w:t>...”</w:t>
      </w:r>
    </w:p>
    <w:p w14:paraId="27D64849" w14:textId="54ABB1FC" w:rsidR="0091127B" w:rsidRDefault="00B42B70" w:rsidP="00B42B70">
      <w:pPr>
        <w:pStyle w:val="LegalNormal"/>
        <w:tabs>
          <w:tab w:val="left" w:pos="927"/>
        </w:tabs>
        <w:spacing w:before="240"/>
        <w:ind w:left="927" w:hanging="567"/>
      </w:pPr>
      <w:r>
        <w:t>[19]</w:t>
      </w:r>
      <w:r>
        <w:tab/>
      </w:r>
      <w:r w:rsidR="00DA6DDD" w:rsidRPr="00DA6DDD">
        <w:t xml:space="preserve">The right guaranteed by section 32(1) appears to be a broad right, one that allows one to request any information about oneself, the use of ‘any information’ indicates that a requester is not limited in terms of what they can request access to. This right is also broad in that it is applicable to both the public and private bodies and is not merely restricted to state-held information. This provision finds application in this matter as the applicant (requester) requests access to the information in the form of cell phone records that he believes is held by the respondent, a private body.  </w:t>
      </w:r>
    </w:p>
    <w:p w14:paraId="5E6BF52D" w14:textId="45B89151" w:rsidR="00DA6DDD" w:rsidRDefault="00B42B70" w:rsidP="00B42B70">
      <w:pPr>
        <w:pStyle w:val="LegalNormal"/>
        <w:tabs>
          <w:tab w:val="left" w:pos="927"/>
        </w:tabs>
        <w:spacing w:before="240"/>
        <w:ind w:left="927" w:hanging="567"/>
      </w:pPr>
      <w:r>
        <w:t>[20]</w:t>
      </w:r>
      <w:r>
        <w:tab/>
      </w:r>
      <w:r w:rsidR="00361999" w:rsidRPr="00361999">
        <w:t xml:space="preserve">The court in </w:t>
      </w:r>
      <w:r w:rsidR="00361999" w:rsidRPr="00361999">
        <w:rPr>
          <w:b/>
          <w:bCs/>
          <w:i/>
          <w:iCs/>
        </w:rPr>
        <w:t>ABBM Printing &amp; Publishing (Pty) Ltd v Transnet Ltd</w:t>
      </w:r>
      <w:r w:rsidR="00361999">
        <w:rPr>
          <w:rStyle w:val="FootnoteReference"/>
          <w:b/>
          <w:bCs/>
          <w:i/>
          <w:iCs/>
        </w:rPr>
        <w:footnoteReference w:id="2"/>
      </w:r>
      <w:r w:rsidR="00361999" w:rsidRPr="00361999">
        <w:t xml:space="preserve"> gave the word ‘required’ in section 32(1)(b) of the Constitution a generous and purposive meaning and held that ‘required’ should be understood to mean ‘reasonably </w:t>
      </w:r>
      <w:r w:rsidR="00361999" w:rsidRPr="00361999">
        <w:lastRenderedPageBreak/>
        <w:t>required’.</w:t>
      </w:r>
      <w:r w:rsidR="003B50D4">
        <w:rPr>
          <w:rStyle w:val="FootnoteReference"/>
        </w:rPr>
        <w:footnoteReference w:id="3"/>
      </w:r>
      <w:r w:rsidR="00361999" w:rsidRPr="00361999">
        <w:t xml:space="preserve">  The court further held that the applicant in that matter “</w:t>
      </w:r>
      <w:r w:rsidR="00361999" w:rsidRPr="002E202D">
        <w:rPr>
          <w:i/>
        </w:rPr>
        <w:t>clearly require[d] the documents referred to in the notice of motion in order to determine whether the tender process complied with the requirements of s</w:t>
      </w:r>
      <w:r w:rsidR="002E202D" w:rsidRPr="002E202D">
        <w:rPr>
          <w:i/>
        </w:rPr>
        <w:t>ection</w:t>
      </w:r>
      <w:r w:rsidR="00361999" w:rsidRPr="002E202D">
        <w:rPr>
          <w:i/>
        </w:rPr>
        <w:t xml:space="preserve"> 33 of the Constitution. Until it has had sight thereof, it cannot decide whether it has any claim for relief against the respondent</w:t>
      </w:r>
      <w:r w:rsidR="00361999" w:rsidRPr="00361999">
        <w:t>.”</w:t>
      </w:r>
      <w:r w:rsidR="003B50D4">
        <w:rPr>
          <w:rStyle w:val="FootnoteReference"/>
        </w:rPr>
        <w:footnoteReference w:id="4"/>
      </w:r>
    </w:p>
    <w:p w14:paraId="5244EFA4" w14:textId="02B06FAA" w:rsidR="003F6DA7" w:rsidRDefault="00B42B70" w:rsidP="00B42B70">
      <w:pPr>
        <w:pStyle w:val="LegalNormal"/>
        <w:tabs>
          <w:tab w:val="left" w:pos="927"/>
        </w:tabs>
        <w:spacing w:before="240"/>
        <w:ind w:left="927" w:hanging="567"/>
      </w:pPr>
      <w:r>
        <w:t>[21]</w:t>
      </w:r>
      <w:r>
        <w:tab/>
      </w:r>
      <w:r w:rsidR="003F6DA7">
        <w:t xml:space="preserve">Moreover, in </w:t>
      </w:r>
      <w:r w:rsidR="003F6DA7" w:rsidRPr="000672D1">
        <w:rPr>
          <w:b/>
          <w:bCs/>
          <w:i/>
          <w:iCs/>
        </w:rPr>
        <w:t xml:space="preserve">Tobacco Institute of Southern Africa and Others v Minister of </w:t>
      </w:r>
      <w:r w:rsidR="004B36C2" w:rsidRPr="000672D1">
        <w:rPr>
          <w:b/>
          <w:bCs/>
          <w:i/>
          <w:iCs/>
        </w:rPr>
        <w:t>Health</w:t>
      </w:r>
      <w:r w:rsidR="004B36C2">
        <w:t>, the</w:t>
      </w:r>
      <w:r w:rsidR="003F6DA7">
        <w:t xml:space="preserve"> test for section 32(1) was set out as follows on page 752G-H:</w:t>
      </w:r>
    </w:p>
    <w:p w14:paraId="0CB5E186" w14:textId="39AA413E" w:rsidR="003B50D4" w:rsidRPr="001F2044" w:rsidRDefault="003F6DA7" w:rsidP="003F6DA7">
      <w:pPr>
        <w:pStyle w:val="LegalNormal"/>
        <w:spacing w:before="240"/>
        <w:ind w:left="927"/>
        <w:rPr>
          <w:i/>
          <w:iCs/>
        </w:rPr>
      </w:pPr>
      <w:r w:rsidRPr="001F2044">
        <w:rPr>
          <w:i/>
          <w:iCs/>
        </w:rPr>
        <w:t>“In order to trigger the aforementioned right of access, two threshold requirements must be met. Firstly, the information must be ‘required’ and, secondly, it must be required for the exercise or protection of any of the claimants’ ‘rights’.”</w:t>
      </w:r>
    </w:p>
    <w:p w14:paraId="76AA6F68" w14:textId="75ACD691" w:rsidR="0091127B" w:rsidRDefault="00B42B70" w:rsidP="00B42B70">
      <w:pPr>
        <w:pStyle w:val="LegalNormal"/>
        <w:tabs>
          <w:tab w:val="left" w:pos="927"/>
        </w:tabs>
        <w:ind w:left="927" w:hanging="567"/>
      </w:pPr>
      <w:r>
        <w:t>[22]</w:t>
      </w:r>
      <w:r>
        <w:tab/>
      </w:r>
      <w:r w:rsidR="008655DB" w:rsidRPr="0058046B">
        <w:t>Considering</w:t>
      </w:r>
      <w:r w:rsidR="0058046B" w:rsidRPr="0058046B">
        <w:t xml:space="preserve"> the above, it can be argued that the test for section 32(1) is whether the information sought is reasonably required for the enforcement and realisation of the applicants’ rights. This is to say that when the requester of information reasonably requires said information for the purpose of exercising or protecting any of their rights and cannot determine if they have a claim or a relief in respect of that right without the sought information in sight, they should be provided with the sought information. In this matter, the applicant seeks to appeal his </w:t>
      </w:r>
      <w:r w:rsidR="0058046B" w:rsidRPr="0058046B">
        <w:lastRenderedPageBreak/>
        <w:t xml:space="preserve">conviction and sentence and is of the belief that the sought cell phone records are the only evidence that can aid him in determining if he can and should pursue the appeal. Furthermore, the applicant is of the belief that the sought cell phone records will be the evidence that he will need </w:t>
      </w:r>
      <w:r w:rsidR="005838F1" w:rsidRPr="0058046B">
        <w:t>to</w:t>
      </w:r>
      <w:r w:rsidR="0058046B" w:rsidRPr="0058046B">
        <w:t xml:space="preserve"> succeed in his appeal, provided it is sufficient to pursue an appeal.</w:t>
      </w:r>
    </w:p>
    <w:p w14:paraId="6B231552" w14:textId="2D5A20E6" w:rsidR="00FE727F" w:rsidRDefault="00B42B70" w:rsidP="00B42B70">
      <w:pPr>
        <w:pStyle w:val="LegalNormal"/>
        <w:tabs>
          <w:tab w:val="left" w:pos="927"/>
        </w:tabs>
        <w:ind w:left="927" w:hanging="567"/>
      </w:pPr>
      <w:r>
        <w:t>[23]</w:t>
      </w:r>
      <w:r>
        <w:tab/>
      </w:r>
      <w:r w:rsidR="00F25C43" w:rsidRPr="00F25C43">
        <w:t>Further</w:t>
      </w:r>
      <w:r w:rsidR="00F25C43">
        <w:t>more</w:t>
      </w:r>
      <w:r w:rsidR="00F25C43" w:rsidRPr="00F25C43">
        <w:t xml:space="preserve">, section 32(2) of the Constitution stipulates that “national legislation must be enacted to give effect to this right…” set out in section 32(1) which is the right of access to any information, hence, the Promotion of Access to Information Act 2 of 2000 (PAIA), which regulates the provision of access to requested information. The Constitutional Court in </w:t>
      </w:r>
      <w:r w:rsidR="00F25C43" w:rsidRPr="00F25C43">
        <w:rPr>
          <w:b/>
          <w:bCs/>
          <w:i/>
          <w:iCs/>
        </w:rPr>
        <w:t>Minister of Health and Another v New Clicks South Africa (Pty) Ltd and Others</w:t>
      </w:r>
      <w:r w:rsidR="00EC50DF">
        <w:rPr>
          <w:rStyle w:val="FootnoteReference"/>
          <w:b/>
          <w:bCs/>
          <w:i/>
          <w:iCs/>
        </w:rPr>
        <w:footnoteReference w:id="5"/>
      </w:r>
      <w:r w:rsidR="00F25C43" w:rsidRPr="00F25C43">
        <w:t xml:space="preserve"> held that where the Constitution requires for legislation to be enacted which will give effect to the constitutional rights guaranteed in the Constitution, and said legislation is indeed enacted, the litigant should not directly rely on the</w:t>
      </w:r>
      <w:r w:rsidR="00FE727F">
        <w:t xml:space="preserve"> Constitution unless there are deficiencies in the said legislation.</w:t>
      </w:r>
      <w:r w:rsidR="00D7165F">
        <w:rPr>
          <w:rStyle w:val="FootnoteReference"/>
        </w:rPr>
        <w:footnoteReference w:id="6"/>
      </w:r>
      <w:r w:rsidR="00FE727F">
        <w:t xml:space="preserve">  This is affirmed in various judgments, one being the judgment of </w:t>
      </w:r>
      <w:r w:rsidR="00FE727F" w:rsidRPr="00FE727F">
        <w:rPr>
          <w:b/>
          <w:bCs/>
          <w:i/>
          <w:iCs/>
        </w:rPr>
        <w:t>PFE International Inc (BVI) and Others v Industrial Development Corporation of South Africa Ltd</w:t>
      </w:r>
      <w:r w:rsidR="003D69C2">
        <w:rPr>
          <w:rStyle w:val="FootnoteReference"/>
          <w:b/>
          <w:bCs/>
          <w:i/>
          <w:iCs/>
        </w:rPr>
        <w:footnoteReference w:id="7"/>
      </w:r>
      <w:r w:rsidR="00FE727F">
        <w:t xml:space="preserve"> where the Constitutional Court said the following regarding PAIA in relation to section 32 of the Constitution:</w:t>
      </w:r>
    </w:p>
    <w:p w14:paraId="00641AE7" w14:textId="1FFE5431" w:rsidR="005838F1" w:rsidRPr="00FE727F" w:rsidRDefault="00FE727F" w:rsidP="00FE727F">
      <w:pPr>
        <w:pStyle w:val="LegalNormal"/>
        <w:ind w:left="927"/>
        <w:rPr>
          <w:i/>
          <w:iCs/>
        </w:rPr>
      </w:pPr>
      <w:r w:rsidRPr="00FE727F">
        <w:rPr>
          <w:i/>
          <w:iCs/>
        </w:rPr>
        <w:lastRenderedPageBreak/>
        <w:t>“PAIA is the national legislation contemplated in section 32(2) of the Constitution. In accordance with the obligation imposed by this provision, PAIA was enacted to give effect to the right of access to information, regardless of whether that information is in the hands of a public body or a private person. Ordinarily, and according to the principle of constitutional subsidiarity, claims for enforcing the right of access to information must be based on PAIA.”</w:t>
      </w:r>
      <w:r w:rsidR="00185E70">
        <w:rPr>
          <w:rStyle w:val="FootnoteReference"/>
          <w:i/>
          <w:iCs/>
        </w:rPr>
        <w:footnoteReference w:id="8"/>
      </w:r>
    </w:p>
    <w:p w14:paraId="00986360" w14:textId="57B09BE9" w:rsidR="005838F1" w:rsidRDefault="00B42B70" w:rsidP="00B42B70">
      <w:pPr>
        <w:pStyle w:val="LegalNormal"/>
        <w:tabs>
          <w:tab w:val="left" w:pos="927"/>
        </w:tabs>
        <w:ind w:left="927" w:hanging="567"/>
      </w:pPr>
      <w:r>
        <w:t>[24]</w:t>
      </w:r>
      <w:r>
        <w:tab/>
      </w:r>
      <w:r w:rsidR="00156807" w:rsidRPr="00156807">
        <w:t>This is important because bypassing the enacted legislation and relying directly on the Constitution when the legislation put in place to give effect to the constitutional rights defeats the purpose of having the legislation enacted in the first place. This speaks to the principle of subsidiarity which “denotes hierarchical ordering of institutions, of norms, of principles, or of remedies, and signifies that the central institution, or higher norm, should be invoked only where the more local institution, or concrete norm, or detailed principle or remedy, does not avail.”  As such, directly relying on the Constitution is impermissible. An application of this kind triggers the provisions of PAIA, but there are exceptions to its application. One exception is when the constitutionality of PAIA is being challenged and the second exception is when the circumstances outlined in section 7(1) of PAIA apply. The former exception does not apply in this matter as none of the parties have sought to challenge the constitutionality of PAIA. The latter exception ought to be inquired into. Section 7(1) of PAIA provides that:</w:t>
      </w:r>
      <w:r w:rsidR="00156807">
        <w:t xml:space="preserve"> </w:t>
      </w:r>
    </w:p>
    <w:p w14:paraId="6AD73EA4" w14:textId="77777777" w:rsidR="00AA579E" w:rsidRPr="00914562" w:rsidRDefault="00AA579E" w:rsidP="00AA579E">
      <w:pPr>
        <w:pStyle w:val="western"/>
        <w:shd w:val="clear" w:color="auto" w:fill="FFFFFF"/>
        <w:spacing w:before="144" w:beforeAutospacing="0" w:after="0" w:afterAutospacing="0" w:line="360" w:lineRule="auto"/>
        <w:ind w:left="360"/>
        <w:jc w:val="both"/>
        <w:rPr>
          <w:rFonts w:ascii="Arial" w:hAnsi="Arial" w:cs="Arial"/>
          <w:color w:val="242121"/>
          <w:sz w:val="22"/>
          <w:szCs w:val="22"/>
        </w:rPr>
      </w:pPr>
      <w:r w:rsidRPr="00914562">
        <w:rPr>
          <w:rFonts w:ascii="Arial" w:hAnsi="Arial" w:cs="Arial"/>
          <w:color w:val="242121"/>
          <w:sz w:val="22"/>
          <w:szCs w:val="22"/>
        </w:rPr>
        <w:lastRenderedPageBreak/>
        <w:t>“This Act does not apply to a record of a public body or a private body if-</w:t>
      </w:r>
    </w:p>
    <w:p w14:paraId="5E8B05D9" w14:textId="5E435213" w:rsidR="00AA579E" w:rsidRPr="00914562" w:rsidRDefault="00B42B70" w:rsidP="00B42B70">
      <w:pPr>
        <w:pStyle w:val="western"/>
        <w:shd w:val="clear" w:color="auto" w:fill="FFFFFF"/>
        <w:spacing w:before="144" w:beforeAutospacing="0" w:after="0" w:afterAutospacing="0" w:line="360" w:lineRule="auto"/>
        <w:ind w:left="1440" w:hanging="720"/>
        <w:jc w:val="both"/>
        <w:rPr>
          <w:rFonts w:ascii="Arial" w:hAnsi="Arial" w:cs="Arial"/>
          <w:color w:val="242121"/>
          <w:sz w:val="22"/>
          <w:szCs w:val="22"/>
        </w:rPr>
      </w:pPr>
      <w:r w:rsidRPr="00914562">
        <w:rPr>
          <w:rFonts w:ascii="Arial" w:hAnsi="Arial" w:cs="Arial"/>
          <w:color w:val="242121"/>
          <w:szCs w:val="22"/>
        </w:rPr>
        <w:t>(a)</w:t>
      </w:r>
      <w:r w:rsidRPr="00914562">
        <w:rPr>
          <w:rFonts w:ascii="Arial" w:hAnsi="Arial" w:cs="Arial"/>
          <w:color w:val="242121"/>
          <w:szCs w:val="22"/>
        </w:rPr>
        <w:tab/>
      </w:r>
      <w:r w:rsidR="00AA579E" w:rsidRPr="00914562">
        <w:rPr>
          <w:rFonts w:ascii="Arial" w:hAnsi="Arial" w:cs="Arial"/>
          <w:color w:val="242121"/>
          <w:sz w:val="22"/>
          <w:szCs w:val="22"/>
        </w:rPr>
        <w:t>That record is requested for the purpose of criminal or civil proceedings;</w:t>
      </w:r>
    </w:p>
    <w:p w14:paraId="77CDF128" w14:textId="73820694" w:rsidR="00F56E10" w:rsidRDefault="00B42B70" w:rsidP="00B42B70">
      <w:pPr>
        <w:pStyle w:val="western"/>
        <w:shd w:val="clear" w:color="auto" w:fill="FFFFFF"/>
        <w:spacing w:before="144" w:beforeAutospacing="0" w:after="0" w:afterAutospacing="0" w:line="360" w:lineRule="auto"/>
        <w:ind w:left="1440" w:hanging="720"/>
        <w:jc w:val="both"/>
        <w:rPr>
          <w:rFonts w:ascii="Arial" w:hAnsi="Arial" w:cs="Arial"/>
          <w:color w:val="242121"/>
          <w:sz w:val="22"/>
          <w:szCs w:val="22"/>
        </w:rPr>
      </w:pPr>
      <w:r>
        <w:rPr>
          <w:rFonts w:ascii="Arial" w:hAnsi="Arial" w:cs="Arial"/>
          <w:color w:val="242121"/>
          <w:szCs w:val="22"/>
        </w:rPr>
        <w:t>(b)</w:t>
      </w:r>
      <w:r>
        <w:rPr>
          <w:rFonts w:ascii="Arial" w:hAnsi="Arial" w:cs="Arial"/>
          <w:color w:val="242121"/>
          <w:szCs w:val="22"/>
        </w:rPr>
        <w:tab/>
      </w:r>
      <w:r w:rsidR="00AA579E" w:rsidRPr="00F56E10">
        <w:rPr>
          <w:rFonts w:ascii="Arial" w:hAnsi="Arial" w:cs="Arial"/>
          <w:color w:val="242121"/>
          <w:sz w:val="22"/>
          <w:szCs w:val="22"/>
        </w:rPr>
        <w:t xml:space="preserve">So requested after the commencement of such criminal or civil proceedings, as the case may </w:t>
      </w:r>
      <w:r w:rsidR="00D871B1" w:rsidRPr="00F56E10">
        <w:rPr>
          <w:rFonts w:ascii="Arial" w:hAnsi="Arial" w:cs="Arial"/>
          <w:color w:val="242121"/>
          <w:sz w:val="22"/>
          <w:szCs w:val="22"/>
        </w:rPr>
        <w:t>be</w:t>
      </w:r>
      <w:r w:rsidR="00D871B1">
        <w:rPr>
          <w:rFonts w:ascii="Arial" w:hAnsi="Arial" w:cs="Arial"/>
          <w:color w:val="242121"/>
          <w:sz w:val="22"/>
          <w:szCs w:val="22"/>
        </w:rPr>
        <w:t>,</w:t>
      </w:r>
      <w:r w:rsidR="00AA579E" w:rsidRPr="00F56E10">
        <w:rPr>
          <w:rFonts w:ascii="Arial" w:hAnsi="Arial" w:cs="Arial"/>
          <w:color w:val="242121"/>
          <w:sz w:val="22"/>
          <w:szCs w:val="22"/>
        </w:rPr>
        <w:t xml:space="preserve"> and </w:t>
      </w:r>
    </w:p>
    <w:p w14:paraId="3FF06157" w14:textId="70D3416E" w:rsidR="00F56E10" w:rsidRPr="00F56E10" w:rsidRDefault="00B42B70" w:rsidP="00B42B70">
      <w:pPr>
        <w:pStyle w:val="western"/>
        <w:shd w:val="clear" w:color="auto" w:fill="FFFFFF"/>
        <w:spacing w:before="144" w:beforeAutospacing="0" w:after="240" w:afterAutospacing="0" w:line="360" w:lineRule="auto"/>
        <w:ind w:left="1440" w:hanging="720"/>
        <w:jc w:val="both"/>
        <w:rPr>
          <w:rFonts w:ascii="Arial" w:hAnsi="Arial" w:cs="Arial"/>
          <w:color w:val="242121"/>
          <w:sz w:val="22"/>
          <w:szCs w:val="22"/>
        </w:rPr>
      </w:pPr>
      <w:r w:rsidRPr="00F56E10">
        <w:rPr>
          <w:rFonts w:ascii="Arial" w:hAnsi="Arial" w:cs="Arial"/>
          <w:color w:val="242121"/>
          <w:szCs w:val="22"/>
        </w:rPr>
        <w:t>(c)</w:t>
      </w:r>
      <w:r w:rsidRPr="00F56E10">
        <w:rPr>
          <w:rFonts w:ascii="Arial" w:hAnsi="Arial" w:cs="Arial"/>
          <w:color w:val="242121"/>
          <w:szCs w:val="22"/>
        </w:rPr>
        <w:tab/>
      </w:r>
      <w:r w:rsidR="00F56E10">
        <w:rPr>
          <w:rFonts w:ascii="Arial" w:hAnsi="Arial" w:cs="Arial"/>
          <w:color w:val="242121"/>
          <w:sz w:val="22"/>
          <w:szCs w:val="22"/>
        </w:rPr>
        <w:t xml:space="preserve">The production of or access to that record for the purpose referred to in paragraph </w:t>
      </w:r>
      <w:r w:rsidR="00797C5F">
        <w:rPr>
          <w:rFonts w:ascii="Arial" w:hAnsi="Arial" w:cs="Arial"/>
          <w:color w:val="242121"/>
          <w:sz w:val="22"/>
          <w:szCs w:val="22"/>
        </w:rPr>
        <w:t>(a) is provided for in any other law.”</w:t>
      </w:r>
    </w:p>
    <w:p w14:paraId="3CFD6ADE" w14:textId="77F799C6" w:rsidR="00F035F6" w:rsidRDefault="00B42B70" w:rsidP="00B42B70">
      <w:pPr>
        <w:pStyle w:val="LegalNormal"/>
        <w:tabs>
          <w:tab w:val="left" w:pos="927"/>
        </w:tabs>
        <w:spacing w:after="240"/>
        <w:ind w:left="927" w:hanging="567"/>
      </w:pPr>
      <w:r>
        <w:t>[25]</w:t>
      </w:r>
      <w:r>
        <w:tab/>
      </w:r>
      <w:r w:rsidR="004C266E" w:rsidRPr="004C266E">
        <w:t>It is worth</w:t>
      </w:r>
      <w:r w:rsidR="004C266E">
        <w:t xml:space="preserve"> noting</w:t>
      </w:r>
      <w:r w:rsidR="004C266E" w:rsidRPr="004C266E">
        <w:t xml:space="preserve"> that the purpose of section 7(1)</w:t>
      </w:r>
      <w:r w:rsidR="00F035F6">
        <w:t xml:space="preserve"> in</w:t>
      </w:r>
      <w:r w:rsidR="004C266E" w:rsidRPr="004C266E">
        <w:t xml:space="preserve"> limiting the applicability of PAIA is to </w:t>
      </w:r>
    </w:p>
    <w:p w14:paraId="628918D9" w14:textId="38920B04" w:rsidR="00F035F6" w:rsidRDefault="004C266E" w:rsidP="00F035F6">
      <w:pPr>
        <w:pStyle w:val="LegalNormal"/>
        <w:spacing w:after="240"/>
        <w:ind w:left="927"/>
      </w:pPr>
      <w:r w:rsidRPr="00F035F6">
        <w:rPr>
          <w:i/>
          <w:iCs/>
        </w:rPr>
        <w:t>“</w:t>
      </w:r>
      <w:r w:rsidR="00FB7F27" w:rsidRPr="00F035F6">
        <w:rPr>
          <w:i/>
          <w:iCs/>
        </w:rPr>
        <w:t>Prevent</w:t>
      </w:r>
      <w:r w:rsidRPr="00F035F6">
        <w:rPr>
          <w:i/>
          <w:iCs/>
        </w:rPr>
        <w:t xml:space="preserve"> PAIA from having any impact on the law relating to discovery or compulsion of evidence in civil and criminal proceedings.”</w:t>
      </w:r>
      <w:r w:rsidRPr="004C266E">
        <w:t xml:space="preserve"> </w:t>
      </w:r>
      <w:r w:rsidR="00480750">
        <w:rPr>
          <w:rStyle w:val="FootnoteReference"/>
        </w:rPr>
        <w:footnoteReference w:id="9"/>
      </w:r>
      <w:r w:rsidRPr="004C266E">
        <w:t xml:space="preserve"> </w:t>
      </w:r>
    </w:p>
    <w:p w14:paraId="0FB0135E" w14:textId="53AA534F" w:rsidR="00AA579E" w:rsidRDefault="004C266E" w:rsidP="00F035F6">
      <w:pPr>
        <w:pStyle w:val="LegalNormal"/>
        <w:spacing w:after="240"/>
        <w:ind w:left="927"/>
      </w:pPr>
      <w:r w:rsidRPr="004C266E">
        <w:t>The purpose of this bar is to ensure that parties involved are governed by the applicable rules of court, it is not to prevent parties access to information that they may be entitled to. Hence section 7(2) of PAIA, which stipulates that evidence obtained in contravention of section 7(1) of PAIA will be inadmissible unless a court of law is of the opinion that its inadmissibility will be detrimental to the interests of justice.</w:t>
      </w:r>
      <w:r w:rsidR="004B125B">
        <w:rPr>
          <w:rStyle w:val="FootnoteReference"/>
        </w:rPr>
        <w:footnoteReference w:id="10"/>
      </w:r>
      <w:r w:rsidRPr="004C266E">
        <w:t xml:space="preserve">  </w:t>
      </w:r>
    </w:p>
    <w:p w14:paraId="0E36DBD7" w14:textId="78A5493D" w:rsidR="001F2044" w:rsidRPr="0036643C" w:rsidRDefault="00B42B70" w:rsidP="00B42B70">
      <w:pPr>
        <w:pStyle w:val="LegalNormal"/>
        <w:tabs>
          <w:tab w:val="left" w:pos="927"/>
        </w:tabs>
        <w:ind w:left="927" w:hanging="567"/>
      </w:pPr>
      <w:r w:rsidRPr="0036643C">
        <w:t>[26]</w:t>
      </w:r>
      <w:r w:rsidRPr="0036643C">
        <w:tab/>
      </w:r>
      <w:r w:rsidR="00216451" w:rsidRPr="00216451">
        <w:t xml:space="preserve">In this </w:t>
      </w:r>
      <w:r w:rsidR="009A4233">
        <w:t>application</w:t>
      </w:r>
      <w:r w:rsidR="00216451" w:rsidRPr="00216451">
        <w:t>, it is common cause that the requirements set out in subsections (a) and (b) of section 7(1) of PAIA have been established</w:t>
      </w:r>
      <w:r w:rsidR="002E202D">
        <w:t xml:space="preserve"> b</w:t>
      </w:r>
      <w:r w:rsidR="00216451" w:rsidRPr="00216451">
        <w:t xml:space="preserve">ecause 7(1) sets a three-legged test, merely satisfying the requirements set out in subsections (a) and (b) of section 7(1) of PAIA will not suffice, subsection (c) of </w:t>
      </w:r>
      <w:r w:rsidR="00216451" w:rsidRPr="00216451">
        <w:lastRenderedPageBreak/>
        <w:t xml:space="preserve">section 7(1) of PAIA needs to be met as well. The Supreme Court of Appeal in </w:t>
      </w:r>
      <w:r w:rsidR="00216451" w:rsidRPr="00CD065D">
        <w:rPr>
          <w:b/>
          <w:bCs/>
          <w:i/>
          <w:iCs/>
        </w:rPr>
        <w:t xml:space="preserve">Industrial Development Corporation of South Africa Ltd v PFE International Inc. (BVI) and </w:t>
      </w:r>
      <w:r w:rsidR="00CD065D" w:rsidRPr="00CD065D">
        <w:rPr>
          <w:b/>
          <w:bCs/>
          <w:i/>
          <w:iCs/>
        </w:rPr>
        <w:t>Others</w:t>
      </w:r>
      <w:r w:rsidR="00A3334C">
        <w:rPr>
          <w:rStyle w:val="FootnoteReference"/>
          <w:b/>
          <w:bCs/>
          <w:i/>
          <w:iCs/>
        </w:rPr>
        <w:footnoteReference w:id="11"/>
      </w:r>
      <w:r w:rsidR="00CD065D" w:rsidRPr="00216451">
        <w:t xml:space="preserve"> held</w:t>
      </w:r>
      <w:r w:rsidR="00216451" w:rsidRPr="00216451">
        <w:t xml:space="preserve"> that </w:t>
      </w:r>
      <w:r w:rsidR="00216451" w:rsidRPr="003737B0">
        <w:rPr>
          <w:i/>
          <w:iCs/>
        </w:rPr>
        <w:t>“all three of the requirements of s 7(1) must be met in order to render PAIA inapplicable to the request.”</w:t>
      </w:r>
      <w:r w:rsidR="00216451" w:rsidRPr="00216451">
        <w:t xml:space="preserve"> This was further confirmed by the Constitutional Court in </w:t>
      </w:r>
      <w:r w:rsidR="00216451" w:rsidRPr="003737B0">
        <w:rPr>
          <w:b/>
          <w:bCs/>
          <w:i/>
          <w:iCs/>
        </w:rPr>
        <w:t>PFE International Inc (BVI)</w:t>
      </w:r>
      <w:r w:rsidR="00216451" w:rsidRPr="00216451">
        <w:t xml:space="preserve"> </w:t>
      </w:r>
      <w:r w:rsidR="00216451" w:rsidRPr="003737B0">
        <w:rPr>
          <w:i/>
          <w:iCs/>
        </w:rPr>
        <w:t>supra.</w:t>
      </w:r>
    </w:p>
    <w:p w14:paraId="04C75883" w14:textId="605D5C28" w:rsidR="0036643C" w:rsidRDefault="00B42B70" w:rsidP="00B42B70">
      <w:pPr>
        <w:pStyle w:val="LegalNormal"/>
        <w:tabs>
          <w:tab w:val="left" w:pos="927"/>
        </w:tabs>
        <w:ind w:left="927" w:hanging="567"/>
      </w:pPr>
      <w:r>
        <w:t>[27]</w:t>
      </w:r>
      <w:r>
        <w:tab/>
      </w:r>
      <w:r w:rsidR="0036643C" w:rsidRPr="0036643C">
        <w:t>As a result, the</w:t>
      </w:r>
      <w:r w:rsidR="0036643C">
        <w:t xml:space="preserve"> outstanding</w:t>
      </w:r>
      <w:r w:rsidR="0036643C" w:rsidRPr="0036643C">
        <w:t xml:space="preserve"> question becomes whether the requirement in subsection 7(1)(c) has been established, in that, whether the production of or access to sought records is provided in any other law. “’Other law’ refers in this context to the body of law which includes the rules relating to discovery, disclosure and privilege. In other</w:t>
      </w:r>
      <w:r w:rsidR="00235873">
        <w:t xml:space="preserve"> </w:t>
      </w:r>
      <w:r w:rsidR="00DD5E25" w:rsidRPr="00DD5E25">
        <w:t xml:space="preserve">words, if access to information is requested for the purpose of criminal proceedings the right thereto has to be sought elsewhere. As was said in </w:t>
      </w:r>
      <w:r w:rsidR="00DD5E25" w:rsidRPr="00DD5E25">
        <w:rPr>
          <w:b/>
          <w:bCs/>
          <w:i/>
          <w:iCs/>
        </w:rPr>
        <w:t>Unitas Hospital v Van Wyk and Another</w:t>
      </w:r>
      <w:r w:rsidR="00DD5E25" w:rsidRPr="00DD5E25">
        <w:t>,</w:t>
      </w:r>
      <w:r w:rsidR="00BC012A">
        <w:rPr>
          <w:rStyle w:val="FootnoteReference"/>
        </w:rPr>
        <w:footnoteReference w:id="12"/>
      </w:r>
      <w:r w:rsidR="00DD5E25" w:rsidRPr="00DD5E25">
        <w:t xml:space="preserve"> in the context of civil proceedings, </w:t>
      </w:r>
      <w:r w:rsidR="00DD5E25" w:rsidRPr="00DD5E25">
        <w:rPr>
          <w:b/>
          <w:bCs/>
          <w:u w:val="single"/>
        </w:rPr>
        <w:t>‘once court proceedings between the parties have commenced, the rules of discovery take over’.”</w:t>
      </w:r>
      <w:r w:rsidR="00DD5E25" w:rsidRPr="00DD5E25">
        <w:t xml:space="preserve">  </w:t>
      </w:r>
      <w:r w:rsidR="009704C6">
        <w:t>[own emphasis].</w:t>
      </w:r>
    </w:p>
    <w:p w14:paraId="59F906C3" w14:textId="093F66F4" w:rsidR="00540059" w:rsidRDefault="00B42B70" w:rsidP="00B42B70">
      <w:pPr>
        <w:pStyle w:val="LegalNormal"/>
        <w:tabs>
          <w:tab w:val="left" w:pos="927"/>
        </w:tabs>
        <w:ind w:left="927" w:hanging="567"/>
      </w:pPr>
      <w:r>
        <w:t>[28]</w:t>
      </w:r>
      <w:r>
        <w:tab/>
      </w:r>
      <w:r w:rsidR="00540059" w:rsidRPr="00540059">
        <w:t xml:space="preserve">The sought information can be accessed by means of a subpoena in terms of section 35(1) of the Superior Courts Act 10 of 2013 which stipulates that “A party to proceedings before any Superior Court in which the attendance of witnesses or the production of any document or thing is required, may procure the attendance of any witness or the production of any document or thing in the </w:t>
      </w:r>
      <w:r w:rsidR="00540059" w:rsidRPr="00540059">
        <w:lastRenderedPageBreak/>
        <w:t xml:space="preserve">manner provided for in the rules of that court”. Section 35(1) of the Superior Courts Act can be read with rule 38(1) of the Uniform Rules of Court which can be used at any stage of any proceedings. Rule 38(1) allows for any party desiring inter </w:t>
      </w:r>
      <w:r w:rsidR="00540059" w:rsidRPr="00CB08B0">
        <w:rPr>
          <w:i/>
        </w:rPr>
        <w:t xml:space="preserve">alia </w:t>
      </w:r>
      <w:r w:rsidR="00540059" w:rsidRPr="00540059">
        <w:t xml:space="preserve">the production of any document or thing to have access to such document or thing through a subpoena. Also, rule 35 of the Uniform Rules of Court which allows for the discovery, inspection and production of documents can also be explored as an avenue to access the sought information. </w:t>
      </w:r>
      <w:r w:rsidR="006E6367">
        <w:t>R</w:t>
      </w:r>
      <w:r w:rsidR="00540059" w:rsidRPr="00540059">
        <w:t>esult</w:t>
      </w:r>
      <w:r w:rsidR="006E6367">
        <w:t>antly, I find</w:t>
      </w:r>
      <w:r w:rsidR="00540059" w:rsidRPr="00540059">
        <w:t xml:space="preserve"> PAIA not applicable in this matter.</w:t>
      </w:r>
    </w:p>
    <w:p w14:paraId="77E539F3" w14:textId="6951FC0D" w:rsidR="00547A91" w:rsidRDefault="00B42B70" w:rsidP="00B42B70">
      <w:pPr>
        <w:pStyle w:val="LegalNormal"/>
        <w:tabs>
          <w:tab w:val="left" w:pos="927"/>
        </w:tabs>
        <w:ind w:left="927" w:hanging="567"/>
      </w:pPr>
      <w:r>
        <w:t>[29]</w:t>
      </w:r>
      <w:r>
        <w:tab/>
      </w:r>
      <w:r w:rsidR="00547A91" w:rsidRPr="00547A91">
        <w:t xml:space="preserve">Considering that the respondent’s opposition to this application was </w:t>
      </w:r>
      <w:r w:rsidR="009A1439">
        <w:t>anchored</w:t>
      </w:r>
      <w:r w:rsidR="00547A91" w:rsidRPr="00547A91">
        <w:t xml:space="preserve"> on the provisions of the Regulation of Interception of Communications and Provision of Communication-Related Information Act 70 of 2002 (RICA) and its regulations, t</w:t>
      </w:r>
      <w:r w:rsidR="00D26A95">
        <w:t xml:space="preserve">his aspect </w:t>
      </w:r>
      <w:r w:rsidR="001221C2">
        <w:t>requires consideration hereunder.</w:t>
      </w:r>
    </w:p>
    <w:p w14:paraId="74B39E69" w14:textId="0278A4AC" w:rsidR="00EC665C" w:rsidRDefault="00B42B70" w:rsidP="00B42B70">
      <w:pPr>
        <w:pStyle w:val="LegalNormal"/>
        <w:tabs>
          <w:tab w:val="left" w:pos="927"/>
        </w:tabs>
        <w:ind w:left="927" w:hanging="567"/>
      </w:pPr>
      <w:r>
        <w:t>[30]</w:t>
      </w:r>
      <w:r>
        <w:tab/>
      </w:r>
      <w:r w:rsidR="00EC665C" w:rsidRPr="00EC665C">
        <w:t>The interception or monitoring of certain communications in</w:t>
      </w:r>
      <w:r w:rsidR="00CB08B0">
        <w:t xml:space="preserve"> South Africa is governed by</w:t>
      </w:r>
      <w:r w:rsidR="00EC665C" w:rsidRPr="00EC665C">
        <w:t xml:space="preserve"> RICA. Section 12 of RICA provides the following regarding the prohibition of provision of communication-related information:</w:t>
      </w:r>
    </w:p>
    <w:p w14:paraId="2730CB76" w14:textId="4F926391" w:rsidR="00562D0A" w:rsidRPr="00CB08B0" w:rsidRDefault="00562D0A" w:rsidP="008A3C50">
      <w:pPr>
        <w:pStyle w:val="LegalNormal"/>
        <w:ind w:left="927"/>
        <w:rPr>
          <w:i/>
        </w:rPr>
      </w:pPr>
      <w:r w:rsidRPr="00CB08B0">
        <w:rPr>
          <w:i/>
        </w:rPr>
        <w:t xml:space="preserve">“Subject to this Act, no telecommunication service provider or employee of a telecommunication service provider may intentionally provide or attempt to provide any real-time or archived communication-related information to any person other than the </w:t>
      </w:r>
      <w:r w:rsidR="00E00197" w:rsidRPr="00CB08B0">
        <w:rPr>
          <w:i/>
        </w:rPr>
        <w:t>customer of the telecommunication service provider concerned to whom such real-time or archived communication related information relates.”</w:t>
      </w:r>
    </w:p>
    <w:p w14:paraId="09723F52" w14:textId="2D49C789" w:rsidR="001F2044" w:rsidRDefault="00B42B70" w:rsidP="00B42B70">
      <w:pPr>
        <w:pStyle w:val="LegalNormal"/>
        <w:tabs>
          <w:tab w:val="left" w:pos="927"/>
        </w:tabs>
        <w:ind w:left="927" w:hanging="567"/>
      </w:pPr>
      <w:r>
        <w:lastRenderedPageBreak/>
        <w:t>[31]</w:t>
      </w:r>
      <w:r>
        <w:tab/>
      </w:r>
      <w:r w:rsidR="00D94B68" w:rsidRPr="00D94B68">
        <w:t xml:space="preserve">In addition, the Independent Communications Authority of South Africa (ICASA), established by section 3 of the Independent Communications Authority of South Africa Act 13 of 2000, which is responsible for regulating telecommunications </w:t>
      </w:r>
      <w:r w:rsidR="00D94B68" w:rsidRPr="00D94B68">
        <w:rPr>
          <w:i/>
          <w:iCs/>
        </w:rPr>
        <w:t>inter alia,</w:t>
      </w:r>
      <w:r w:rsidR="00D94B68" w:rsidRPr="00D94B68">
        <w:t xml:space="preserve"> prescribes regulations in terms of section 69(1) of the Electronic Communications Act 36 of 2005 which stipulates the following:</w:t>
      </w:r>
      <w:r w:rsidR="00D94B68">
        <w:t xml:space="preserve"> </w:t>
      </w:r>
    </w:p>
    <w:p w14:paraId="255C15B0" w14:textId="2FA3F8A4" w:rsidR="00821F18" w:rsidRPr="00A02BAB" w:rsidRDefault="00821F18" w:rsidP="00D515F3">
      <w:pPr>
        <w:pStyle w:val="LegalNormal"/>
        <w:spacing w:after="0"/>
        <w:ind w:left="927" w:firstLine="513"/>
        <w:rPr>
          <w:i/>
          <w:iCs/>
          <w:sz w:val="22"/>
          <w:szCs w:val="22"/>
        </w:rPr>
      </w:pPr>
      <w:r w:rsidRPr="00A02BAB">
        <w:rPr>
          <w:i/>
          <w:iCs/>
          <w:sz w:val="22"/>
          <w:szCs w:val="22"/>
        </w:rPr>
        <w:t>“69 Code of conduct, end-user and subscriber service charter:</w:t>
      </w:r>
    </w:p>
    <w:p w14:paraId="58B8CCEA" w14:textId="25926FA0" w:rsidR="00821F18" w:rsidRDefault="00821F18" w:rsidP="00CB08B0">
      <w:pPr>
        <w:pStyle w:val="LegalNormal"/>
        <w:spacing w:after="0"/>
        <w:ind w:left="1440"/>
        <w:rPr>
          <w:i/>
          <w:iCs/>
          <w:sz w:val="22"/>
          <w:szCs w:val="22"/>
        </w:rPr>
      </w:pPr>
      <w:r w:rsidRPr="00A02BAB">
        <w:rPr>
          <w:i/>
          <w:iCs/>
          <w:sz w:val="22"/>
          <w:szCs w:val="22"/>
        </w:rPr>
        <w:t xml:space="preserve">The Authority must, as soon as reasonably possible after the coming into force of this Act, prescribe regulations setting out a code of conduct for licensees subject to this Act and persons exempted from holding a licence in terms of section 6 to the extent such persons provide a service to the public.” </w:t>
      </w:r>
    </w:p>
    <w:p w14:paraId="2F4EA490" w14:textId="77777777" w:rsidR="00CF4024" w:rsidRPr="00D515F3" w:rsidRDefault="00CF4024" w:rsidP="00A02BAB">
      <w:pPr>
        <w:pStyle w:val="LegalNormal"/>
        <w:spacing w:after="0"/>
        <w:ind w:left="2160"/>
        <w:rPr>
          <w:sz w:val="22"/>
          <w:szCs w:val="22"/>
        </w:rPr>
      </w:pPr>
    </w:p>
    <w:p w14:paraId="5633FD7C" w14:textId="73480737" w:rsidR="00821F18" w:rsidRDefault="00B42B70" w:rsidP="00B42B70">
      <w:pPr>
        <w:pStyle w:val="LegalNormal"/>
        <w:tabs>
          <w:tab w:val="left" w:pos="927"/>
        </w:tabs>
        <w:ind w:left="927" w:hanging="567"/>
      </w:pPr>
      <w:r>
        <w:t>[32]</w:t>
      </w:r>
      <w:r>
        <w:tab/>
      </w:r>
      <w:r w:rsidR="00817CB5" w:rsidRPr="00817CB5">
        <w:t>Empowered by section 69(1) above, ICASA prescribed regulations in respect of the code of conduct for electronic communications and electronic communications network service licences.</w:t>
      </w:r>
      <w:r w:rsidR="00DA72F6">
        <w:rPr>
          <w:rStyle w:val="FootnoteReference"/>
        </w:rPr>
        <w:footnoteReference w:id="13"/>
      </w:r>
      <w:r w:rsidR="00817CB5" w:rsidRPr="00817CB5">
        <w:t xml:space="preserve">  The relevant paragraph of the said regulations is paragraph 3.8. titled ‘Consumer Confidentiality’ which stipulates that:</w:t>
      </w:r>
      <w:r w:rsidR="004E45C3">
        <w:t xml:space="preserve"> </w:t>
      </w:r>
    </w:p>
    <w:p w14:paraId="0282FE6F" w14:textId="77777777" w:rsidR="004537F5" w:rsidRPr="004537F5" w:rsidRDefault="004537F5" w:rsidP="00EC73A5">
      <w:pPr>
        <w:spacing w:before="240" w:after="160" w:line="480" w:lineRule="auto"/>
        <w:ind w:left="360"/>
        <w:rPr>
          <w:rFonts w:eastAsia="Calibri" w:cs="Arial"/>
          <w:i/>
          <w:iCs/>
          <w:color w:val="000000"/>
          <w:sz w:val="22"/>
          <w:szCs w:val="22"/>
          <w:lang w:eastAsia="en-ZA"/>
        </w:rPr>
      </w:pPr>
      <w:r w:rsidRPr="004537F5">
        <w:rPr>
          <w:rFonts w:eastAsia="Calibri" w:cs="Arial"/>
          <w:i/>
          <w:iCs/>
          <w:color w:val="000000"/>
          <w:sz w:val="22"/>
          <w:szCs w:val="22"/>
          <w:lang w:eastAsia="en-ZA"/>
        </w:rPr>
        <w:t>“Licensees must protect the confidentiality of consumer information, and in particular, must-</w:t>
      </w:r>
    </w:p>
    <w:p w14:paraId="7667894A" w14:textId="4F510C0C" w:rsidR="004537F5" w:rsidRPr="004537F5" w:rsidRDefault="00B42B70" w:rsidP="00B42B70">
      <w:pPr>
        <w:spacing w:before="240" w:after="160" w:line="480" w:lineRule="auto"/>
        <w:ind w:left="1080" w:hanging="360"/>
        <w:contextualSpacing/>
        <w:jc w:val="left"/>
        <w:rPr>
          <w:rFonts w:eastAsia="Calibri" w:cs="Arial"/>
          <w:i/>
          <w:iCs/>
          <w:color w:val="000000"/>
          <w:sz w:val="22"/>
          <w:szCs w:val="22"/>
          <w:lang w:eastAsia="en-ZA"/>
        </w:rPr>
      </w:pPr>
      <w:r w:rsidRPr="004537F5">
        <w:rPr>
          <w:rFonts w:eastAsia="Calibri" w:cs="Arial"/>
          <w:i/>
          <w:iCs/>
          <w:color w:val="000000"/>
          <w:sz w:val="22"/>
          <w:szCs w:val="22"/>
          <w:lang w:eastAsia="en-ZA"/>
        </w:rPr>
        <w:t>(a)</w:t>
      </w:r>
      <w:r w:rsidRPr="004537F5">
        <w:rPr>
          <w:rFonts w:eastAsia="Calibri" w:cs="Arial"/>
          <w:i/>
          <w:iCs/>
          <w:color w:val="000000"/>
          <w:sz w:val="22"/>
          <w:szCs w:val="22"/>
          <w:lang w:eastAsia="en-ZA"/>
        </w:rPr>
        <w:tab/>
      </w:r>
      <w:r w:rsidR="004537F5" w:rsidRPr="004537F5">
        <w:rPr>
          <w:rFonts w:eastAsia="Calibri" w:cs="Arial"/>
          <w:i/>
          <w:iCs/>
          <w:color w:val="000000"/>
          <w:sz w:val="22"/>
          <w:szCs w:val="22"/>
          <w:lang w:eastAsia="en-ZA"/>
        </w:rPr>
        <w:t>Use the information only for the purpose permitted or required,</w:t>
      </w:r>
    </w:p>
    <w:p w14:paraId="7D0AD916" w14:textId="61067205" w:rsidR="004537F5" w:rsidRPr="004537F5" w:rsidRDefault="00B42B70" w:rsidP="00B42B70">
      <w:pPr>
        <w:spacing w:before="240" w:after="160" w:line="480" w:lineRule="auto"/>
        <w:ind w:left="1080" w:hanging="360"/>
        <w:contextualSpacing/>
        <w:jc w:val="left"/>
        <w:rPr>
          <w:rFonts w:eastAsia="Calibri" w:cs="Arial"/>
          <w:i/>
          <w:iCs/>
          <w:color w:val="000000"/>
          <w:sz w:val="22"/>
          <w:szCs w:val="22"/>
          <w:lang w:eastAsia="en-ZA"/>
        </w:rPr>
      </w:pPr>
      <w:r w:rsidRPr="004537F5">
        <w:rPr>
          <w:rFonts w:eastAsia="Calibri" w:cs="Arial"/>
          <w:i/>
          <w:iCs/>
          <w:color w:val="000000"/>
          <w:sz w:val="22"/>
          <w:szCs w:val="22"/>
          <w:lang w:eastAsia="en-ZA"/>
        </w:rPr>
        <w:t>(b)</w:t>
      </w:r>
      <w:r w:rsidRPr="004537F5">
        <w:rPr>
          <w:rFonts w:eastAsia="Calibri" w:cs="Arial"/>
          <w:i/>
          <w:iCs/>
          <w:color w:val="000000"/>
          <w:sz w:val="22"/>
          <w:szCs w:val="22"/>
          <w:lang w:eastAsia="en-ZA"/>
        </w:rPr>
        <w:tab/>
      </w:r>
      <w:r w:rsidR="004537F5" w:rsidRPr="004537F5">
        <w:rPr>
          <w:rFonts w:eastAsia="Calibri" w:cs="Arial"/>
          <w:i/>
          <w:iCs/>
          <w:color w:val="000000"/>
          <w:sz w:val="22"/>
          <w:szCs w:val="22"/>
          <w:u w:val="single"/>
          <w:lang w:eastAsia="en-ZA"/>
        </w:rPr>
        <w:t>Report or release that information only to the consumer or prospective consumer</w:t>
      </w:r>
      <w:r w:rsidR="004537F5" w:rsidRPr="004537F5">
        <w:rPr>
          <w:rFonts w:eastAsia="Calibri" w:cs="Arial"/>
          <w:i/>
          <w:iCs/>
          <w:color w:val="000000"/>
          <w:sz w:val="22"/>
          <w:szCs w:val="22"/>
          <w:lang w:eastAsia="en-ZA"/>
        </w:rPr>
        <w:t>,</w:t>
      </w:r>
    </w:p>
    <w:p w14:paraId="243725D8" w14:textId="75E15853" w:rsidR="004537F5" w:rsidRPr="004537F5" w:rsidRDefault="00B42B70" w:rsidP="00B42B70">
      <w:pPr>
        <w:spacing w:before="240" w:after="160" w:line="480" w:lineRule="auto"/>
        <w:ind w:left="1080" w:hanging="360"/>
        <w:contextualSpacing/>
        <w:jc w:val="left"/>
        <w:rPr>
          <w:rFonts w:eastAsia="Calibri" w:cs="Arial"/>
          <w:i/>
          <w:iCs/>
          <w:color w:val="000000"/>
          <w:sz w:val="22"/>
          <w:szCs w:val="22"/>
          <w:lang w:eastAsia="en-ZA"/>
        </w:rPr>
      </w:pPr>
      <w:r w:rsidRPr="004537F5">
        <w:rPr>
          <w:rFonts w:eastAsia="Calibri" w:cs="Arial"/>
          <w:i/>
          <w:iCs/>
          <w:color w:val="000000"/>
          <w:sz w:val="22"/>
          <w:szCs w:val="22"/>
          <w:lang w:eastAsia="en-ZA"/>
        </w:rPr>
        <w:lastRenderedPageBreak/>
        <w:t>(c)</w:t>
      </w:r>
      <w:r w:rsidRPr="004537F5">
        <w:rPr>
          <w:rFonts w:eastAsia="Calibri" w:cs="Arial"/>
          <w:i/>
          <w:iCs/>
          <w:color w:val="000000"/>
          <w:sz w:val="22"/>
          <w:szCs w:val="22"/>
          <w:lang w:eastAsia="en-ZA"/>
        </w:rPr>
        <w:tab/>
      </w:r>
      <w:r w:rsidR="004537F5" w:rsidRPr="004537F5">
        <w:rPr>
          <w:rFonts w:eastAsia="Calibri" w:cs="Arial"/>
          <w:i/>
          <w:iCs/>
          <w:color w:val="000000"/>
          <w:sz w:val="22"/>
          <w:szCs w:val="22"/>
          <w:lang w:eastAsia="en-ZA"/>
        </w:rPr>
        <w:t>Only release that information to another person:</w:t>
      </w:r>
    </w:p>
    <w:p w14:paraId="72B384E4" w14:textId="4269F4CE" w:rsidR="004537F5" w:rsidRPr="004537F5" w:rsidRDefault="00B42B70" w:rsidP="00B42B70">
      <w:pPr>
        <w:spacing w:before="240" w:after="160" w:line="480" w:lineRule="auto"/>
        <w:ind w:left="1800" w:hanging="720"/>
        <w:contextualSpacing/>
        <w:jc w:val="left"/>
        <w:rPr>
          <w:rFonts w:eastAsia="Calibri" w:cs="Arial"/>
          <w:i/>
          <w:iCs/>
          <w:color w:val="000000"/>
          <w:sz w:val="22"/>
          <w:szCs w:val="22"/>
          <w:lang w:eastAsia="en-ZA"/>
        </w:rPr>
      </w:pPr>
      <w:r w:rsidRPr="004537F5">
        <w:rPr>
          <w:rFonts w:eastAsia="Calibri" w:cs="Arial"/>
          <w:i/>
          <w:iCs/>
          <w:color w:val="000000"/>
          <w:sz w:val="22"/>
          <w:szCs w:val="22"/>
          <w:lang w:eastAsia="en-ZA"/>
        </w:rPr>
        <w:t>(i)</w:t>
      </w:r>
      <w:r w:rsidRPr="004537F5">
        <w:rPr>
          <w:rFonts w:eastAsia="Calibri" w:cs="Arial"/>
          <w:i/>
          <w:iCs/>
          <w:color w:val="000000"/>
          <w:sz w:val="22"/>
          <w:szCs w:val="22"/>
          <w:lang w:eastAsia="en-ZA"/>
        </w:rPr>
        <w:tab/>
      </w:r>
      <w:r w:rsidR="004537F5" w:rsidRPr="004537F5">
        <w:rPr>
          <w:rFonts w:eastAsia="Calibri" w:cs="Arial"/>
          <w:i/>
          <w:iCs/>
          <w:color w:val="000000"/>
          <w:sz w:val="22"/>
          <w:szCs w:val="22"/>
          <w:lang w:eastAsia="en-ZA"/>
        </w:rPr>
        <w:t>When directed by the written instruction of the consumer or prospective consumer, or</w:t>
      </w:r>
    </w:p>
    <w:p w14:paraId="6BDB68BE" w14:textId="55D408FF" w:rsidR="00333878" w:rsidRDefault="00B42B70" w:rsidP="00B42B70">
      <w:pPr>
        <w:spacing w:before="240" w:after="160" w:line="480" w:lineRule="auto"/>
        <w:ind w:left="1440" w:hanging="720"/>
        <w:contextualSpacing/>
        <w:jc w:val="left"/>
        <w:rPr>
          <w:rFonts w:eastAsia="Calibri" w:cs="Arial"/>
          <w:i/>
          <w:iCs/>
          <w:color w:val="000000"/>
          <w:sz w:val="22"/>
          <w:szCs w:val="22"/>
          <w:lang w:eastAsia="en-ZA"/>
        </w:rPr>
      </w:pPr>
      <w:r>
        <w:rPr>
          <w:rFonts w:eastAsia="Calibri" w:cs="Arial"/>
          <w:i/>
          <w:iCs/>
          <w:color w:val="000000"/>
          <w:sz w:val="22"/>
          <w:szCs w:val="22"/>
          <w:lang w:eastAsia="en-ZA"/>
        </w:rPr>
        <w:t>(ii)</w:t>
      </w:r>
      <w:r>
        <w:rPr>
          <w:rFonts w:eastAsia="Calibri" w:cs="Arial"/>
          <w:i/>
          <w:iCs/>
          <w:color w:val="000000"/>
          <w:sz w:val="22"/>
          <w:szCs w:val="22"/>
          <w:lang w:eastAsia="en-ZA"/>
        </w:rPr>
        <w:tab/>
      </w:r>
      <w:r w:rsidR="004537F5" w:rsidRPr="004537F5">
        <w:rPr>
          <w:rFonts w:eastAsia="Calibri" w:cs="Arial"/>
          <w:i/>
          <w:iCs/>
          <w:color w:val="000000"/>
          <w:sz w:val="22"/>
          <w:szCs w:val="22"/>
          <w:lang w:eastAsia="en-ZA"/>
        </w:rPr>
        <w:t>When directed by an order of a court;</w:t>
      </w:r>
      <w:r w:rsidR="001701E2">
        <w:rPr>
          <w:rFonts w:eastAsia="Calibri" w:cs="Arial"/>
          <w:i/>
          <w:iCs/>
          <w:color w:val="000000"/>
          <w:sz w:val="22"/>
          <w:szCs w:val="22"/>
          <w:lang w:eastAsia="en-ZA"/>
        </w:rPr>
        <w:t xml:space="preserve"> </w:t>
      </w:r>
    </w:p>
    <w:p w14:paraId="4FDF14D9" w14:textId="5C52214A" w:rsidR="001701E2" w:rsidRPr="001701E2" w:rsidRDefault="00B42B70" w:rsidP="00B42B70">
      <w:pPr>
        <w:spacing w:before="240" w:after="160" w:line="480" w:lineRule="auto"/>
        <w:ind w:left="1440" w:hanging="720"/>
        <w:contextualSpacing/>
        <w:jc w:val="left"/>
        <w:rPr>
          <w:rFonts w:eastAsia="Calibri" w:cs="Arial"/>
          <w:i/>
          <w:iCs/>
          <w:color w:val="000000"/>
          <w:sz w:val="22"/>
          <w:szCs w:val="22"/>
          <w:lang w:eastAsia="en-ZA"/>
        </w:rPr>
      </w:pPr>
      <w:r w:rsidRPr="001701E2">
        <w:rPr>
          <w:rFonts w:eastAsia="Calibri" w:cs="Arial"/>
          <w:i/>
          <w:iCs/>
          <w:color w:val="000000"/>
          <w:sz w:val="22"/>
          <w:szCs w:val="22"/>
          <w:lang w:eastAsia="en-ZA"/>
        </w:rPr>
        <w:t>(iii)</w:t>
      </w:r>
      <w:r w:rsidRPr="001701E2">
        <w:rPr>
          <w:rFonts w:eastAsia="Calibri" w:cs="Arial"/>
          <w:i/>
          <w:iCs/>
          <w:color w:val="000000"/>
          <w:sz w:val="22"/>
          <w:szCs w:val="22"/>
          <w:lang w:eastAsia="en-ZA"/>
        </w:rPr>
        <w:tab/>
      </w:r>
      <w:r w:rsidR="001701E2" w:rsidRPr="001701E2">
        <w:rPr>
          <w:rFonts w:eastAsia="Calibri" w:cs="Arial"/>
          <w:i/>
          <w:iCs/>
          <w:color w:val="000000"/>
          <w:sz w:val="22"/>
          <w:szCs w:val="22"/>
          <w:lang w:eastAsia="en-ZA"/>
        </w:rPr>
        <w:t>During the process of collection of debts owed to the licensees to accredited debt collection agencies;</w:t>
      </w:r>
    </w:p>
    <w:p w14:paraId="3C2FA6CB" w14:textId="538CD19C" w:rsidR="001701E2" w:rsidRPr="001701E2" w:rsidRDefault="00B42B70" w:rsidP="00B42B70">
      <w:pPr>
        <w:spacing w:before="240" w:after="160" w:line="480" w:lineRule="auto"/>
        <w:ind w:left="1440" w:hanging="720"/>
        <w:contextualSpacing/>
        <w:jc w:val="left"/>
        <w:rPr>
          <w:rFonts w:eastAsia="Calibri" w:cs="Arial"/>
          <w:i/>
          <w:iCs/>
          <w:color w:val="000000"/>
          <w:sz w:val="22"/>
          <w:szCs w:val="22"/>
          <w:lang w:eastAsia="en-ZA"/>
        </w:rPr>
      </w:pPr>
      <w:r w:rsidRPr="001701E2">
        <w:rPr>
          <w:rFonts w:eastAsia="Calibri" w:cs="Arial"/>
          <w:i/>
          <w:iCs/>
          <w:color w:val="000000"/>
          <w:sz w:val="22"/>
          <w:szCs w:val="22"/>
          <w:lang w:eastAsia="en-ZA"/>
        </w:rPr>
        <w:t>(iv)</w:t>
      </w:r>
      <w:r w:rsidRPr="001701E2">
        <w:rPr>
          <w:rFonts w:eastAsia="Calibri" w:cs="Arial"/>
          <w:i/>
          <w:iCs/>
          <w:color w:val="000000"/>
          <w:sz w:val="22"/>
          <w:szCs w:val="22"/>
          <w:lang w:eastAsia="en-ZA"/>
        </w:rPr>
        <w:tab/>
      </w:r>
      <w:r w:rsidR="001701E2" w:rsidRPr="001701E2">
        <w:rPr>
          <w:rFonts w:eastAsia="Calibri" w:cs="Arial"/>
          <w:i/>
          <w:iCs/>
          <w:color w:val="000000"/>
          <w:sz w:val="22"/>
          <w:szCs w:val="22"/>
          <w:lang w:eastAsia="en-ZA"/>
        </w:rPr>
        <w:t>By the licensees’ auditors for the purpose of auditing their accounts; and</w:t>
      </w:r>
    </w:p>
    <w:p w14:paraId="0B1E8B0C" w14:textId="40C4A8CF" w:rsidR="001701E2" w:rsidRPr="001701E2" w:rsidRDefault="00B42B70" w:rsidP="00B42B70">
      <w:pPr>
        <w:spacing w:before="240" w:after="160" w:line="480" w:lineRule="auto"/>
        <w:ind w:left="1440" w:hanging="720"/>
        <w:contextualSpacing/>
        <w:jc w:val="left"/>
        <w:rPr>
          <w:rFonts w:eastAsia="Calibri" w:cs="Arial"/>
          <w:i/>
          <w:iCs/>
          <w:color w:val="000000"/>
          <w:sz w:val="22"/>
          <w:szCs w:val="22"/>
          <w:lang w:eastAsia="en-ZA"/>
        </w:rPr>
      </w:pPr>
      <w:r w:rsidRPr="001701E2">
        <w:rPr>
          <w:rFonts w:eastAsia="Calibri" w:cs="Arial"/>
          <w:i/>
          <w:iCs/>
          <w:color w:val="000000"/>
          <w:sz w:val="22"/>
          <w:szCs w:val="22"/>
          <w:lang w:eastAsia="en-ZA"/>
        </w:rPr>
        <w:t>(v)</w:t>
      </w:r>
      <w:r w:rsidRPr="001701E2">
        <w:rPr>
          <w:rFonts w:eastAsia="Calibri" w:cs="Arial"/>
          <w:i/>
          <w:iCs/>
          <w:color w:val="000000"/>
          <w:sz w:val="22"/>
          <w:szCs w:val="22"/>
          <w:lang w:eastAsia="en-ZA"/>
        </w:rPr>
        <w:tab/>
      </w:r>
      <w:r w:rsidR="001701E2" w:rsidRPr="001701E2">
        <w:rPr>
          <w:rFonts w:eastAsia="Calibri" w:cs="Arial"/>
          <w:i/>
          <w:iCs/>
          <w:color w:val="000000"/>
          <w:sz w:val="22"/>
          <w:szCs w:val="22"/>
          <w:lang w:eastAsia="en-ZA"/>
        </w:rPr>
        <w:t>In terms of any applicable law.”</w:t>
      </w:r>
    </w:p>
    <w:p w14:paraId="0A7E5246" w14:textId="468D961D" w:rsidR="004E45C3" w:rsidRDefault="00B42B70" w:rsidP="00B42B70">
      <w:pPr>
        <w:pStyle w:val="LegalNormal"/>
        <w:tabs>
          <w:tab w:val="left" w:pos="927"/>
        </w:tabs>
        <w:spacing w:before="240"/>
        <w:ind w:left="927" w:hanging="567"/>
      </w:pPr>
      <w:r>
        <w:t>[33]</w:t>
      </w:r>
      <w:r>
        <w:tab/>
      </w:r>
      <w:r w:rsidR="000E0E2C" w:rsidRPr="000E0E2C">
        <w:t>Paragraph 3.8 essentially stipulates that telecommunication service provider may release communications-related information only to consumers or prospective consumers of the telecommunication service provider subject to certain exceptions, exceptions which are not present in this matter.</w:t>
      </w:r>
    </w:p>
    <w:p w14:paraId="6C3A59A4" w14:textId="09922477" w:rsidR="00055FB9" w:rsidRDefault="00B42B70" w:rsidP="00B42B70">
      <w:pPr>
        <w:pStyle w:val="LegalNormal"/>
        <w:tabs>
          <w:tab w:val="left" w:pos="927"/>
        </w:tabs>
        <w:spacing w:before="240"/>
        <w:ind w:left="927" w:hanging="567"/>
      </w:pPr>
      <w:r>
        <w:t>[34]</w:t>
      </w:r>
      <w:r>
        <w:tab/>
      </w:r>
      <w:r w:rsidR="007B7B9E" w:rsidRPr="007B7B9E">
        <w:t>That is to say that the real-time or archived communication referred to in RICA and the Regulations, can be released, upon request, to the telecommunication service providers’ consumers or prospective consumers subject to certain exceptions (which</w:t>
      </w:r>
      <w:r w:rsidR="007B7B9E">
        <w:t>, as I have</w:t>
      </w:r>
      <w:r w:rsidR="00055FB9">
        <w:t xml:space="preserve"> found,</w:t>
      </w:r>
      <w:r w:rsidR="007B7B9E" w:rsidRPr="007B7B9E">
        <w:t xml:space="preserve"> are not applicable in this matter). </w:t>
      </w:r>
    </w:p>
    <w:p w14:paraId="5ADE4F9A" w14:textId="5C2B70C5" w:rsidR="000E0E2C" w:rsidRDefault="00B42B70" w:rsidP="00B42B70">
      <w:pPr>
        <w:pStyle w:val="LegalNormal"/>
        <w:tabs>
          <w:tab w:val="left" w:pos="927"/>
        </w:tabs>
        <w:spacing w:before="240"/>
        <w:ind w:left="927" w:hanging="567"/>
      </w:pPr>
      <w:r>
        <w:t>[35]</w:t>
      </w:r>
      <w:r>
        <w:tab/>
      </w:r>
      <w:r w:rsidR="007B7B9E" w:rsidRPr="007B7B9E">
        <w:t>This requires the person requesting information to show that they are a consumer of the service provider and as a result, they are entitled to the information requested. Section 1 of RICA defines a ‘customer’ as:</w:t>
      </w:r>
      <w:r w:rsidR="00055FB9">
        <w:t xml:space="preserve"> </w:t>
      </w:r>
    </w:p>
    <w:p w14:paraId="4F1E574E" w14:textId="6B2A5390" w:rsidR="004A0072" w:rsidRPr="004A0072" w:rsidRDefault="004A0072" w:rsidP="004A0072">
      <w:pPr>
        <w:pStyle w:val="lg-definition"/>
        <w:shd w:val="clear" w:color="auto" w:fill="FFFFFF"/>
        <w:spacing w:before="180" w:beforeAutospacing="0" w:after="0" w:afterAutospacing="0" w:line="480" w:lineRule="auto"/>
        <w:ind w:left="680" w:firstLine="198"/>
        <w:jc w:val="both"/>
        <w:rPr>
          <w:rFonts w:ascii="Arial" w:hAnsi="Arial" w:cs="Arial"/>
          <w:i/>
          <w:iCs/>
          <w:color w:val="000000"/>
          <w:sz w:val="22"/>
          <w:szCs w:val="22"/>
        </w:rPr>
      </w:pPr>
      <w:r w:rsidRPr="004A0072">
        <w:rPr>
          <w:rFonts w:ascii="Arial" w:hAnsi="Arial" w:cs="Arial"/>
          <w:i/>
          <w:iCs/>
          <w:color w:val="000000"/>
          <w:sz w:val="22"/>
          <w:szCs w:val="22"/>
        </w:rPr>
        <w:t>“… any person—</w:t>
      </w:r>
    </w:p>
    <w:p w14:paraId="5A0838BB" w14:textId="3E30409C" w:rsidR="004A0072" w:rsidRPr="004A0072" w:rsidRDefault="00B42B70" w:rsidP="00B42B70">
      <w:pPr>
        <w:pStyle w:val="lg-a-1"/>
        <w:shd w:val="clear" w:color="auto" w:fill="FFFFFF"/>
        <w:spacing w:before="180" w:beforeAutospacing="0" w:after="0" w:afterAutospacing="0" w:line="480" w:lineRule="auto"/>
        <w:ind w:left="1522" w:hanging="360"/>
        <w:jc w:val="both"/>
        <w:rPr>
          <w:rFonts w:ascii="Arial" w:hAnsi="Arial" w:cs="Arial"/>
          <w:i/>
          <w:iCs/>
          <w:color w:val="000000"/>
          <w:sz w:val="22"/>
          <w:szCs w:val="22"/>
        </w:rPr>
      </w:pPr>
      <w:r w:rsidRPr="004A0072">
        <w:rPr>
          <w:rFonts w:ascii="Arial" w:hAnsi="Arial" w:cs="Arial"/>
          <w:i/>
          <w:iCs/>
          <w:color w:val="000000"/>
          <w:sz w:val="22"/>
          <w:szCs w:val="22"/>
        </w:rPr>
        <w:lastRenderedPageBreak/>
        <w:t>(a)</w:t>
      </w:r>
      <w:r w:rsidRPr="004A0072">
        <w:rPr>
          <w:rFonts w:ascii="Arial" w:hAnsi="Arial" w:cs="Arial"/>
          <w:i/>
          <w:iCs/>
          <w:color w:val="000000"/>
          <w:sz w:val="22"/>
          <w:szCs w:val="22"/>
        </w:rPr>
        <w:tab/>
      </w:r>
      <w:r w:rsidR="004A0072" w:rsidRPr="004A0072">
        <w:rPr>
          <w:rFonts w:ascii="Arial" w:hAnsi="Arial" w:cs="Arial"/>
          <w:i/>
          <w:iCs/>
          <w:color w:val="000000"/>
          <w:sz w:val="22"/>
          <w:szCs w:val="22"/>
        </w:rPr>
        <w:t>to whom an electronic communication service provider provides an electronic communications service, including an employee of the electronic communication service provider or any person who receives or received such service as a gift, reward, favour, benefit or donation;</w:t>
      </w:r>
    </w:p>
    <w:p w14:paraId="08753F45" w14:textId="004DA7F0" w:rsidR="004A0072" w:rsidRPr="004A0072" w:rsidRDefault="00B42B70" w:rsidP="00B42B70">
      <w:pPr>
        <w:pStyle w:val="lg-a-1"/>
        <w:shd w:val="clear" w:color="auto" w:fill="FFFFFF"/>
        <w:spacing w:before="180" w:beforeAutospacing="0" w:after="0" w:afterAutospacing="0" w:line="480" w:lineRule="auto"/>
        <w:ind w:left="1522" w:hanging="360"/>
        <w:jc w:val="both"/>
        <w:rPr>
          <w:rFonts w:ascii="Arial" w:hAnsi="Arial" w:cs="Arial"/>
          <w:i/>
          <w:iCs/>
          <w:color w:val="000000"/>
          <w:sz w:val="22"/>
          <w:szCs w:val="22"/>
        </w:rPr>
      </w:pPr>
      <w:r w:rsidRPr="004A0072">
        <w:rPr>
          <w:rFonts w:ascii="Arial" w:hAnsi="Arial" w:cs="Arial"/>
          <w:i/>
          <w:iCs/>
          <w:color w:val="000000"/>
          <w:sz w:val="22"/>
          <w:szCs w:val="22"/>
        </w:rPr>
        <w:t>(b)</w:t>
      </w:r>
      <w:r w:rsidRPr="004A0072">
        <w:rPr>
          <w:rFonts w:ascii="Arial" w:hAnsi="Arial" w:cs="Arial"/>
          <w:i/>
          <w:iCs/>
          <w:color w:val="000000"/>
          <w:sz w:val="22"/>
          <w:szCs w:val="22"/>
        </w:rPr>
        <w:tab/>
      </w:r>
      <w:r w:rsidR="004A0072" w:rsidRPr="004A0072">
        <w:rPr>
          <w:rFonts w:ascii="Arial" w:hAnsi="Arial" w:cs="Arial"/>
          <w:i/>
          <w:iCs/>
          <w:color w:val="000000"/>
          <w:sz w:val="22"/>
          <w:szCs w:val="22"/>
        </w:rPr>
        <w:t>who has entered into a contract with an electronic communication service provider for the provision of an electronic communications service, including a pre-paid electronic communications service; or</w:t>
      </w:r>
    </w:p>
    <w:p w14:paraId="1508EBAC" w14:textId="23DA1468" w:rsidR="004A0072" w:rsidRPr="004A0072" w:rsidRDefault="00B42B70" w:rsidP="00B42B70">
      <w:pPr>
        <w:pStyle w:val="lg-a-1"/>
        <w:shd w:val="clear" w:color="auto" w:fill="FFFFFF"/>
        <w:spacing w:before="180" w:beforeAutospacing="0" w:after="0" w:afterAutospacing="0" w:line="480" w:lineRule="auto"/>
        <w:ind w:left="1522" w:hanging="360"/>
        <w:jc w:val="both"/>
        <w:rPr>
          <w:rFonts w:ascii="Arial" w:hAnsi="Arial" w:cs="Arial"/>
          <w:i/>
          <w:iCs/>
          <w:color w:val="000000"/>
          <w:sz w:val="22"/>
          <w:szCs w:val="22"/>
        </w:rPr>
      </w:pPr>
      <w:r w:rsidRPr="004A0072">
        <w:rPr>
          <w:rFonts w:ascii="Arial" w:hAnsi="Arial" w:cs="Arial"/>
          <w:i/>
          <w:iCs/>
          <w:color w:val="000000"/>
          <w:sz w:val="22"/>
          <w:szCs w:val="22"/>
        </w:rPr>
        <w:t>(c)</w:t>
      </w:r>
      <w:r w:rsidRPr="004A0072">
        <w:rPr>
          <w:rFonts w:ascii="Arial" w:hAnsi="Arial" w:cs="Arial"/>
          <w:i/>
          <w:iCs/>
          <w:color w:val="000000"/>
          <w:sz w:val="22"/>
          <w:szCs w:val="22"/>
        </w:rPr>
        <w:tab/>
      </w:r>
      <w:r w:rsidR="004A0072" w:rsidRPr="004A0072">
        <w:rPr>
          <w:rFonts w:ascii="Arial" w:hAnsi="Arial" w:cs="Arial"/>
          <w:i/>
          <w:iCs/>
          <w:color w:val="000000"/>
          <w:sz w:val="22"/>
          <w:szCs w:val="22"/>
        </w:rPr>
        <w:t>where applicable—</w:t>
      </w:r>
    </w:p>
    <w:p w14:paraId="1245E267" w14:textId="7C8C0CF5" w:rsidR="004A0072" w:rsidRPr="004A0072" w:rsidRDefault="00B42B70" w:rsidP="00B42B70">
      <w:pPr>
        <w:pStyle w:val="lg-a-1"/>
        <w:shd w:val="clear" w:color="auto" w:fill="FFFFFF"/>
        <w:spacing w:before="180" w:beforeAutospacing="0" w:after="0" w:afterAutospacing="0" w:line="480" w:lineRule="auto"/>
        <w:ind w:left="2242" w:hanging="720"/>
        <w:jc w:val="both"/>
        <w:rPr>
          <w:rFonts w:ascii="Arial" w:hAnsi="Arial" w:cs="Arial"/>
          <w:i/>
          <w:iCs/>
          <w:color w:val="000000"/>
          <w:sz w:val="22"/>
          <w:szCs w:val="22"/>
        </w:rPr>
      </w:pPr>
      <w:r w:rsidRPr="004A0072">
        <w:rPr>
          <w:rFonts w:ascii="Arial" w:hAnsi="Arial" w:cs="Arial"/>
          <w:i/>
          <w:iCs/>
          <w:color w:val="000000"/>
          <w:sz w:val="22"/>
          <w:szCs w:val="22"/>
        </w:rPr>
        <w:t>(i)</w:t>
      </w:r>
      <w:r w:rsidRPr="004A0072">
        <w:rPr>
          <w:rFonts w:ascii="Arial" w:hAnsi="Arial" w:cs="Arial"/>
          <w:i/>
          <w:iCs/>
          <w:color w:val="000000"/>
          <w:sz w:val="22"/>
          <w:szCs w:val="22"/>
        </w:rPr>
        <w:tab/>
      </w:r>
      <w:r w:rsidR="004A0072" w:rsidRPr="004A0072">
        <w:rPr>
          <w:rFonts w:ascii="Arial" w:hAnsi="Arial" w:cs="Arial"/>
          <w:i/>
          <w:iCs/>
          <w:color w:val="000000"/>
          <w:sz w:val="22"/>
          <w:szCs w:val="22"/>
        </w:rPr>
        <w:t xml:space="preserve">to whom an electronic communication service provider in the past has provided an electronic communications service; or </w:t>
      </w:r>
    </w:p>
    <w:p w14:paraId="1E0B56BF" w14:textId="7E43727C" w:rsidR="004A0072" w:rsidRPr="00914562" w:rsidRDefault="00B42B70" w:rsidP="00B42B70">
      <w:pPr>
        <w:pStyle w:val="lg-a-1"/>
        <w:shd w:val="clear" w:color="auto" w:fill="FFFFFF"/>
        <w:spacing w:before="180" w:beforeAutospacing="0" w:after="0" w:afterAutospacing="0" w:line="480" w:lineRule="auto"/>
        <w:ind w:left="2242" w:hanging="720"/>
        <w:jc w:val="both"/>
        <w:rPr>
          <w:rFonts w:ascii="Arial" w:hAnsi="Arial" w:cs="Arial"/>
          <w:color w:val="000000"/>
          <w:sz w:val="22"/>
          <w:szCs w:val="22"/>
        </w:rPr>
      </w:pPr>
      <w:r w:rsidRPr="00914562">
        <w:rPr>
          <w:rFonts w:ascii="Arial" w:hAnsi="Arial" w:cs="Arial"/>
          <w:color w:val="000000"/>
          <w:sz w:val="22"/>
          <w:szCs w:val="22"/>
        </w:rPr>
        <w:t>(ii)</w:t>
      </w:r>
      <w:r w:rsidRPr="00914562">
        <w:rPr>
          <w:rFonts w:ascii="Arial" w:hAnsi="Arial" w:cs="Arial"/>
          <w:color w:val="000000"/>
          <w:sz w:val="22"/>
          <w:szCs w:val="22"/>
        </w:rPr>
        <w:tab/>
      </w:r>
      <w:r w:rsidR="004A0072" w:rsidRPr="004A0072">
        <w:rPr>
          <w:rFonts w:ascii="Arial" w:hAnsi="Arial" w:cs="Arial"/>
          <w:i/>
          <w:iCs/>
          <w:color w:val="000000"/>
          <w:sz w:val="22"/>
          <w:szCs w:val="22"/>
        </w:rPr>
        <w:t>who has, in the past, entered into a contract with an electronic communication service provider for the provision of an electronic communications service, including a pre-paid electronic communications service;”</w:t>
      </w:r>
    </w:p>
    <w:p w14:paraId="7C850820" w14:textId="2CC43574" w:rsidR="00AE56B1" w:rsidRDefault="00B42B70" w:rsidP="00B42B70">
      <w:pPr>
        <w:pStyle w:val="LegalNormal"/>
        <w:tabs>
          <w:tab w:val="left" w:pos="927"/>
        </w:tabs>
        <w:spacing w:before="240"/>
        <w:ind w:left="927" w:hanging="567"/>
      </w:pPr>
      <w:r>
        <w:t>[36]</w:t>
      </w:r>
      <w:r>
        <w:tab/>
      </w:r>
      <w:r w:rsidR="0001638B" w:rsidRPr="0001638B">
        <w:t xml:space="preserve">Provided that the applicant is a customer in terms of the definition set out in the RICA, he will be entitled to having the communication-related information released to him as envisaged by section 12 of the RICA and the ICASA Regulations set out above. </w:t>
      </w:r>
    </w:p>
    <w:p w14:paraId="60F4332E" w14:textId="687A0950" w:rsidR="004D25DA" w:rsidRDefault="00B42B70" w:rsidP="00B42B70">
      <w:pPr>
        <w:pStyle w:val="LegalNormal"/>
        <w:tabs>
          <w:tab w:val="left" w:pos="927"/>
        </w:tabs>
        <w:spacing w:before="240"/>
        <w:ind w:left="927" w:hanging="567"/>
      </w:pPr>
      <w:r>
        <w:t>[37]</w:t>
      </w:r>
      <w:r>
        <w:tab/>
      </w:r>
      <w:r w:rsidR="0001638B" w:rsidRPr="0001638B">
        <w:t xml:space="preserve">It is noteworthy that the applicant merely averred in his founding affidavit that the number for which the records are sought belongs to him. Any other averment or argument advanced by the applicant in this regard, was raised in his replying affidavit and second set of heads of argument. It is trite in law that in motion </w:t>
      </w:r>
      <w:r w:rsidR="0001638B" w:rsidRPr="0001638B">
        <w:lastRenderedPageBreak/>
        <w:t>proceedings “an applicant must stand or fall by his or her founding affidavit.”</w:t>
      </w:r>
      <w:r w:rsidR="009C2728">
        <w:rPr>
          <w:rStyle w:val="FootnoteReference"/>
        </w:rPr>
        <w:footnoteReference w:id="14"/>
      </w:r>
      <w:r w:rsidR="0001638B" w:rsidRPr="0001638B">
        <w:t xml:space="preserve">  That is to say that new facts or evidence or grounds for the application cannot be made in the replying affidavit, this extends to the heads of argument which should just be a summary of the legal issues, arguments and authorities relied on. New facts or evidence cannot be introduced at this stage.</w:t>
      </w:r>
    </w:p>
    <w:p w14:paraId="078B247E" w14:textId="1F8C67E2" w:rsidR="00AE56B1" w:rsidRDefault="00B42B70" w:rsidP="00B42B70">
      <w:pPr>
        <w:pStyle w:val="LegalNormal"/>
        <w:tabs>
          <w:tab w:val="left" w:pos="927"/>
        </w:tabs>
        <w:spacing w:before="240"/>
        <w:ind w:left="927" w:hanging="567"/>
      </w:pPr>
      <w:r>
        <w:t>[38]</w:t>
      </w:r>
      <w:r>
        <w:tab/>
      </w:r>
      <w:r w:rsidR="00BA6272" w:rsidRPr="00BA6272">
        <w:t xml:space="preserve">To establish that he is a customer of the respondent, the applicant introduced new facts in his second sets of heads of argument as set out above, in which inter </w:t>
      </w:r>
      <w:r w:rsidR="00BA6272" w:rsidRPr="00CB08B0">
        <w:rPr>
          <w:i/>
        </w:rPr>
        <w:t>alia</w:t>
      </w:r>
      <w:r w:rsidR="00BA6272" w:rsidRPr="00BA6272">
        <w:t xml:space="preserve"> he annexed confirmatory affidavits of his wife and ex-wife attesting that the number in question belongs to him or belonged to him prior to and during the robbery for which he is incarcerated and as a result, he was a customer to the respondent. In such instances where additional information is added in the replying affidavit (and by extension, the heads of argument) the court has a judicial discretion to exercise, it can either permit or strike out the additional information.</w:t>
      </w:r>
      <w:r w:rsidR="00C315A9">
        <w:rPr>
          <w:rStyle w:val="FootnoteReference"/>
        </w:rPr>
        <w:footnoteReference w:id="15"/>
      </w:r>
    </w:p>
    <w:p w14:paraId="0FA8F84A" w14:textId="53312605" w:rsidR="00192DFD" w:rsidRDefault="00B42B70" w:rsidP="00B42B70">
      <w:pPr>
        <w:pStyle w:val="LegalNormal"/>
        <w:tabs>
          <w:tab w:val="left" w:pos="927"/>
        </w:tabs>
        <w:spacing w:before="240"/>
        <w:ind w:left="927" w:hanging="567"/>
      </w:pPr>
      <w:r>
        <w:t>[39]</w:t>
      </w:r>
      <w:r>
        <w:tab/>
      </w:r>
      <w:r w:rsidR="009F547D" w:rsidRPr="009F547D">
        <w:t>In addition, to make out his case, the applicant makes reference to the privileged communication (labelled ‘without prejudice’) from the respondent in which the respondent admitted to having handed the sought information to the National</w:t>
      </w:r>
      <w:r w:rsidR="009F547D">
        <w:t xml:space="preserve"> </w:t>
      </w:r>
      <w:r w:rsidR="00D85435" w:rsidRPr="00D85435">
        <w:lastRenderedPageBreak/>
        <w:t xml:space="preserve">Prosecuting Authority for the applicant’s criminal trial, following a section 205 subpoena and </w:t>
      </w:r>
      <w:r w:rsidR="008329C4">
        <w:t>essent</w:t>
      </w:r>
      <w:r w:rsidR="00D85435" w:rsidRPr="00D85435">
        <w:t>ially advising the applicant to withdraw his application.</w:t>
      </w:r>
    </w:p>
    <w:p w14:paraId="51CFE713" w14:textId="51480693" w:rsidR="008F5FF2" w:rsidRDefault="00B42B70" w:rsidP="00B42B70">
      <w:pPr>
        <w:pStyle w:val="LegalNormal"/>
        <w:tabs>
          <w:tab w:val="left" w:pos="927"/>
        </w:tabs>
        <w:spacing w:before="240"/>
        <w:ind w:left="927" w:hanging="567"/>
      </w:pPr>
      <w:r>
        <w:t>[40]</w:t>
      </w:r>
      <w:r>
        <w:tab/>
      </w:r>
      <w:r w:rsidR="00083E3F" w:rsidRPr="00083E3F">
        <w:t xml:space="preserve">The principles that are applicable to privileged communications were set out by the court in </w:t>
      </w:r>
      <w:r w:rsidR="00083E3F" w:rsidRPr="00083E3F">
        <w:rPr>
          <w:b/>
          <w:bCs/>
          <w:i/>
          <w:iCs/>
        </w:rPr>
        <w:t>Groep v Golden Arrow Bus Services (Pty) Ltd and a Related Matter</w:t>
      </w:r>
      <w:r w:rsidR="00083E3F">
        <w:rPr>
          <w:rStyle w:val="FootnoteReference"/>
          <w:b/>
          <w:bCs/>
          <w:i/>
          <w:iCs/>
        </w:rPr>
        <w:footnoteReference w:id="16"/>
      </w:r>
      <w:r w:rsidR="00083E3F" w:rsidRPr="00083E3F">
        <w:t xml:space="preserve">  as follows:</w:t>
      </w:r>
      <w:r w:rsidR="00D571F2">
        <w:t xml:space="preserve"> </w:t>
      </w:r>
    </w:p>
    <w:p w14:paraId="1A8CA24F" w14:textId="3FC18EA6" w:rsidR="00C81349" w:rsidRDefault="008F5FF2" w:rsidP="00967382">
      <w:pPr>
        <w:pStyle w:val="LegalNormal"/>
        <w:spacing w:before="240"/>
        <w:ind w:left="927"/>
      </w:pPr>
      <w:r w:rsidRPr="00FC2224">
        <w:rPr>
          <w:b/>
          <w:bCs/>
          <w:i/>
        </w:rPr>
        <w:t>“</w:t>
      </w:r>
      <w:r w:rsidRPr="00FC2224">
        <w:rPr>
          <w:i/>
        </w:rPr>
        <w:t>It is by now trite that communications exchanged by litigants in the course of legal proceedings in a bona fide endeavour to resolve their differences are protected from subsequent disclosure at trial and from admission into evidence.</w:t>
      </w:r>
      <w:r w:rsidR="00CB08B0" w:rsidRPr="00FC2224">
        <w:rPr>
          <w:i/>
        </w:rPr>
        <w:t>”</w:t>
      </w:r>
      <w:r w:rsidRPr="008F5FF2">
        <w:t xml:space="preserve"> In </w:t>
      </w:r>
      <w:r w:rsidRPr="008723BF">
        <w:rPr>
          <w:i/>
          <w:iCs/>
        </w:rPr>
        <w:t>Naidoo</w:t>
      </w:r>
      <w:r w:rsidRPr="008F5FF2">
        <w:t xml:space="preserve"> Trollip JA observed that the rule is based upon considerations of public policy to encourage the extra curial resolution of disputes:</w:t>
      </w:r>
      <w:r w:rsidR="00967382">
        <w:t xml:space="preserve"> </w:t>
      </w:r>
    </w:p>
    <w:p w14:paraId="64D98E34" w14:textId="782A18B9" w:rsidR="008329C4" w:rsidRDefault="00C81349" w:rsidP="00C81349">
      <w:pPr>
        <w:pStyle w:val="LegalNormal"/>
        <w:spacing w:before="240"/>
        <w:ind w:left="1440"/>
      </w:pPr>
      <w:r w:rsidRPr="00C81349">
        <w:t xml:space="preserve">‘The rationale of the rule is public policy: parties to disputes are to be encouraged to avoid litigation and all the expenses (nowadays very high), delays, hostility, and inconvenience it usually entails, by resolving their differences amicably in full and frank discussions without the fear that, if the negotiations fail, any admissions made by them during such discussions will be used against </w:t>
      </w:r>
      <w:r w:rsidR="00FC2224">
        <w:t>them in the ensuing litigation.’</w:t>
      </w:r>
      <w:r w:rsidR="005923DE">
        <w:rPr>
          <w:rStyle w:val="FootnoteReference"/>
          <w:b/>
          <w:bCs/>
        </w:rPr>
        <w:footnoteReference w:id="17"/>
      </w:r>
    </w:p>
    <w:p w14:paraId="7BEF61AC" w14:textId="7C25CD75" w:rsidR="00FC273F" w:rsidRDefault="00B42B70" w:rsidP="00B42B70">
      <w:pPr>
        <w:pStyle w:val="LegalNormal"/>
        <w:tabs>
          <w:tab w:val="left" w:pos="927"/>
        </w:tabs>
        <w:spacing w:before="240"/>
        <w:ind w:left="927" w:hanging="567"/>
      </w:pPr>
      <w:r>
        <w:t>[41]</w:t>
      </w:r>
      <w:r>
        <w:tab/>
      </w:r>
      <w:r w:rsidR="00664460" w:rsidRPr="00664460">
        <w:t xml:space="preserve">However, there are exception to this rule. One exception is if the privileged communication is an admission of insolvency, another exception is if the </w:t>
      </w:r>
      <w:r w:rsidR="00664460" w:rsidRPr="00664460">
        <w:lastRenderedPageBreak/>
        <w:t xml:space="preserve">privileged communication is an acknowledgment of liability that interrupts the running of prescription as contemplated in section 14 of the Prescription Act.  None of these exceptions exist in this matter. As such, the without prejudice correspondence from the respondent remain inadmissible and </w:t>
      </w:r>
      <w:r w:rsidR="00664460">
        <w:t>stand to be</w:t>
      </w:r>
      <w:r w:rsidR="00664460" w:rsidRPr="00664460">
        <w:t xml:space="preserve"> str</w:t>
      </w:r>
      <w:r w:rsidR="00664460">
        <w:t>uc</w:t>
      </w:r>
      <w:r w:rsidR="00664460" w:rsidRPr="00664460">
        <w:t>k from the record.</w:t>
      </w:r>
    </w:p>
    <w:p w14:paraId="22A90A7F" w14:textId="09722C9A" w:rsidR="00692F62" w:rsidRDefault="00B42B70" w:rsidP="00B42B70">
      <w:pPr>
        <w:pStyle w:val="LegalNormal"/>
        <w:tabs>
          <w:tab w:val="left" w:pos="927"/>
        </w:tabs>
        <w:spacing w:before="240"/>
        <w:ind w:left="927" w:hanging="567"/>
      </w:pPr>
      <w:r>
        <w:t>[42]</w:t>
      </w:r>
      <w:r>
        <w:tab/>
      </w:r>
      <w:r w:rsidR="001C5D43" w:rsidRPr="00013F26">
        <w:t>Since</w:t>
      </w:r>
      <w:r w:rsidR="00013F26" w:rsidRPr="00013F26">
        <w:t xml:space="preserve"> the applicant is unrepresented by a legal practitioner, it is important to note what the court in </w:t>
      </w:r>
      <w:r w:rsidR="00013F26" w:rsidRPr="009A2BC9">
        <w:rPr>
          <w:b/>
          <w:bCs/>
          <w:i/>
          <w:iCs/>
        </w:rPr>
        <w:t>NS v MFS</w:t>
      </w:r>
      <w:r w:rsidR="00EA7A0D" w:rsidRPr="009A2BC9">
        <w:rPr>
          <w:rStyle w:val="FootnoteReference"/>
          <w:b/>
          <w:bCs/>
          <w:i/>
          <w:iCs/>
        </w:rPr>
        <w:footnoteReference w:id="18"/>
      </w:r>
      <w:r w:rsidR="00013F26" w:rsidRPr="00013F26">
        <w:t xml:space="preserve"> said in paragraph 3 regarding leniency to self-representing litigants:</w:t>
      </w:r>
      <w:r w:rsidR="001C5D43">
        <w:t xml:space="preserve"> </w:t>
      </w:r>
    </w:p>
    <w:p w14:paraId="5F55C2F1" w14:textId="508F4078" w:rsidR="009A05BE" w:rsidRPr="00FC2224" w:rsidRDefault="00692F62" w:rsidP="00692F62">
      <w:pPr>
        <w:pStyle w:val="LegalNormal"/>
        <w:spacing w:before="240"/>
        <w:ind w:left="927"/>
        <w:rPr>
          <w:i/>
          <w:sz w:val="22"/>
          <w:szCs w:val="22"/>
        </w:rPr>
      </w:pPr>
      <w:r w:rsidRPr="00FC2224">
        <w:rPr>
          <w:i/>
          <w:sz w:val="22"/>
          <w:szCs w:val="22"/>
        </w:rPr>
        <w:t>“The legal processes and filing notices, affidavits and other documents may be a maze for parties seeking to represent themselves in action proceedings. There is a delicate dance between adhering strictly to the rules of the court, to ensure that the process runs smoothly and allowing some leniency towards a self-representing litigant who may not have a bird’s eye view of how the law as a system operates or know about the intricate details of the law and legal processes, to ensure that both parties are genuinely heard.”</w:t>
      </w:r>
    </w:p>
    <w:p w14:paraId="5F4BCEB4" w14:textId="22BB6082" w:rsidR="008A3C50" w:rsidRDefault="00B42B70" w:rsidP="00B42B70">
      <w:pPr>
        <w:pStyle w:val="LegalNormal"/>
        <w:tabs>
          <w:tab w:val="left" w:pos="927"/>
        </w:tabs>
        <w:ind w:left="927" w:hanging="567"/>
      </w:pPr>
      <w:r>
        <w:t>[43]</w:t>
      </w:r>
      <w:r>
        <w:tab/>
      </w:r>
      <w:r w:rsidR="00007593" w:rsidRPr="00007593">
        <w:t xml:space="preserve">This is to say that while there is a strict requirement to comply with the court rules, courts can be flexible and grant leniency to a self-representing litigant who may be a layman in law. Ideally in matters like the one before this court, on fairness and policy grounds, the court could grant leniency regarding the admissibility of new facts or evidence in the replying affidavit and heads of argument and the admissibility of privileged communication. However, the issue </w:t>
      </w:r>
      <w:r w:rsidR="00007593" w:rsidRPr="00007593">
        <w:lastRenderedPageBreak/>
        <w:t>of the time lapse for storage of communication-related information, discussed below, does not necessitate such leniency.</w:t>
      </w:r>
    </w:p>
    <w:p w14:paraId="55B2026D" w14:textId="44EBBCEB" w:rsidR="00101969" w:rsidRDefault="00B42B70" w:rsidP="00B42B70">
      <w:pPr>
        <w:pStyle w:val="LegalNormal"/>
        <w:tabs>
          <w:tab w:val="left" w:pos="927"/>
        </w:tabs>
        <w:spacing w:line="360" w:lineRule="auto"/>
        <w:ind w:left="927" w:hanging="567"/>
      </w:pPr>
      <w:r>
        <w:t>[44]</w:t>
      </w:r>
      <w:r>
        <w:tab/>
      </w:r>
      <w:r w:rsidR="00F9210A">
        <w:t>Regarding</w:t>
      </w:r>
      <w:r w:rsidR="00332718">
        <w:t xml:space="preserve"> the storage of the communication-related information, RICA finds ap</w:t>
      </w:r>
      <w:r w:rsidR="00863B39">
        <w:t>plication again. According to section 30</w:t>
      </w:r>
      <w:r w:rsidR="00044098">
        <w:t>(1)(b) of RICA, telecommunication service providers</w:t>
      </w:r>
      <w:r w:rsidR="00345733">
        <w:t xml:space="preserve"> are obligated to store communication-related information, as stipulated </w:t>
      </w:r>
      <w:r w:rsidR="00291B13">
        <w:t xml:space="preserve">below: </w:t>
      </w:r>
    </w:p>
    <w:p w14:paraId="7D5F2ECD" w14:textId="77777777" w:rsidR="00101969" w:rsidRPr="00101969" w:rsidRDefault="00291B13" w:rsidP="005D0C5E">
      <w:pPr>
        <w:pStyle w:val="LegalNormal"/>
        <w:spacing w:after="0" w:line="360" w:lineRule="auto"/>
        <w:ind w:left="927" w:firstLine="513"/>
        <w:rPr>
          <w:sz w:val="22"/>
          <w:szCs w:val="22"/>
        </w:rPr>
      </w:pPr>
      <w:r w:rsidRPr="00101969">
        <w:rPr>
          <w:sz w:val="22"/>
          <w:szCs w:val="22"/>
        </w:rPr>
        <w:t>“Notwithstanding any other law, a telecomm</w:t>
      </w:r>
      <w:r w:rsidR="00495400" w:rsidRPr="00101969">
        <w:rPr>
          <w:sz w:val="22"/>
          <w:szCs w:val="22"/>
        </w:rPr>
        <w:t xml:space="preserve">unication service provider must – </w:t>
      </w:r>
    </w:p>
    <w:p w14:paraId="7F6864D0" w14:textId="77777777" w:rsidR="00101969" w:rsidRPr="00101969" w:rsidRDefault="00495400" w:rsidP="0055018E">
      <w:pPr>
        <w:pStyle w:val="LegalNormal"/>
        <w:spacing w:after="0" w:line="360" w:lineRule="auto"/>
        <w:ind w:left="927" w:firstLine="513"/>
        <w:rPr>
          <w:sz w:val="22"/>
          <w:szCs w:val="22"/>
        </w:rPr>
      </w:pPr>
      <w:r w:rsidRPr="00101969">
        <w:rPr>
          <w:sz w:val="22"/>
          <w:szCs w:val="22"/>
        </w:rPr>
        <w:t xml:space="preserve">(a) … </w:t>
      </w:r>
    </w:p>
    <w:p w14:paraId="36EDEBCC" w14:textId="479377D1" w:rsidR="009A2BC9" w:rsidRPr="00101969" w:rsidRDefault="00495400" w:rsidP="0055018E">
      <w:pPr>
        <w:pStyle w:val="LegalNormal"/>
        <w:spacing w:after="0" w:line="360" w:lineRule="auto"/>
        <w:ind w:left="927" w:firstLine="513"/>
        <w:rPr>
          <w:sz w:val="22"/>
          <w:szCs w:val="22"/>
        </w:rPr>
      </w:pPr>
      <w:r w:rsidRPr="00101969">
        <w:rPr>
          <w:sz w:val="22"/>
          <w:szCs w:val="22"/>
        </w:rPr>
        <w:t>(b) Store commu</w:t>
      </w:r>
      <w:r w:rsidR="007979AB" w:rsidRPr="00101969">
        <w:rPr>
          <w:sz w:val="22"/>
          <w:szCs w:val="22"/>
        </w:rPr>
        <w:t>nication-related information.”</w:t>
      </w:r>
    </w:p>
    <w:p w14:paraId="003947F9" w14:textId="10FC94F9" w:rsidR="00920E20" w:rsidRDefault="00B42B70" w:rsidP="00B42B70">
      <w:pPr>
        <w:pStyle w:val="LegalNormal"/>
        <w:tabs>
          <w:tab w:val="left" w:pos="927"/>
        </w:tabs>
        <w:spacing w:before="240"/>
        <w:ind w:left="927" w:hanging="567"/>
      </w:pPr>
      <w:r>
        <w:t>[45]</w:t>
      </w:r>
      <w:r>
        <w:tab/>
      </w:r>
      <w:r w:rsidR="00FD3ED2" w:rsidRPr="00FD3ED2">
        <w:t>To give effect to section 30(1)(b) of RICA, section 30(7)(a) read with section 30(2)(ii)(bb) of RICA, stipulate that a directive in respect of the storage of communication-related information must be issued by the Minister of Communications, as stipulated below:</w:t>
      </w:r>
      <w:r w:rsidR="00736435">
        <w:t xml:space="preserve"> </w:t>
      </w:r>
    </w:p>
    <w:p w14:paraId="34F83D04" w14:textId="77777777" w:rsidR="00736435" w:rsidRPr="005D0C5E" w:rsidRDefault="00736435" w:rsidP="005D0C5E">
      <w:pPr>
        <w:pStyle w:val="LegalNormal"/>
        <w:spacing w:after="0"/>
        <w:ind w:left="927"/>
        <w:rPr>
          <w:sz w:val="22"/>
          <w:szCs w:val="22"/>
        </w:rPr>
      </w:pPr>
      <w:r w:rsidRPr="005D0C5E">
        <w:rPr>
          <w:sz w:val="22"/>
          <w:szCs w:val="22"/>
        </w:rPr>
        <w:t>“30. Interception capability of telecommunication services and storing of communication-related information.</w:t>
      </w:r>
    </w:p>
    <w:p w14:paraId="32499E04" w14:textId="77777777" w:rsidR="00736435" w:rsidRPr="00736435" w:rsidRDefault="00736435" w:rsidP="005D0C5E">
      <w:pPr>
        <w:pStyle w:val="LegalNormal"/>
        <w:spacing w:after="0" w:line="360" w:lineRule="auto"/>
        <w:ind w:left="1440"/>
        <w:rPr>
          <w:sz w:val="22"/>
          <w:szCs w:val="22"/>
        </w:rPr>
      </w:pPr>
      <w:r w:rsidRPr="00736435">
        <w:rPr>
          <w:sz w:val="22"/>
          <w:szCs w:val="22"/>
        </w:rPr>
        <w:t>(7) The Cabinet member responsible for communications must, within two months after the fixed date and in consultation with the Minister and other relevant Ministers and after consultation with the Authority and a telecommunication service provider or category of telecommunication service providers to whom, prior to the fixed date, a telecommunication service licence has been issued under the Electronic Communications Act-</w:t>
      </w:r>
    </w:p>
    <w:p w14:paraId="4D3FD7F1" w14:textId="7B13386E" w:rsidR="00736435" w:rsidRDefault="00736435" w:rsidP="005D0C5E">
      <w:pPr>
        <w:pStyle w:val="LegalNormal"/>
        <w:spacing w:before="240" w:line="360" w:lineRule="auto"/>
        <w:ind w:left="1953"/>
      </w:pPr>
      <w:r w:rsidRPr="00736435">
        <w:rPr>
          <w:sz w:val="22"/>
          <w:szCs w:val="22"/>
        </w:rPr>
        <w:t>Issue a directive referred to in subsection (2)(a) in respect of such a telecommunication service provider or category of telecommunication service providers; and</w:t>
      </w:r>
      <w:r w:rsidR="0068100B">
        <w:rPr>
          <w:sz w:val="22"/>
          <w:szCs w:val="22"/>
        </w:rPr>
        <w:t xml:space="preserve"> …”</w:t>
      </w:r>
    </w:p>
    <w:p w14:paraId="33883FCA" w14:textId="45C0D01C" w:rsidR="00392590" w:rsidRDefault="00B42B70" w:rsidP="00B42B70">
      <w:pPr>
        <w:pStyle w:val="LegalNormal"/>
        <w:tabs>
          <w:tab w:val="left" w:pos="927"/>
        </w:tabs>
        <w:spacing w:before="240"/>
        <w:ind w:left="927" w:hanging="567"/>
      </w:pPr>
      <w:r>
        <w:t>[46]</w:t>
      </w:r>
      <w:r>
        <w:tab/>
      </w:r>
      <w:r w:rsidR="0068100B">
        <w:t>Read with section 30(2)(a)</w:t>
      </w:r>
      <w:r w:rsidR="00DE56D8">
        <w:t xml:space="preserve"> below:</w:t>
      </w:r>
    </w:p>
    <w:p w14:paraId="7595A3CB" w14:textId="77777777" w:rsidR="00142418" w:rsidRPr="00142418" w:rsidRDefault="00142418" w:rsidP="00142418">
      <w:pPr>
        <w:shd w:val="clear" w:color="auto" w:fill="FFFFFF"/>
        <w:ind w:left="360"/>
        <w:rPr>
          <w:rFonts w:eastAsia="Arial" w:cs="Arial"/>
          <w:sz w:val="22"/>
          <w:szCs w:val="22"/>
        </w:rPr>
      </w:pPr>
      <w:r w:rsidRPr="00142418">
        <w:rPr>
          <w:rFonts w:eastAsia="Arial" w:cs="Arial"/>
          <w:sz w:val="22"/>
          <w:szCs w:val="22"/>
        </w:rPr>
        <w:lastRenderedPageBreak/>
        <w:t xml:space="preserve">“30. </w:t>
      </w:r>
      <w:r w:rsidRPr="00142418">
        <w:rPr>
          <w:rFonts w:cs="Arial"/>
          <w:color w:val="000000"/>
          <w:sz w:val="22"/>
          <w:szCs w:val="22"/>
        </w:rPr>
        <w:t>Interception capability of telecommunication services and storing of communication-related information.</w:t>
      </w:r>
    </w:p>
    <w:p w14:paraId="08B993BE" w14:textId="77C46E1A" w:rsidR="00142418" w:rsidRPr="00B42B70" w:rsidRDefault="00B42B70" w:rsidP="00B42B70">
      <w:pPr>
        <w:shd w:val="clear" w:color="auto" w:fill="FFFFFF"/>
        <w:ind w:left="1080" w:hanging="360"/>
        <w:rPr>
          <w:rFonts w:eastAsia="Arial" w:cs="Arial"/>
          <w:sz w:val="22"/>
          <w:szCs w:val="22"/>
        </w:rPr>
      </w:pPr>
      <w:r w:rsidRPr="00142418">
        <w:rPr>
          <w:rFonts w:eastAsia="Arial" w:cs="Arial"/>
          <w:szCs w:val="22"/>
        </w:rPr>
        <w:t>(1)</w:t>
      </w:r>
      <w:r w:rsidRPr="00142418">
        <w:rPr>
          <w:rFonts w:eastAsia="Arial" w:cs="Arial"/>
          <w:szCs w:val="22"/>
        </w:rPr>
        <w:tab/>
      </w:r>
      <w:r w:rsidR="00142418" w:rsidRPr="00B42B70">
        <w:rPr>
          <w:rFonts w:eastAsia="Arial" w:cs="Arial"/>
          <w:sz w:val="22"/>
          <w:szCs w:val="22"/>
        </w:rPr>
        <w:t>The Cabinet member responsible for communications, in consultation with the Minister and the other relevant Ministers and after consultation with the Authority and the telecommunication service provider or category of telecommunication service provides concerned, must, on the date of the issuing of a telecommunication service licence under the Electronic Communications Act, to such a telecommunication service provider or category of telecommunication service provides-</w:t>
      </w:r>
    </w:p>
    <w:p w14:paraId="52659034" w14:textId="4CF41357" w:rsidR="00142418" w:rsidRPr="00B42B70" w:rsidRDefault="00B42B70" w:rsidP="00B42B70">
      <w:pPr>
        <w:shd w:val="clear" w:color="auto" w:fill="FFFFFF"/>
        <w:ind w:left="1440" w:hanging="360"/>
        <w:rPr>
          <w:rFonts w:eastAsia="Arial" w:cs="Arial"/>
          <w:sz w:val="22"/>
          <w:szCs w:val="22"/>
        </w:rPr>
      </w:pPr>
      <w:r w:rsidRPr="00142418">
        <w:rPr>
          <w:rFonts w:eastAsia="Arial" w:cs="Arial"/>
          <w:sz w:val="22"/>
          <w:szCs w:val="22"/>
        </w:rPr>
        <w:t>(a)</w:t>
      </w:r>
      <w:r w:rsidRPr="00142418">
        <w:rPr>
          <w:rFonts w:eastAsia="Arial" w:cs="Arial"/>
          <w:sz w:val="22"/>
          <w:szCs w:val="22"/>
        </w:rPr>
        <w:tab/>
      </w:r>
      <w:r w:rsidR="00142418" w:rsidRPr="00B42B70">
        <w:rPr>
          <w:rFonts w:eastAsia="Arial" w:cs="Arial"/>
          <w:sz w:val="22"/>
          <w:szCs w:val="22"/>
        </w:rPr>
        <w:t xml:space="preserve">issue a directive in respect of that telecommunication service provider or category of telecommunication service providers, determining the- </w:t>
      </w:r>
    </w:p>
    <w:p w14:paraId="1D59ECDD" w14:textId="57DB420C" w:rsidR="00142418" w:rsidRPr="00B42B70" w:rsidRDefault="00B42B70" w:rsidP="00B42B70">
      <w:pPr>
        <w:shd w:val="clear" w:color="auto" w:fill="FFFFFF"/>
        <w:ind w:left="2160" w:hanging="720"/>
        <w:rPr>
          <w:rFonts w:cs="Arial"/>
          <w:color w:val="000000"/>
          <w:sz w:val="22"/>
          <w:szCs w:val="22"/>
        </w:rPr>
      </w:pPr>
      <w:r w:rsidRPr="00142418">
        <w:rPr>
          <w:rFonts w:cs="Arial"/>
          <w:color w:val="000000"/>
          <w:sz w:val="22"/>
          <w:szCs w:val="22"/>
        </w:rPr>
        <w:t>(i)</w:t>
      </w:r>
      <w:r w:rsidRPr="00142418">
        <w:rPr>
          <w:rFonts w:cs="Arial"/>
          <w:color w:val="000000"/>
          <w:sz w:val="22"/>
          <w:szCs w:val="22"/>
        </w:rPr>
        <w:tab/>
      </w:r>
      <w:r w:rsidR="00142418" w:rsidRPr="00B42B70">
        <w:rPr>
          <w:rFonts w:cs="Arial"/>
          <w:color w:val="000000"/>
          <w:sz w:val="22"/>
          <w:szCs w:val="22"/>
        </w:rPr>
        <w:t>security, technical and functional requirements of the facilities and devices to be acquired by the telecommunication service provider or category of telecommunication service providers to enable the-</w:t>
      </w:r>
    </w:p>
    <w:p w14:paraId="1DE0A930" w14:textId="77777777" w:rsidR="00142418" w:rsidRPr="00142418" w:rsidRDefault="00142418" w:rsidP="00142418">
      <w:pPr>
        <w:pStyle w:val="ListParagraph"/>
        <w:shd w:val="clear" w:color="auto" w:fill="FFFFFF"/>
        <w:ind w:left="2160"/>
        <w:rPr>
          <w:rFonts w:cs="Arial"/>
          <w:color w:val="000000"/>
          <w:sz w:val="22"/>
          <w:szCs w:val="22"/>
        </w:rPr>
      </w:pPr>
      <w:r w:rsidRPr="00142418">
        <w:rPr>
          <w:rFonts w:cs="Arial"/>
          <w:color w:val="000000"/>
          <w:sz w:val="22"/>
          <w:szCs w:val="22"/>
        </w:rPr>
        <w:t xml:space="preserve">… </w:t>
      </w:r>
    </w:p>
    <w:p w14:paraId="4EC7542E" w14:textId="77777777" w:rsidR="00142418" w:rsidRPr="00142418" w:rsidRDefault="00142418" w:rsidP="00142418">
      <w:pPr>
        <w:pStyle w:val="ListParagraph"/>
        <w:shd w:val="clear" w:color="auto" w:fill="FFFFFF"/>
        <w:ind w:left="2160"/>
        <w:rPr>
          <w:rFonts w:cs="Arial"/>
          <w:color w:val="000000"/>
          <w:sz w:val="22"/>
          <w:szCs w:val="22"/>
        </w:rPr>
      </w:pPr>
      <w:r w:rsidRPr="00142418">
        <w:rPr>
          <w:rFonts w:cs="Arial"/>
          <w:color w:val="000000"/>
          <w:sz w:val="22"/>
          <w:szCs w:val="22"/>
        </w:rPr>
        <w:t>(bb) storing of communication-related information in terms of subsection (1)(b);</w:t>
      </w:r>
    </w:p>
    <w:p w14:paraId="6394D1AA" w14:textId="6ACC1003" w:rsidR="003B32F7" w:rsidRDefault="00B42B70" w:rsidP="00B42B70">
      <w:pPr>
        <w:pStyle w:val="LegalNormal"/>
        <w:tabs>
          <w:tab w:val="left" w:pos="927"/>
        </w:tabs>
        <w:spacing w:before="240"/>
        <w:ind w:left="927" w:hanging="567"/>
      </w:pPr>
      <w:r>
        <w:t>[47]</w:t>
      </w:r>
      <w:r>
        <w:tab/>
      </w:r>
      <w:r w:rsidR="00A41667">
        <w:t>Pursuant to the above provisions, the Minister of Communications issued a dire</w:t>
      </w:r>
      <w:r w:rsidR="0089410A">
        <w:t>ctive in respect of different categories of telecommunications</w:t>
      </w:r>
      <w:r w:rsidR="009673D8">
        <w:t xml:space="preserve"> service providers.</w:t>
      </w:r>
      <w:r w:rsidR="009673D8">
        <w:rPr>
          <w:rStyle w:val="FootnoteReference"/>
        </w:rPr>
        <w:footnoteReference w:id="19"/>
      </w:r>
      <w:r w:rsidR="00552ECB">
        <w:t xml:space="preserve"> </w:t>
      </w:r>
      <w:r w:rsidR="00071089">
        <w:t>The relevant parts pertaining to the storage of communication-related</w:t>
      </w:r>
      <w:r w:rsidR="00C6125F">
        <w:t xml:space="preserve"> information is paragraph 17 of part 5 of the directives under schedule B, which</w:t>
      </w:r>
      <w:r w:rsidR="00B81ADA">
        <w:t xml:space="preserve"> stipulates the following:</w:t>
      </w:r>
    </w:p>
    <w:p w14:paraId="29EF15C2" w14:textId="5E01C2AA" w:rsidR="00DE56D8" w:rsidRPr="003B32F7" w:rsidRDefault="00C416F2" w:rsidP="003B32F7">
      <w:pPr>
        <w:pStyle w:val="LegalNormal"/>
        <w:spacing w:before="240" w:line="360" w:lineRule="auto"/>
        <w:ind w:left="1440" w:firstLine="70"/>
        <w:rPr>
          <w:i/>
          <w:iCs/>
        </w:rPr>
      </w:pPr>
      <w:r w:rsidRPr="003B32F7">
        <w:rPr>
          <w:i/>
          <w:iCs/>
          <w:sz w:val="22"/>
          <w:szCs w:val="22"/>
        </w:rPr>
        <w:t xml:space="preserve">“17. Period for which communication-related information must be stored- Communication-related information, whether real-time or archived communication-related information, must be stored for a cumulative period of three (3) years from </w:t>
      </w:r>
      <w:r w:rsidRPr="003B32F7">
        <w:rPr>
          <w:i/>
          <w:iCs/>
          <w:sz w:val="22"/>
          <w:szCs w:val="22"/>
        </w:rPr>
        <w:lastRenderedPageBreak/>
        <w:t>the date on which the indirect communication to which the communication-related information relates, is recorded.”</w:t>
      </w:r>
    </w:p>
    <w:p w14:paraId="04673C74" w14:textId="670CA2BD" w:rsidR="003B32F7" w:rsidRDefault="00B42B70" w:rsidP="00B42B70">
      <w:pPr>
        <w:pStyle w:val="LegalNormal"/>
        <w:tabs>
          <w:tab w:val="left" w:pos="927"/>
        </w:tabs>
        <w:ind w:left="927" w:hanging="567"/>
      </w:pPr>
      <w:r>
        <w:t>[48]</w:t>
      </w:r>
      <w:r>
        <w:tab/>
      </w:r>
      <w:r w:rsidR="006707C2">
        <w:t xml:space="preserve">The nett outcome of </w:t>
      </w:r>
      <w:r w:rsidR="007A18D1">
        <w:t xml:space="preserve">the above is that </w:t>
      </w:r>
      <w:r w:rsidR="00DC6ADD">
        <w:t>the telecommunication service</w:t>
      </w:r>
      <w:r w:rsidR="00FD2133" w:rsidRPr="00FD2133">
        <w:t xml:space="preserve"> providers are obligated to retain and store real-time or archived communication-related information of their customers for a cumulative period of </w:t>
      </w:r>
      <w:r w:rsidR="00FD2133">
        <w:t>3 (</w:t>
      </w:r>
      <w:r w:rsidR="00FD2133" w:rsidRPr="00FD2133">
        <w:t>three</w:t>
      </w:r>
      <w:r w:rsidR="00FD2133">
        <w:t>)</w:t>
      </w:r>
      <w:r w:rsidR="00FD2133" w:rsidRPr="00FD2133">
        <w:t xml:space="preserve"> years before destroying it, as such, there is no existing obligation on the res</w:t>
      </w:r>
      <w:r w:rsidR="00DC6ADD">
        <w:t>pondent to still have the sought</w:t>
      </w:r>
      <w:r w:rsidR="00FD2133" w:rsidRPr="00FD2133">
        <w:t xml:space="preserve"> information. Moreover, considering the submission by the respondent that it cannot provide the information sought by the applicant because it no longer exists, it is important to note that the court cannot make an order that will be impossible to comply with as this would be setting up “the offending party to contempt proceedings for not procuring something he did not have in the first place and exposes the order to ridicule.”</w:t>
      </w:r>
      <w:r w:rsidR="00FD2133">
        <w:rPr>
          <w:rStyle w:val="FootnoteReference"/>
        </w:rPr>
        <w:footnoteReference w:id="20"/>
      </w:r>
      <w:r w:rsidR="00FD2133" w:rsidRPr="00FD2133">
        <w:t xml:space="preserve">  </w:t>
      </w:r>
    </w:p>
    <w:p w14:paraId="0D0E97F2" w14:textId="1B09EE6E" w:rsidR="003B32F7" w:rsidRPr="00583891" w:rsidRDefault="00B42B70" w:rsidP="00B42B70">
      <w:pPr>
        <w:pStyle w:val="LegalNormal"/>
        <w:ind w:left="720" w:hanging="360"/>
        <w:rPr>
          <w:b/>
          <w:bCs/>
        </w:rPr>
      </w:pPr>
      <w:r w:rsidRPr="00583891">
        <w:rPr>
          <w:b/>
          <w:bCs/>
        </w:rPr>
        <w:t>E.</w:t>
      </w:r>
      <w:r w:rsidRPr="00583891">
        <w:rPr>
          <w:b/>
          <w:bCs/>
        </w:rPr>
        <w:tab/>
      </w:r>
      <w:r w:rsidR="00583891" w:rsidRPr="00583891">
        <w:rPr>
          <w:b/>
          <w:bCs/>
        </w:rPr>
        <w:t>CONCLUSION</w:t>
      </w:r>
    </w:p>
    <w:p w14:paraId="7435A968" w14:textId="727203D5" w:rsidR="00CA2212" w:rsidRDefault="00B42B70" w:rsidP="00B42B70">
      <w:pPr>
        <w:pStyle w:val="LegalNormal"/>
        <w:tabs>
          <w:tab w:val="left" w:pos="927"/>
        </w:tabs>
        <w:ind w:left="927" w:hanging="567"/>
      </w:pPr>
      <w:r>
        <w:t>[49]</w:t>
      </w:r>
      <w:r>
        <w:tab/>
      </w:r>
      <w:r w:rsidR="007A3F77">
        <w:t>On the first question up for determina</w:t>
      </w:r>
      <w:r w:rsidR="000363C4">
        <w:t>tion, t</w:t>
      </w:r>
      <w:r w:rsidR="00B2415B">
        <w:t>he applicant has</w:t>
      </w:r>
      <w:r w:rsidR="00FB406F">
        <w:t xml:space="preserve"> not made out a case that</w:t>
      </w:r>
      <w:r w:rsidR="00B02310">
        <w:t xml:space="preserve"> he is entitled in law to the requested information. </w:t>
      </w:r>
      <w:r w:rsidR="007A3F77">
        <w:t>On the sec</w:t>
      </w:r>
      <w:r w:rsidR="000363C4">
        <w:t xml:space="preserve">ond issue, </w:t>
      </w:r>
      <w:r w:rsidR="00AA0F73">
        <w:t>I find that the relief sought by the applicant</w:t>
      </w:r>
      <w:r w:rsidR="00162D59">
        <w:t xml:space="preserve"> is not legally competent due to the lapse of time</w:t>
      </w:r>
      <w:r w:rsidR="00A1202B">
        <w:t xml:space="preserve">. </w:t>
      </w:r>
    </w:p>
    <w:p w14:paraId="3939C8B6" w14:textId="14FABEAF" w:rsidR="00A1202B" w:rsidRDefault="00B42B70" w:rsidP="00B42B70">
      <w:pPr>
        <w:pStyle w:val="LegalNormal"/>
        <w:tabs>
          <w:tab w:val="left" w:pos="927"/>
        </w:tabs>
        <w:ind w:left="927" w:hanging="567"/>
      </w:pPr>
      <w:r>
        <w:t>[50]</w:t>
      </w:r>
      <w:r>
        <w:tab/>
      </w:r>
      <w:r w:rsidR="00A1202B">
        <w:t xml:space="preserve">In the result, the application </w:t>
      </w:r>
      <w:r w:rsidR="00450EEB">
        <w:t>cannot succeed. What remains to be decided</w:t>
      </w:r>
      <w:r w:rsidR="00892234">
        <w:t xml:space="preserve"> is the question of costs. </w:t>
      </w:r>
      <w:r w:rsidR="00966D39">
        <w:t>The applicant is in a precarious position of being incarcerated</w:t>
      </w:r>
      <w:r w:rsidR="00593F77">
        <w:t xml:space="preserve">. </w:t>
      </w:r>
      <w:r w:rsidR="00593F77">
        <w:lastRenderedPageBreak/>
        <w:t>He acted in pursuance of his rights</w:t>
      </w:r>
      <w:r w:rsidR="00F23997">
        <w:t xml:space="preserve">. </w:t>
      </w:r>
      <w:r w:rsidR="00D11BD9">
        <w:t xml:space="preserve">His situation is thus </w:t>
      </w:r>
      <w:r w:rsidR="0071798F">
        <w:t xml:space="preserve">as envisaged in the sage decision </w:t>
      </w:r>
      <w:r w:rsidR="007B072D">
        <w:t xml:space="preserve">of the </w:t>
      </w:r>
      <w:r w:rsidR="007B072D" w:rsidRPr="00B8695A">
        <w:rPr>
          <w:b/>
          <w:bCs/>
          <w:i/>
          <w:iCs/>
        </w:rPr>
        <w:t xml:space="preserve">Constitutional Court in Biowatch Trust </w:t>
      </w:r>
      <w:r w:rsidR="006055F8" w:rsidRPr="00B8695A">
        <w:rPr>
          <w:b/>
          <w:bCs/>
          <w:i/>
          <w:iCs/>
        </w:rPr>
        <w:t>v Registrar Genetic Resources</w:t>
      </w:r>
      <w:r w:rsidR="006055F8" w:rsidRPr="00B8695A">
        <w:rPr>
          <w:rStyle w:val="FootnoteReference"/>
          <w:b/>
          <w:bCs/>
          <w:i/>
          <w:iCs/>
        </w:rPr>
        <w:footnoteReference w:id="21"/>
      </w:r>
      <w:r w:rsidR="006055F8">
        <w:t xml:space="preserve"> </w:t>
      </w:r>
      <w:r w:rsidR="00DA39E7">
        <w:t xml:space="preserve">with the understanding </w:t>
      </w:r>
      <w:r w:rsidR="00DA39E7" w:rsidRPr="004A02ED">
        <w:rPr>
          <w:i/>
          <w:iCs/>
        </w:rPr>
        <w:t>mutatis mutandis</w:t>
      </w:r>
      <w:r w:rsidR="00DA39E7">
        <w:t xml:space="preserve">, that although not a </w:t>
      </w:r>
      <w:r w:rsidR="005109B0">
        <w:t>State entity</w:t>
      </w:r>
      <w:r w:rsidR="00D668ED">
        <w:t xml:space="preserve">, the </w:t>
      </w:r>
      <w:r w:rsidR="004A02ED">
        <w:t>respondent</w:t>
      </w:r>
      <w:r w:rsidR="00D668ED">
        <w:t xml:space="preserve"> is a corporate entity </w:t>
      </w:r>
      <w:r w:rsidR="004A02ED">
        <w:t xml:space="preserve">of formidable stature compared to the applicant. The application </w:t>
      </w:r>
      <w:r w:rsidR="00065C35">
        <w:t>was</w:t>
      </w:r>
      <w:r w:rsidR="004A02ED">
        <w:t xml:space="preserve"> also not </w:t>
      </w:r>
      <w:r w:rsidR="009C11A6">
        <w:t xml:space="preserve">informed by any </w:t>
      </w:r>
      <w:r w:rsidR="00065C35">
        <w:t>malice</w:t>
      </w:r>
      <w:r w:rsidR="009C11A6">
        <w:t xml:space="preserve"> on the part of the applicant</w:t>
      </w:r>
      <w:r w:rsidR="00065C35">
        <w:t>.</w:t>
      </w:r>
    </w:p>
    <w:p w14:paraId="2E3A1B7A" w14:textId="5D471463" w:rsidR="001C7E0D" w:rsidRDefault="00B42B70" w:rsidP="00B42B70">
      <w:pPr>
        <w:pStyle w:val="LegalNormal"/>
        <w:tabs>
          <w:tab w:val="left" w:pos="927"/>
        </w:tabs>
        <w:ind w:left="927" w:hanging="567"/>
      </w:pPr>
      <w:r>
        <w:t>[51]</w:t>
      </w:r>
      <w:r>
        <w:tab/>
      </w:r>
      <w:r w:rsidR="00065C35">
        <w:t xml:space="preserve">The following order </w:t>
      </w:r>
      <w:r w:rsidR="00FB5867">
        <w:t>is made:</w:t>
      </w:r>
    </w:p>
    <w:p w14:paraId="1DD1166B" w14:textId="5F3CEAF9" w:rsidR="00310AC5" w:rsidRDefault="0090460D" w:rsidP="00DC6ADD">
      <w:pPr>
        <w:pStyle w:val="LegalNormal"/>
        <w:ind w:left="927"/>
      </w:pPr>
      <w:r>
        <w:t>T</w:t>
      </w:r>
      <w:r w:rsidR="00FB5867">
        <w:t>he application is dismissed. I make no order as to costs.</w:t>
      </w:r>
    </w:p>
    <w:p w14:paraId="3F0F46E5" w14:textId="77777777" w:rsidR="00DC6ADD" w:rsidRPr="00B013F2" w:rsidRDefault="00DC6ADD" w:rsidP="00DC6ADD">
      <w:pPr>
        <w:pStyle w:val="LegalNormal"/>
        <w:ind w:left="927"/>
      </w:pPr>
    </w:p>
    <w:p w14:paraId="44705A57" w14:textId="77777777" w:rsidR="00310AC5" w:rsidRPr="00B013F2" w:rsidRDefault="00310AC5" w:rsidP="00310AC5">
      <w:pPr>
        <w:pStyle w:val="LegalNormal"/>
        <w:spacing w:after="0"/>
      </w:pPr>
      <w:r w:rsidRPr="00B013F2">
        <w:t xml:space="preserve">                                                                                     ____________________</w:t>
      </w:r>
    </w:p>
    <w:p w14:paraId="25468423" w14:textId="74A09951" w:rsidR="00310AC5" w:rsidRPr="00B013F2" w:rsidRDefault="00310AC5" w:rsidP="00310AC5">
      <w:pPr>
        <w:pStyle w:val="LegalNormal"/>
        <w:spacing w:after="0"/>
        <w:ind w:left="4320" w:firstLine="720"/>
      </w:pPr>
      <w:r w:rsidRPr="00B013F2">
        <w:t xml:space="preserve">        J.S. NYATHI</w:t>
      </w:r>
    </w:p>
    <w:p w14:paraId="1D4805F6" w14:textId="41BA2EBB" w:rsidR="00310AC5" w:rsidRPr="00B013F2" w:rsidRDefault="00310AC5" w:rsidP="00310AC5">
      <w:pPr>
        <w:pStyle w:val="LegalNormal"/>
        <w:spacing w:after="0"/>
        <w:ind w:left="5040"/>
      </w:pPr>
      <w:r w:rsidRPr="00B013F2">
        <w:t xml:space="preserve">      Judge of the High Court</w:t>
      </w:r>
    </w:p>
    <w:p w14:paraId="03EB4698" w14:textId="33CD9C80" w:rsidR="00310AC5" w:rsidRPr="00B013F2" w:rsidRDefault="00310AC5" w:rsidP="00310AC5">
      <w:pPr>
        <w:pStyle w:val="LegalNormal"/>
        <w:spacing w:after="0"/>
        <w:ind w:left="4320" w:firstLine="720"/>
      </w:pPr>
      <w:r w:rsidRPr="00B013F2">
        <w:t xml:space="preserve">      Gauteng Division, </w:t>
      </w:r>
      <w:r w:rsidR="000B2477" w:rsidRPr="00B013F2">
        <w:t>Pretoria</w:t>
      </w:r>
    </w:p>
    <w:p w14:paraId="73FFE4B8" w14:textId="77777777" w:rsidR="00310AC5" w:rsidRPr="00B013F2" w:rsidRDefault="00310AC5" w:rsidP="00310AC5">
      <w:pPr>
        <w:pStyle w:val="LegalNormal"/>
      </w:pPr>
    </w:p>
    <w:p w14:paraId="7E0A6AA0" w14:textId="48D9AC99" w:rsidR="00310AC5" w:rsidRPr="00B013F2" w:rsidRDefault="00310AC5" w:rsidP="00310AC5">
      <w:pPr>
        <w:pStyle w:val="LegalNormal"/>
        <w:spacing w:after="0"/>
      </w:pPr>
      <w:r w:rsidRPr="00B013F2">
        <w:t xml:space="preserve">Date of hearing: </w:t>
      </w:r>
      <w:r w:rsidR="00C405E9">
        <w:t>05</w:t>
      </w:r>
      <w:r w:rsidR="00495C30">
        <w:t xml:space="preserve"> October </w:t>
      </w:r>
      <w:r w:rsidR="00CE357C">
        <w:t>2023</w:t>
      </w:r>
    </w:p>
    <w:p w14:paraId="7BE41C33" w14:textId="701D8A56" w:rsidR="00310AC5" w:rsidRPr="00B013F2" w:rsidRDefault="00310AC5" w:rsidP="00310AC5">
      <w:pPr>
        <w:pStyle w:val="LegalNormal"/>
        <w:spacing w:after="0"/>
      </w:pPr>
      <w:r w:rsidRPr="00B013F2">
        <w:t xml:space="preserve">Date of Judgment: </w:t>
      </w:r>
      <w:r w:rsidR="0090460D">
        <w:t xml:space="preserve">06 </w:t>
      </w:r>
      <w:r w:rsidR="00CE357C">
        <w:t>March</w:t>
      </w:r>
      <w:r w:rsidRPr="00B013F2">
        <w:t xml:space="preserve"> 202</w:t>
      </w:r>
      <w:r w:rsidR="00134AA9" w:rsidRPr="00B013F2">
        <w:t>4</w:t>
      </w:r>
    </w:p>
    <w:p w14:paraId="0AA0BB52" w14:textId="77777777" w:rsidR="000410CB" w:rsidRPr="00B013F2" w:rsidRDefault="000410CB" w:rsidP="00310AC5">
      <w:pPr>
        <w:pStyle w:val="LegalNormal"/>
        <w:spacing w:after="0"/>
      </w:pPr>
    </w:p>
    <w:p w14:paraId="2E571142" w14:textId="77777777" w:rsidR="000410CB" w:rsidRPr="00B013F2" w:rsidRDefault="000410CB" w:rsidP="00310AC5">
      <w:pPr>
        <w:pStyle w:val="LegalNormal"/>
        <w:spacing w:after="0"/>
      </w:pPr>
    </w:p>
    <w:p w14:paraId="3D9E422D" w14:textId="2DDB75A3" w:rsidR="00AD635C" w:rsidRPr="00B013F2" w:rsidRDefault="00310AC5" w:rsidP="00CE357C">
      <w:pPr>
        <w:pStyle w:val="LegalNormal"/>
        <w:spacing w:after="0"/>
      </w:pPr>
      <w:r w:rsidRPr="00B013F2">
        <w:lastRenderedPageBreak/>
        <w:t xml:space="preserve">On behalf of the </w:t>
      </w:r>
      <w:r w:rsidR="007372BC" w:rsidRPr="00B013F2">
        <w:t>App</w:t>
      </w:r>
      <w:r w:rsidR="008B2CF4" w:rsidRPr="00B013F2">
        <w:t>lic</w:t>
      </w:r>
      <w:r w:rsidR="007372BC" w:rsidRPr="00B013F2">
        <w:t>ant</w:t>
      </w:r>
      <w:r w:rsidRPr="00B013F2">
        <w:t xml:space="preserve">: </w:t>
      </w:r>
      <w:r w:rsidR="00CE357C">
        <w:t>In person</w:t>
      </w:r>
    </w:p>
    <w:p w14:paraId="23A03356" w14:textId="77777777" w:rsidR="00310AC5" w:rsidRPr="00B013F2" w:rsidRDefault="00310AC5" w:rsidP="00310AC5">
      <w:pPr>
        <w:pStyle w:val="LegalNormal"/>
        <w:spacing w:after="0"/>
      </w:pPr>
    </w:p>
    <w:p w14:paraId="1DCF4E74" w14:textId="0CFCC73B" w:rsidR="00C423B3" w:rsidRDefault="00310AC5" w:rsidP="00CE357C">
      <w:pPr>
        <w:pStyle w:val="LegalNormal"/>
        <w:spacing w:after="0"/>
      </w:pPr>
      <w:r w:rsidRPr="00B013F2">
        <w:t xml:space="preserve">On behalf of </w:t>
      </w:r>
      <w:r w:rsidR="00BD23DB" w:rsidRPr="00B013F2">
        <w:t xml:space="preserve">the </w:t>
      </w:r>
      <w:r w:rsidR="004951F0" w:rsidRPr="00B013F2">
        <w:t>Responde</w:t>
      </w:r>
      <w:r w:rsidR="00704A22" w:rsidRPr="00B013F2">
        <w:t>nt</w:t>
      </w:r>
      <w:r w:rsidRPr="00B013F2">
        <w:t xml:space="preserve">: </w:t>
      </w:r>
      <w:r w:rsidR="0072663F" w:rsidRPr="00B013F2">
        <w:t>Adv</w:t>
      </w:r>
      <w:r w:rsidR="004A03E8" w:rsidRPr="00B013F2">
        <w:t xml:space="preserve">. </w:t>
      </w:r>
      <w:r w:rsidR="00CE357C">
        <w:t>Mahlalela</w:t>
      </w:r>
    </w:p>
    <w:p w14:paraId="5873D9BB" w14:textId="660A3160" w:rsidR="001522E1" w:rsidRPr="00B013F2" w:rsidRDefault="001522E1" w:rsidP="00CE357C">
      <w:pPr>
        <w:pStyle w:val="LegalNormal"/>
        <w:spacing w:after="0"/>
      </w:pPr>
      <w:r>
        <w:t>Email: Adv.Mahlalela@gmail.com</w:t>
      </w:r>
    </w:p>
    <w:p w14:paraId="7A54EBCC" w14:textId="5192F5DB" w:rsidR="0091395D" w:rsidRPr="00B013F2" w:rsidRDefault="005D0F05" w:rsidP="00CE357C">
      <w:pPr>
        <w:pStyle w:val="LegalNormal"/>
        <w:spacing w:after="0"/>
      </w:pPr>
      <w:r w:rsidRPr="00B013F2">
        <w:t xml:space="preserve">Tel: </w:t>
      </w:r>
      <w:r w:rsidR="001522E1">
        <w:t>071 284 5000</w:t>
      </w:r>
    </w:p>
    <w:p w14:paraId="66CB7B94" w14:textId="15EE8000" w:rsidR="001522E1" w:rsidRPr="00B013F2" w:rsidRDefault="001522E1" w:rsidP="00310AC5">
      <w:pPr>
        <w:pStyle w:val="LegalNormal"/>
        <w:spacing w:after="0"/>
        <w:rPr>
          <w:sz w:val="22"/>
          <w:szCs w:val="22"/>
        </w:rPr>
      </w:pPr>
    </w:p>
    <w:p w14:paraId="0E3CA618" w14:textId="38CE27AA" w:rsidR="00012A18" w:rsidRDefault="00310AC5" w:rsidP="00F1291D">
      <w:pPr>
        <w:pStyle w:val="LegalNormal"/>
        <w:rPr>
          <w:rFonts w:ascii="Segoe UI Semilight" w:hAnsi="Segoe UI Semilight" w:cs="Segoe UI Semilight"/>
        </w:rPr>
      </w:pPr>
      <w:r w:rsidRPr="00B013F2">
        <w:rPr>
          <w:b/>
          <w:sz w:val="22"/>
          <w:szCs w:val="22"/>
        </w:rPr>
        <w:t>Delivery</w:t>
      </w:r>
      <w:r w:rsidRPr="00B013F2">
        <w:rPr>
          <w:sz w:val="22"/>
          <w:szCs w:val="22"/>
        </w:rPr>
        <w:t>: This judgment was handed down electronically by circulation to the parties' legal representatives by email and uploaded on the Case</w:t>
      </w:r>
      <w:r w:rsidR="00393BBD">
        <w:rPr>
          <w:sz w:val="22"/>
          <w:szCs w:val="22"/>
        </w:rPr>
        <w:t>l</w:t>
      </w:r>
      <w:r w:rsidRPr="00B013F2">
        <w:rPr>
          <w:sz w:val="22"/>
          <w:szCs w:val="22"/>
        </w:rPr>
        <w:t xml:space="preserve">ines electronic platform. The date for hand-down is deemed to be </w:t>
      </w:r>
      <w:r w:rsidR="00AE36F4" w:rsidRPr="00495C30">
        <w:rPr>
          <w:sz w:val="22"/>
          <w:szCs w:val="22"/>
          <w:u w:val="single"/>
        </w:rPr>
        <w:t>06</w:t>
      </w:r>
      <w:r w:rsidRPr="00495C30">
        <w:rPr>
          <w:sz w:val="22"/>
          <w:szCs w:val="22"/>
          <w:u w:val="single"/>
        </w:rPr>
        <w:t xml:space="preserve"> </w:t>
      </w:r>
      <w:r w:rsidR="0090460D" w:rsidRPr="00495C30">
        <w:rPr>
          <w:sz w:val="22"/>
          <w:szCs w:val="22"/>
          <w:u w:val="single"/>
        </w:rPr>
        <w:t>March</w:t>
      </w:r>
      <w:r w:rsidRPr="00B013F2">
        <w:rPr>
          <w:sz w:val="22"/>
          <w:szCs w:val="22"/>
          <w:u w:val="single"/>
        </w:rPr>
        <w:t xml:space="preserve"> 202</w:t>
      </w:r>
      <w:r w:rsidR="007320D0" w:rsidRPr="00B013F2">
        <w:rPr>
          <w:sz w:val="22"/>
          <w:szCs w:val="22"/>
          <w:u w:val="single"/>
        </w:rPr>
        <w:t>4</w:t>
      </w:r>
      <w:r w:rsidRPr="00B013F2">
        <w:rPr>
          <w:sz w:val="22"/>
          <w:szCs w:val="22"/>
        </w:rPr>
        <w:t>.</w:t>
      </w:r>
      <w:r w:rsidRPr="00B013F2">
        <w:rPr>
          <w:rFonts w:ascii="Segoe UI Semilight" w:hAnsi="Segoe UI Semilight" w:cs="Segoe UI Semilight"/>
        </w:rPr>
        <w:t xml:space="preserve">                                                                                     </w:t>
      </w:r>
    </w:p>
    <w:sectPr w:rsidR="00012A18" w:rsidSect="005F37A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EF362" w14:textId="77777777" w:rsidR="005F37A0" w:rsidRPr="00B013F2" w:rsidRDefault="005F37A0" w:rsidP="004466A8">
      <w:r w:rsidRPr="00B013F2">
        <w:separator/>
      </w:r>
    </w:p>
  </w:endnote>
  <w:endnote w:type="continuationSeparator" w:id="0">
    <w:p w14:paraId="7F36D9AF" w14:textId="77777777" w:rsidR="005F37A0" w:rsidRPr="00B013F2" w:rsidRDefault="005F37A0" w:rsidP="004466A8">
      <w:r w:rsidRPr="00B013F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130839"/>
      <w:docPartObj>
        <w:docPartGallery w:val="Page Numbers (Bottom of Page)"/>
        <w:docPartUnique/>
      </w:docPartObj>
    </w:sdtPr>
    <w:sdtContent>
      <w:p w14:paraId="379869DB" w14:textId="6AA026FD" w:rsidR="000A4529" w:rsidRPr="00B013F2" w:rsidRDefault="000A4529">
        <w:pPr>
          <w:pStyle w:val="Footer"/>
          <w:jc w:val="center"/>
        </w:pPr>
        <w:r w:rsidRPr="00B013F2">
          <w:fldChar w:fldCharType="begin"/>
        </w:r>
        <w:r w:rsidRPr="00B013F2">
          <w:instrText xml:space="preserve"> PAGE   \* MERGEFORMAT </w:instrText>
        </w:r>
        <w:r w:rsidRPr="00B013F2">
          <w:fldChar w:fldCharType="separate"/>
        </w:r>
        <w:r w:rsidR="00B40DDF">
          <w:rPr>
            <w:noProof/>
          </w:rPr>
          <w:t>21</w:t>
        </w:r>
        <w:r w:rsidRPr="00B013F2">
          <w:fldChar w:fldCharType="end"/>
        </w:r>
      </w:p>
    </w:sdtContent>
  </w:sdt>
  <w:p w14:paraId="790A0DB5" w14:textId="77777777" w:rsidR="000A4529" w:rsidRPr="00B013F2" w:rsidRDefault="000A4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4738E" w14:textId="77777777" w:rsidR="005F37A0" w:rsidRPr="00B013F2" w:rsidRDefault="005F37A0" w:rsidP="004466A8">
      <w:r w:rsidRPr="00B013F2">
        <w:separator/>
      </w:r>
    </w:p>
  </w:footnote>
  <w:footnote w:type="continuationSeparator" w:id="0">
    <w:p w14:paraId="535BD5DD" w14:textId="77777777" w:rsidR="005F37A0" w:rsidRPr="00B013F2" w:rsidRDefault="005F37A0" w:rsidP="004466A8">
      <w:r w:rsidRPr="00B013F2">
        <w:continuationSeparator/>
      </w:r>
    </w:p>
  </w:footnote>
  <w:footnote w:id="1">
    <w:p w14:paraId="0F3ADC82" w14:textId="7E36D55F" w:rsidR="00090F1C" w:rsidRPr="00090F1C" w:rsidRDefault="00090F1C">
      <w:pPr>
        <w:pStyle w:val="FootnoteText"/>
        <w:rPr>
          <w:lang w:val="en-US"/>
        </w:rPr>
      </w:pPr>
      <w:r>
        <w:rPr>
          <w:rStyle w:val="FootnoteReference"/>
        </w:rPr>
        <w:footnoteRef/>
      </w:r>
      <w:r w:rsidR="00283413" w:rsidRPr="00283413">
        <w:rPr>
          <w:lang w:val="en-US"/>
        </w:rPr>
        <w:t xml:space="preserve">Regulation of Interception of Communications and Provision of Communication Related Information Act </w:t>
      </w:r>
      <w:r w:rsidR="00283413">
        <w:rPr>
          <w:lang w:val="en-US"/>
        </w:rPr>
        <w:t>N</w:t>
      </w:r>
      <w:r w:rsidR="003D7F34">
        <w:rPr>
          <w:lang w:val="en-US"/>
        </w:rPr>
        <w:t>o.</w:t>
      </w:r>
      <w:r w:rsidR="00283413" w:rsidRPr="00283413">
        <w:rPr>
          <w:lang w:val="en-US"/>
        </w:rPr>
        <w:t xml:space="preserve"> 70</w:t>
      </w:r>
      <w:r w:rsidR="003D7F34">
        <w:rPr>
          <w:lang w:val="en-US"/>
        </w:rPr>
        <w:t xml:space="preserve"> of </w:t>
      </w:r>
      <w:r w:rsidR="00283413" w:rsidRPr="00283413">
        <w:rPr>
          <w:lang w:val="en-US"/>
        </w:rPr>
        <w:t>2002.</w:t>
      </w:r>
    </w:p>
  </w:footnote>
  <w:footnote w:id="2">
    <w:p w14:paraId="2162C53A" w14:textId="0E3A7638" w:rsidR="00361999" w:rsidRPr="00361999" w:rsidRDefault="00361999">
      <w:pPr>
        <w:pStyle w:val="FootnoteText"/>
        <w:rPr>
          <w:lang w:val="en-US"/>
        </w:rPr>
      </w:pPr>
      <w:r>
        <w:rPr>
          <w:rStyle w:val="FootnoteReference"/>
        </w:rPr>
        <w:footnoteRef/>
      </w:r>
      <w:r>
        <w:t xml:space="preserve"> </w:t>
      </w:r>
      <w:r w:rsidR="000611DC" w:rsidRPr="000611DC">
        <w:rPr>
          <w:rFonts w:eastAsia="Calibri" w:cs="Arial"/>
          <w:szCs w:val="18"/>
          <w:lang w:eastAsia="en-ZA"/>
        </w:rPr>
        <w:t>1998 (2) SA 109 (W).</w:t>
      </w:r>
    </w:p>
  </w:footnote>
  <w:footnote w:id="3">
    <w:p w14:paraId="606CB497" w14:textId="26F628F6" w:rsidR="003B50D4" w:rsidRPr="003B50D4" w:rsidRDefault="003B50D4">
      <w:pPr>
        <w:pStyle w:val="FootnoteText"/>
        <w:rPr>
          <w:lang w:val="en-US"/>
        </w:rPr>
      </w:pPr>
      <w:r>
        <w:rPr>
          <w:rStyle w:val="FootnoteReference"/>
        </w:rPr>
        <w:footnoteRef/>
      </w:r>
      <w:r>
        <w:t xml:space="preserve"> </w:t>
      </w:r>
      <w:r w:rsidRPr="003B50D4">
        <w:rPr>
          <w:rFonts w:eastAsia="Calibri" w:cs="Arial"/>
          <w:szCs w:val="18"/>
          <w:lang w:eastAsia="en-ZA"/>
        </w:rPr>
        <w:t>1998 (2) SA 109 (W)</w:t>
      </w:r>
      <w:r>
        <w:rPr>
          <w:rFonts w:eastAsia="Calibri" w:cs="Arial"/>
          <w:szCs w:val="18"/>
          <w:lang w:eastAsia="en-ZA"/>
        </w:rPr>
        <w:t xml:space="preserve"> para 20.</w:t>
      </w:r>
    </w:p>
  </w:footnote>
  <w:footnote w:id="4">
    <w:p w14:paraId="03F6F5A7" w14:textId="3E754B32" w:rsidR="003B50D4" w:rsidRPr="003B50D4" w:rsidRDefault="003B50D4">
      <w:pPr>
        <w:pStyle w:val="FootnoteText"/>
        <w:rPr>
          <w:lang w:val="en-US"/>
        </w:rPr>
      </w:pPr>
      <w:r>
        <w:rPr>
          <w:rStyle w:val="FootnoteReference"/>
        </w:rPr>
        <w:footnoteRef/>
      </w:r>
      <w:r>
        <w:t xml:space="preserve"> </w:t>
      </w:r>
      <w:r w:rsidRPr="003B50D4">
        <w:t>1998 (2) SA 109 (W)</w:t>
      </w:r>
      <w:r>
        <w:t xml:space="preserve"> para 21.</w:t>
      </w:r>
    </w:p>
  </w:footnote>
  <w:footnote w:id="5">
    <w:p w14:paraId="3F05462A" w14:textId="60EC7C84" w:rsidR="00EC50DF" w:rsidRPr="00EC50DF" w:rsidRDefault="00EC50DF">
      <w:pPr>
        <w:pStyle w:val="FootnoteText"/>
        <w:rPr>
          <w:lang w:val="en-US"/>
        </w:rPr>
      </w:pPr>
      <w:r>
        <w:rPr>
          <w:rStyle w:val="FootnoteReference"/>
        </w:rPr>
        <w:footnoteRef/>
      </w:r>
      <w:r>
        <w:t xml:space="preserve"> </w:t>
      </w:r>
      <w:r w:rsidR="00BF6649" w:rsidRPr="00BF6649">
        <w:t>[2005] ZACC 14; 2006 (2) SA 311 (CC); 2006 (1) BCLR 1 (CC).</w:t>
      </w:r>
    </w:p>
  </w:footnote>
  <w:footnote w:id="6">
    <w:p w14:paraId="6C869B2E" w14:textId="5D876DCE" w:rsidR="00D7165F" w:rsidRPr="00D7165F" w:rsidRDefault="00D7165F">
      <w:pPr>
        <w:pStyle w:val="FootnoteText"/>
        <w:rPr>
          <w:lang w:val="en-US"/>
        </w:rPr>
      </w:pPr>
      <w:r>
        <w:rPr>
          <w:rStyle w:val="FootnoteReference"/>
        </w:rPr>
        <w:footnoteRef/>
      </w:r>
      <w:r>
        <w:t xml:space="preserve"> </w:t>
      </w:r>
      <w:r w:rsidR="00917008" w:rsidRPr="00917008">
        <w:t>[2005] ZACC 14; 2006 (2) SA 311 (CC); 2006 (1) BCLR 1 (CC) para 437.</w:t>
      </w:r>
    </w:p>
  </w:footnote>
  <w:footnote w:id="7">
    <w:p w14:paraId="38B94687" w14:textId="7870EB6C" w:rsidR="003D69C2" w:rsidRPr="003D69C2" w:rsidRDefault="003D69C2">
      <w:pPr>
        <w:pStyle w:val="FootnoteText"/>
        <w:rPr>
          <w:lang w:val="en-US"/>
        </w:rPr>
      </w:pPr>
      <w:r>
        <w:rPr>
          <w:rStyle w:val="FootnoteReference"/>
        </w:rPr>
        <w:footnoteRef/>
      </w:r>
      <w:r w:rsidRPr="003D69C2">
        <w:t xml:space="preserve"> [2012] ZACC 21; 2013 (1) SA 1 (CC); 2013 (1) BCLR 55 (CC).</w:t>
      </w:r>
    </w:p>
  </w:footnote>
  <w:footnote w:id="8">
    <w:p w14:paraId="7AF0A3CE" w14:textId="53C94764" w:rsidR="00185E70" w:rsidRPr="00185E70" w:rsidRDefault="00185E70">
      <w:pPr>
        <w:pStyle w:val="FootnoteText"/>
        <w:rPr>
          <w:lang w:val="en-US"/>
        </w:rPr>
      </w:pPr>
      <w:r>
        <w:rPr>
          <w:rStyle w:val="FootnoteReference"/>
        </w:rPr>
        <w:footnoteRef/>
      </w:r>
      <w:r>
        <w:t xml:space="preserve"> </w:t>
      </w:r>
      <w:r w:rsidRPr="00185E70">
        <w:t>[2012] ZACC 21; 2013 (1) SA 1 (CC); 2013 (1) BCLR 55 (CC) para 4.</w:t>
      </w:r>
    </w:p>
  </w:footnote>
  <w:footnote w:id="9">
    <w:p w14:paraId="55BD657A" w14:textId="53156F03" w:rsidR="00480750" w:rsidRPr="00480750" w:rsidRDefault="00480750">
      <w:pPr>
        <w:pStyle w:val="FootnoteText"/>
        <w:rPr>
          <w:lang w:val="en-US"/>
        </w:rPr>
      </w:pPr>
      <w:r>
        <w:rPr>
          <w:rStyle w:val="FootnoteReference"/>
        </w:rPr>
        <w:footnoteRef/>
      </w:r>
      <w:r>
        <w:t xml:space="preserve"> </w:t>
      </w:r>
      <w:r w:rsidR="00D7476E" w:rsidRPr="00D7476E">
        <w:t>Industrial Corporation of South Africa Ltd v PFE International and Others 2012 (2) SA 269 (SCA) para 9.</w:t>
      </w:r>
    </w:p>
  </w:footnote>
  <w:footnote w:id="10">
    <w:p w14:paraId="484AEE9E" w14:textId="75711510" w:rsidR="004B125B" w:rsidRPr="004B125B" w:rsidRDefault="004B125B">
      <w:pPr>
        <w:pStyle w:val="FootnoteText"/>
        <w:rPr>
          <w:lang w:val="en-US"/>
        </w:rPr>
      </w:pPr>
      <w:r>
        <w:rPr>
          <w:rStyle w:val="FootnoteReference"/>
        </w:rPr>
        <w:footnoteRef/>
      </w:r>
      <w:r>
        <w:t xml:space="preserve"> </w:t>
      </w:r>
      <w:r w:rsidR="006F0C35" w:rsidRPr="006F0C35">
        <w:t>Section 7(2) of Promotion of Access to Information Act 2 of 2000.</w:t>
      </w:r>
    </w:p>
  </w:footnote>
  <w:footnote w:id="11">
    <w:p w14:paraId="6E3BA03B" w14:textId="47B3AAB2" w:rsidR="00A3334C" w:rsidRPr="00A3334C" w:rsidRDefault="00A3334C">
      <w:pPr>
        <w:pStyle w:val="FootnoteText"/>
        <w:rPr>
          <w:lang w:val="en-US"/>
        </w:rPr>
      </w:pPr>
      <w:r>
        <w:rPr>
          <w:rStyle w:val="FootnoteReference"/>
        </w:rPr>
        <w:footnoteRef/>
      </w:r>
      <w:r>
        <w:t xml:space="preserve"> </w:t>
      </w:r>
      <w:r w:rsidR="003737B0">
        <w:rPr>
          <w:i/>
          <w:iCs/>
          <w:lang w:val="en-US"/>
        </w:rPr>
        <w:t xml:space="preserve">Supra </w:t>
      </w:r>
      <w:r w:rsidR="003F1021" w:rsidRPr="003F1021">
        <w:rPr>
          <w:i/>
          <w:iCs/>
          <w:lang w:val="en-US"/>
        </w:rPr>
        <w:t>[2011] ZASCA 245; 2012 (2) SA 269 (SCA); [2012] 2 All SA 71 (SCA) para 8.</w:t>
      </w:r>
    </w:p>
  </w:footnote>
  <w:footnote w:id="12">
    <w:p w14:paraId="4AF5CF52" w14:textId="4D4C4508" w:rsidR="00BC012A" w:rsidRPr="00BC012A" w:rsidRDefault="00BC012A">
      <w:pPr>
        <w:pStyle w:val="FootnoteText"/>
        <w:rPr>
          <w:lang w:val="en-US"/>
        </w:rPr>
      </w:pPr>
      <w:r>
        <w:rPr>
          <w:rStyle w:val="FootnoteReference"/>
        </w:rPr>
        <w:footnoteRef/>
      </w:r>
      <w:r>
        <w:t xml:space="preserve"> </w:t>
      </w:r>
      <w:r w:rsidR="0076600C" w:rsidRPr="0076600C">
        <w:t>National Director of Public Prosecutions v King 2010 (7) BCLR 656 (SCA) para 39.</w:t>
      </w:r>
    </w:p>
  </w:footnote>
  <w:footnote w:id="13">
    <w:p w14:paraId="207CEA4C" w14:textId="3D624973" w:rsidR="00DA72F6" w:rsidRPr="00DA72F6" w:rsidRDefault="00DA72F6" w:rsidP="00DA72F6">
      <w:pPr>
        <w:pStyle w:val="FootnoteText"/>
      </w:pPr>
      <w:r>
        <w:rPr>
          <w:rStyle w:val="FootnoteReference"/>
        </w:rPr>
        <w:footnoteRef/>
      </w:r>
      <w:r>
        <w:t xml:space="preserve"> </w:t>
      </w:r>
      <w:r w:rsidR="000A3F40" w:rsidRPr="000A3F40">
        <w:t>Regulations relating to the Code of Conduct for Electronic Communications and Electronic Communications Network Services Licences, GN 1740 GG 30553, 7 December 2007.</w:t>
      </w:r>
    </w:p>
    <w:p w14:paraId="32A6DB07" w14:textId="73352838" w:rsidR="00DA72F6" w:rsidRPr="00DA72F6" w:rsidRDefault="00DA72F6">
      <w:pPr>
        <w:pStyle w:val="FootnoteText"/>
        <w:rPr>
          <w:lang w:val="en-US"/>
        </w:rPr>
      </w:pPr>
    </w:p>
  </w:footnote>
  <w:footnote w:id="14">
    <w:p w14:paraId="11418F6A" w14:textId="5AF9098F" w:rsidR="009C2728" w:rsidRPr="009C2728" w:rsidRDefault="009C2728">
      <w:pPr>
        <w:pStyle w:val="FootnoteText"/>
        <w:rPr>
          <w:lang w:val="en-US"/>
        </w:rPr>
      </w:pPr>
      <w:r>
        <w:rPr>
          <w:rStyle w:val="FootnoteReference"/>
        </w:rPr>
        <w:footnoteRef/>
      </w:r>
      <w:r>
        <w:t xml:space="preserve"> </w:t>
      </w:r>
      <w:r w:rsidR="00192DFD" w:rsidRPr="00192DFD">
        <w:t>Mokoena and Others v Lengoabala; In re: Lengoabala v Nhlapo and Others [2016] ZAFSHC 4 para 7.</w:t>
      </w:r>
    </w:p>
  </w:footnote>
  <w:footnote w:id="15">
    <w:p w14:paraId="3526D79F" w14:textId="6EF4066B" w:rsidR="000B3C27" w:rsidRDefault="00C315A9" w:rsidP="000B3C27">
      <w:pPr>
        <w:pStyle w:val="FootnoteText"/>
      </w:pPr>
      <w:r>
        <w:rPr>
          <w:rStyle w:val="FootnoteReference"/>
        </w:rPr>
        <w:footnoteRef/>
      </w:r>
      <w:r>
        <w:t xml:space="preserve"> </w:t>
      </w:r>
      <w:r w:rsidR="000B3C27">
        <w:t xml:space="preserve">Faber </w:t>
      </w:r>
      <w:r w:rsidR="00BB0192">
        <w:t>v</w:t>
      </w:r>
      <w:r w:rsidR="000B3C27">
        <w:t xml:space="preserve"> Nazerian </w:t>
      </w:r>
      <w:r w:rsidR="00BB0192">
        <w:t>[</w:t>
      </w:r>
      <w:r w:rsidR="000B3C27">
        <w:t>2013</w:t>
      </w:r>
      <w:r w:rsidR="00BB0192">
        <w:t>]</w:t>
      </w:r>
      <w:r w:rsidR="000B3C27">
        <w:t xml:space="preserve"> ZAGPJHC 65 at paragraph 22 and</w:t>
      </w:r>
      <w:r w:rsidR="00BB0192">
        <w:t xml:space="preserve"> 23.</w:t>
      </w:r>
    </w:p>
    <w:p w14:paraId="088241EE" w14:textId="2833DB3D" w:rsidR="00C315A9" w:rsidRPr="00C315A9" w:rsidRDefault="00C315A9" w:rsidP="000B3C27">
      <w:pPr>
        <w:pStyle w:val="FootnoteText"/>
        <w:rPr>
          <w:lang w:val="en-US"/>
        </w:rPr>
      </w:pPr>
    </w:p>
  </w:footnote>
  <w:footnote w:id="16">
    <w:p w14:paraId="350B7DF0" w14:textId="0D516DE1" w:rsidR="00083E3F" w:rsidRPr="00083E3F" w:rsidRDefault="00083E3F">
      <w:pPr>
        <w:pStyle w:val="FootnoteText"/>
        <w:rPr>
          <w:lang w:val="en-US"/>
        </w:rPr>
      </w:pPr>
      <w:r>
        <w:rPr>
          <w:rStyle w:val="FootnoteReference"/>
        </w:rPr>
        <w:footnoteRef/>
      </w:r>
      <w:r>
        <w:t xml:space="preserve"> </w:t>
      </w:r>
      <w:r w:rsidR="00DD086D" w:rsidRPr="00DD086D">
        <w:t>[2018] 1 All SA 508 (WCC).</w:t>
      </w:r>
    </w:p>
  </w:footnote>
  <w:footnote w:id="17">
    <w:p w14:paraId="38793885" w14:textId="21856CBB" w:rsidR="005923DE" w:rsidRPr="005923DE" w:rsidRDefault="005923DE">
      <w:pPr>
        <w:pStyle w:val="FootnoteText"/>
        <w:rPr>
          <w:lang w:val="en-US"/>
        </w:rPr>
      </w:pPr>
      <w:r>
        <w:rPr>
          <w:rStyle w:val="FootnoteReference"/>
        </w:rPr>
        <w:footnoteRef/>
      </w:r>
      <w:r>
        <w:t xml:space="preserve"> </w:t>
      </w:r>
      <w:r w:rsidRPr="005923DE">
        <w:t>[2018] 1 All SA 508 (WCC) para 31.</w:t>
      </w:r>
    </w:p>
  </w:footnote>
  <w:footnote w:id="18">
    <w:p w14:paraId="2EC1353B" w14:textId="3C90D7DF" w:rsidR="00EA7A0D" w:rsidRPr="00EA7A0D" w:rsidRDefault="00EA7A0D">
      <w:pPr>
        <w:pStyle w:val="FootnoteText"/>
        <w:rPr>
          <w:lang w:val="en-US"/>
        </w:rPr>
      </w:pPr>
      <w:r>
        <w:rPr>
          <w:rStyle w:val="FootnoteReference"/>
        </w:rPr>
        <w:footnoteRef/>
      </w:r>
      <w:r>
        <w:t xml:space="preserve"> </w:t>
      </w:r>
      <w:r w:rsidRPr="00EA7A0D">
        <w:t>[2023] JOL 60905 GJ para 3.</w:t>
      </w:r>
    </w:p>
  </w:footnote>
  <w:footnote w:id="19">
    <w:p w14:paraId="25A2A3C7" w14:textId="25A58A3E" w:rsidR="009673D8" w:rsidRPr="009673D8" w:rsidRDefault="009673D8">
      <w:pPr>
        <w:pStyle w:val="FootnoteText"/>
        <w:rPr>
          <w:lang w:val="en-US"/>
        </w:rPr>
      </w:pPr>
      <w:r>
        <w:rPr>
          <w:rStyle w:val="FootnoteReference"/>
        </w:rPr>
        <w:footnoteRef/>
      </w:r>
      <w:r>
        <w:t xml:space="preserve"> </w:t>
      </w:r>
      <w:r w:rsidR="00552ECB" w:rsidRPr="00552ECB">
        <w:t>Directives in respect of Different Categories of Telecommunications Services Providers made in terms of the Regulation of Interception of Communication-Related Information Act (70/2002), GN 1325 GG 28271, 28 November 2005.</w:t>
      </w:r>
    </w:p>
  </w:footnote>
  <w:footnote w:id="20">
    <w:p w14:paraId="412BA49E" w14:textId="7558D84C" w:rsidR="00FD2133" w:rsidRPr="00FD2133" w:rsidRDefault="00FD2133">
      <w:pPr>
        <w:pStyle w:val="FootnoteText"/>
        <w:rPr>
          <w:lang w:val="en-US"/>
        </w:rPr>
      </w:pPr>
      <w:r>
        <w:rPr>
          <w:rStyle w:val="FootnoteReference"/>
        </w:rPr>
        <w:footnoteRef/>
      </w:r>
      <w:r>
        <w:t xml:space="preserve"> </w:t>
      </w:r>
      <w:r w:rsidR="00CA2212" w:rsidRPr="00CA2212">
        <w:t>Makate v Vodacom (Pty) Ltd [2013] JOL 30668 (GSJ) para 16.</w:t>
      </w:r>
    </w:p>
  </w:footnote>
  <w:footnote w:id="21">
    <w:p w14:paraId="1995E938" w14:textId="04A4A943" w:rsidR="006055F8" w:rsidRPr="006055F8" w:rsidRDefault="006055F8">
      <w:pPr>
        <w:pStyle w:val="FootnoteText"/>
        <w:rPr>
          <w:lang w:val="en-US"/>
        </w:rPr>
      </w:pPr>
      <w:r>
        <w:rPr>
          <w:rStyle w:val="FootnoteReference"/>
        </w:rPr>
        <w:footnoteRef/>
      </w:r>
      <w:r>
        <w:t xml:space="preserve"> </w:t>
      </w:r>
      <w:r>
        <w:rPr>
          <w:lang w:val="en-US"/>
        </w:rPr>
        <w:t xml:space="preserve">2009 </w:t>
      </w:r>
      <w:r w:rsidR="00B8695A">
        <w:rPr>
          <w:lang w:val="en-US"/>
        </w:rPr>
        <w:t xml:space="preserve">(6) </w:t>
      </w:r>
      <w:r>
        <w:rPr>
          <w:lang w:val="en-US"/>
        </w:rPr>
        <w:t>SA</w:t>
      </w:r>
      <w:r w:rsidR="00B8695A">
        <w:rPr>
          <w:lang w:val="en-US"/>
        </w:rPr>
        <w:t xml:space="preserve"> 232 (CC)</w:t>
      </w:r>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A3A"/>
    <w:multiLevelType w:val="hybridMultilevel"/>
    <w:tmpl w:val="BCF21C94"/>
    <w:lvl w:ilvl="0" w:tplc="1C090017">
      <w:start w:val="1"/>
      <w:numFmt w:val="lowerLetter"/>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 w15:restartNumberingAfterBreak="0">
    <w:nsid w:val="07D7659E"/>
    <w:multiLevelType w:val="hybridMultilevel"/>
    <w:tmpl w:val="B954648C"/>
    <w:lvl w:ilvl="0" w:tplc="D58AC712">
      <w:start w:val="1"/>
      <w:numFmt w:val="decimal"/>
      <w:lvlText w:val="%1."/>
      <w:lvlJc w:val="left"/>
      <w:pPr>
        <w:ind w:left="927" w:hanging="360"/>
      </w:pPr>
      <w:rPr>
        <w:rFonts w:hint="default"/>
      </w:rPr>
    </w:lvl>
    <w:lvl w:ilvl="1" w:tplc="1C090019">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15:restartNumberingAfterBreak="0">
    <w:nsid w:val="0A132429"/>
    <w:multiLevelType w:val="hybridMultilevel"/>
    <w:tmpl w:val="846A6BD4"/>
    <w:lvl w:ilvl="0" w:tplc="07E43ABC">
      <w:start w:val="1"/>
      <w:numFmt w:val="decimal"/>
      <w:lvlText w:val="(%1)"/>
      <w:lvlJc w:val="left"/>
      <w:pPr>
        <w:tabs>
          <w:tab w:val="num" w:pos="720"/>
        </w:tabs>
        <w:ind w:left="720" w:hanging="720"/>
      </w:pPr>
      <w:rPr>
        <w:rFonts w:cs="Times New Roman"/>
        <w:b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15:restartNumberingAfterBreak="0">
    <w:nsid w:val="0F2F214E"/>
    <w:multiLevelType w:val="hybridMultilevel"/>
    <w:tmpl w:val="F4309FE2"/>
    <w:lvl w:ilvl="0" w:tplc="3B4C1E54">
      <w:start w:val="1"/>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4" w15:restartNumberingAfterBreak="0">
    <w:nsid w:val="16491ECA"/>
    <w:multiLevelType w:val="hybridMultilevel"/>
    <w:tmpl w:val="BFEAEC16"/>
    <w:lvl w:ilvl="0" w:tplc="4A08A88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15:restartNumberingAfterBreak="0">
    <w:nsid w:val="271222BD"/>
    <w:multiLevelType w:val="hybridMultilevel"/>
    <w:tmpl w:val="DF0C5674"/>
    <w:lvl w:ilvl="0" w:tplc="591015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9B962C5"/>
    <w:multiLevelType w:val="hybridMultilevel"/>
    <w:tmpl w:val="0212D882"/>
    <w:lvl w:ilvl="0" w:tplc="A192DA30">
      <w:start w:val="1"/>
      <w:numFmt w:val="upperRoman"/>
      <w:lvlText w:val="%1)"/>
      <w:lvlJc w:val="left"/>
      <w:pPr>
        <w:ind w:left="2007" w:hanging="720"/>
      </w:pPr>
      <w:rPr>
        <w:rFonts w:hint="default"/>
      </w:rPr>
    </w:lvl>
    <w:lvl w:ilvl="1" w:tplc="1C090019" w:tentative="1">
      <w:start w:val="1"/>
      <w:numFmt w:val="lowerLetter"/>
      <w:lvlText w:val="%2."/>
      <w:lvlJc w:val="left"/>
      <w:pPr>
        <w:ind w:left="2367" w:hanging="360"/>
      </w:pPr>
    </w:lvl>
    <w:lvl w:ilvl="2" w:tplc="1C09001B" w:tentative="1">
      <w:start w:val="1"/>
      <w:numFmt w:val="lowerRoman"/>
      <w:lvlText w:val="%3."/>
      <w:lvlJc w:val="right"/>
      <w:pPr>
        <w:ind w:left="3087" w:hanging="180"/>
      </w:pPr>
    </w:lvl>
    <w:lvl w:ilvl="3" w:tplc="1C09000F" w:tentative="1">
      <w:start w:val="1"/>
      <w:numFmt w:val="decimal"/>
      <w:lvlText w:val="%4."/>
      <w:lvlJc w:val="left"/>
      <w:pPr>
        <w:ind w:left="3807" w:hanging="360"/>
      </w:pPr>
    </w:lvl>
    <w:lvl w:ilvl="4" w:tplc="1C090019" w:tentative="1">
      <w:start w:val="1"/>
      <w:numFmt w:val="lowerLetter"/>
      <w:lvlText w:val="%5."/>
      <w:lvlJc w:val="left"/>
      <w:pPr>
        <w:ind w:left="4527" w:hanging="360"/>
      </w:pPr>
    </w:lvl>
    <w:lvl w:ilvl="5" w:tplc="1C09001B" w:tentative="1">
      <w:start w:val="1"/>
      <w:numFmt w:val="lowerRoman"/>
      <w:lvlText w:val="%6."/>
      <w:lvlJc w:val="right"/>
      <w:pPr>
        <w:ind w:left="5247" w:hanging="180"/>
      </w:pPr>
    </w:lvl>
    <w:lvl w:ilvl="6" w:tplc="1C09000F" w:tentative="1">
      <w:start w:val="1"/>
      <w:numFmt w:val="decimal"/>
      <w:lvlText w:val="%7."/>
      <w:lvlJc w:val="left"/>
      <w:pPr>
        <w:ind w:left="5967" w:hanging="360"/>
      </w:pPr>
    </w:lvl>
    <w:lvl w:ilvl="7" w:tplc="1C090019" w:tentative="1">
      <w:start w:val="1"/>
      <w:numFmt w:val="lowerLetter"/>
      <w:lvlText w:val="%8."/>
      <w:lvlJc w:val="left"/>
      <w:pPr>
        <w:ind w:left="6687" w:hanging="360"/>
      </w:pPr>
    </w:lvl>
    <w:lvl w:ilvl="8" w:tplc="1C09001B" w:tentative="1">
      <w:start w:val="1"/>
      <w:numFmt w:val="lowerRoman"/>
      <w:lvlText w:val="%9."/>
      <w:lvlJc w:val="right"/>
      <w:pPr>
        <w:ind w:left="7407" w:hanging="180"/>
      </w:pPr>
    </w:lvl>
  </w:abstractNum>
  <w:abstractNum w:abstractNumId="7" w15:restartNumberingAfterBreak="0">
    <w:nsid w:val="347826A0"/>
    <w:multiLevelType w:val="hybridMultilevel"/>
    <w:tmpl w:val="6520E958"/>
    <w:lvl w:ilvl="0" w:tplc="9FC48CB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36714B41"/>
    <w:multiLevelType w:val="hybridMultilevel"/>
    <w:tmpl w:val="8572EE7E"/>
    <w:lvl w:ilvl="0" w:tplc="1C09000F">
      <w:start w:val="1"/>
      <w:numFmt w:val="decimal"/>
      <w:lvlText w:val="%1."/>
      <w:lvlJc w:val="left"/>
      <w:pPr>
        <w:ind w:left="785" w:hanging="360"/>
      </w:pPr>
    </w:lvl>
    <w:lvl w:ilvl="1" w:tplc="1C090019" w:tentative="1">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9" w15:restartNumberingAfterBreak="0">
    <w:nsid w:val="3AD37C44"/>
    <w:multiLevelType w:val="hybridMultilevel"/>
    <w:tmpl w:val="F146AC50"/>
    <w:lvl w:ilvl="0" w:tplc="1B0259F0">
      <w:start w:val="1"/>
      <w:numFmt w:val="upperLetter"/>
      <w:lvlText w:val="%1."/>
      <w:lvlJc w:val="left"/>
      <w:pPr>
        <w:ind w:left="720" w:hanging="360"/>
      </w:pPr>
      <w:rPr>
        <w:rFonts w:hint="default"/>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D8A0F0B"/>
    <w:multiLevelType w:val="hybridMultilevel"/>
    <w:tmpl w:val="60AAB278"/>
    <w:lvl w:ilvl="0" w:tplc="140EAE26">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40D4382D"/>
    <w:multiLevelType w:val="hybridMultilevel"/>
    <w:tmpl w:val="DB76F18E"/>
    <w:lvl w:ilvl="0" w:tplc="FFFFFFFF">
      <w:start w:val="1"/>
      <w:numFmt w:val="lowerLetter"/>
      <w:lvlText w:val="(%1)"/>
      <w:lvlJc w:val="left"/>
      <w:pPr>
        <w:ind w:left="1080" w:hanging="720"/>
      </w:pPr>
      <w:rPr>
        <w:rFonts w:ascii="Arial" w:hAnsi="Arial" w:cs="Arial"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51C0287"/>
    <w:multiLevelType w:val="multilevel"/>
    <w:tmpl w:val="FB905070"/>
    <w:lvl w:ilvl="0">
      <w:start w:val="1"/>
      <w:numFmt w:val="decimal"/>
      <w:lvlText w:val="[%1]"/>
      <w:lvlJc w:val="left"/>
      <w:pPr>
        <w:tabs>
          <w:tab w:val="num" w:pos="927"/>
        </w:tabs>
        <w:ind w:left="927" w:hanging="567"/>
      </w:pPr>
      <w:rPr>
        <w:rFonts w:hint="default"/>
        <w:b w:val="0"/>
        <w:i w:val="0"/>
        <w:sz w:val="24"/>
        <w:szCs w:val="24"/>
      </w:rPr>
    </w:lvl>
    <w:lvl w:ilvl="1">
      <w:start w:val="1"/>
      <w:numFmt w:val="decimal"/>
      <w:pStyle w:val="LegalHeading2"/>
      <w:lvlText w:val="%1.%2"/>
      <w:lvlJc w:val="left"/>
      <w:pPr>
        <w:tabs>
          <w:tab w:val="num" w:pos="2629"/>
        </w:tabs>
        <w:ind w:left="2629" w:hanging="1134"/>
      </w:pPr>
      <w:rPr>
        <w:rFonts w:ascii="Times New Roman" w:hAnsi="Times New Roman" w:cs="Times New Roman" w:hint="default"/>
        <w:b w:val="0"/>
        <w:i w:val="0"/>
        <w:sz w:val="24"/>
        <w:szCs w:val="24"/>
      </w:rPr>
    </w:lvl>
    <w:lvl w:ilvl="2">
      <w:start w:val="1"/>
      <w:numFmt w:val="decimal"/>
      <w:pStyle w:val="LegalHeading3"/>
      <w:lvlText w:val="%1.%2.%3"/>
      <w:lvlJc w:val="left"/>
      <w:pPr>
        <w:tabs>
          <w:tab w:val="num" w:pos="2061"/>
        </w:tabs>
        <w:ind w:left="2061" w:hanging="1701"/>
      </w:pPr>
      <w:rPr>
        <w:rFonts w:cs="Times New Roman" w:hint="default"/>
        <w:b w:val="0"/>
        <w:i w:val="0"/>
      </w:rPr>
    </w:lvl>
    <w:lvl w:ilvl="3">
      <w:start w:val="1"/>
      <w:numFmt w:val="decimal"/>
      <w:pStyle w:val="LegalHeading4"/>
      <w:lvlText w:val="%1.%2.%3.%4"/>
      <w:lvlJc w:val="left"/>
      <w:pPr>
        <w:tabs>
          <w:tab w:val="num" w:pos="2628"/>
        </w:tabs>
        <w:ind w:left="2628" w:hanging="2268"/>
      </w:pPr>
      <w:rPr>
        <w:rFonts w:cs="Times New Roman" w:hint="default"/>
        <w:b w:val="0"/>
        <w:i w:val="0"/>
      </w:rPr>
    </w:lvl>
    <w:lvl w:ilvl="4">
      <w:start w:val="1"/>
      <w:numFmt w:val="decimal"/>
      <w:pStyle w:val="LegalHeading5"/>
      <w:lvlText w:val="%1.%2.%3.%4.%5"/>
      <w:lvlJc w:val="left"/>
      <w:pPr>
        <w:tabs>
          <w:tab w:val="num" w:pos="3195"/>
        </w:tabs>
        <w:ind w:left="3195" w:hanging="2835"/>
      </w:pPr>
      <w:rPr>
        <w:rFonts w:cs="Times New Roman" w:hint="default"/>
        <w:b w:val="0"/>
        <w:i w:val="0"/>
      </w:rPr>
    </w:lvl>
    <w:lvl w:ilvl="5">
      <w:start w:val="1"/>
      <w:numFmt w:val="decimal"/>
      <w:lvlText w:val="%1.%2.%3.%4.%5.%6"/>
      <w:lvlJc w:val="left"/>
      <w:pPr>
        <w:tabs>
          <w:tab w:val="num" w:pos="3762"/>
        </w:tabs>
        <w:ind w:left="3762" w:hanging="3402"/>
      </w:pPr>
      <w:rPr>
        <w:rFonts w:cs="Times New Roman" w:hint="default"/>
        <w:b w:val="0"/>
        <w:i w:val="0"/>
      </w:rPr>
    </w:lvl>
    <w:lvl w:ilvl="6">
      <w:start w:val="1"/>
      <w:numFmt w:val="decimal"/>
      <w:lvlText w:val="%1.%2.%3.%4.%5.%6.%7"/>
      <w:lvlJc w:val="left"/>
      <w:pPr>
        <w:tabs>
          <w:tab w:val="num" w:pos="3932"/>
        </w:tabs>
        <w:ind w:left="3932" w:hanging="3572"/>
      </w:pPr>
      <w:rPr>
        <w:rFonts w:cs="Times New Roman" w:hint="default"/>
        <w:b w:val="0"/>
        <w:i w:val="0"/>
      </w:rPr>
    </w:lvl>
    <w:lvl w:ilvl="7">
      <w:start w:val="1"/>
      <w:numFmt w:val="decimal"/>
      <w:lvlText w:val="%1.%2.%3.%4.%5.%6.%7.%8."/>
      <w:lvlJc w:val="left"/>
      <w:pPr>
        <w:tabs>
          <w:tab w:val="num" w:pos="6120"/>
        </w:tabs>
        <w:ind w:left="4104" w:hanging="1224"/>
      </w:pPr>
      <w:rPr>
        <w:rFonts w:cs="Times New Roman" w:hint="default"/>
      </w:rPr>
    </w:lvl>
    <w:lvl w:ilvl="8">
      <w:start w:val="1"/>
      <w:numFmt w:val="decimal"/>
      <w:lvlText w:val="%1.%2.%3.%4.%5.%6.%7.%8.%9."/>
      <w:lvlJc w:val="left"/>
      <w:pPr>
        <w:tabs>
          <w:tab w:val="num" w:pos="6840"/>
        </w:tabs>
        <w:ind w:left="4680" w:hanging="1440"/>
      </w:pPr>
      <w:rPr>
        <w:rFonts w:cs="Times New Roman" w:hint="default"/>
      </w:rPr>
    </w:lvl>
  </w:abstractNum>
  <w:abstractNum w:abstractNumId="13" w15:restartNumberingAfterBreak="0">
    <w:nsid w:val="47426E45"/>
    <w:multiLevelType w:val="hybridMultilevel"/>
    <w:tmpl w:val="61C89512"/>
    <w:lvl w:ilvl="0" w:tplc="14CADC06">
      <w:start w:val="1"/>
      <w:numFmt w:val="lowerRoman"/>
      <w:lvlText w:val="(%1)"/>
      <w:lvlJc w:val="left"/>
      <w:pPr>
        <w:ind w:left="1760" w:hanging="720"/>
      </w:pPr>
      <w:rPr>
        <w:rFonts w:hint="default"/>
      </w:rPr>
    </w:lvl>
    <w:lvl w:ilvl="1" w:tplc="1C090019">
      <w:start w:val="1"/>
      <w:numFmt w:val="lowerLetter"/>
      <w:lvlText w:val="%2."/>
      <w:lvlJc w:val="left"/>
      <w:pPr>
        <w:ind w:left="2120" w:hanging="360"/>
      </w:pPr>
    </w:lvl>
    <w:lvl w:ilvl="2" w:tplc="1C09001B" w:tentative="1">
      <w:start w:val="1"/>
      <w:numFmt w:val="lowerRoman"/>
      <w:lvlText w:val="%3."/>
      <w:lvlJc w:val="right"/>
      <w:pPr>
        <w:ind w:left="2840" w:hanging="180"/>
      </w:pPr>
    </w:lvl>
    <w:lvl w:ilvl="3" w:tplc="1C09000F" w:tentative="1">
      <w:start w:val="1"/>
      <w:numFmt w:val="decimal"/>
      <w:lvlText w:val="%4."/>
      <w:lvlJc w:val="left"/>
      <w:pPr>
        <w:ind w:left="3560" w:hanging="360"/>
      </w:pPr>
    </w:lvl>
    <w:lvl w:ilvl="4" w:tplc="1C090019" w:tentative="1">
      <w:start w:val="1"/>
      <w:numFmt w:val="lowerLetter"/>
      <w:lvlText w:val="%5."/>
      <w:lvlJc w:val="left"/>
      <w:pPr>
        <w:ind w:left="4280" w:hanging="360"/>
      </w:pPr>
    </w:lvl>
    <w:lvl w:ilvl="5" w:tplc="1C09001B" w:tentative="1">
      <w:start w:val="1"/>
      <w:numFmt w:val="lowerRoman"/>
      <w:lvlText w:val="%6."/>
      <w:lvlJc w:val="right"/>
      <w:pPr>
        <w:ind w:left="5000" w:hanging="180"/>
      </w:pPr>
    </w:lvl>
    <w:lvl w:ilvl="6" w:tplc="1C09000F" w:tentative="1">
      <w:start w:val="1"/>
      <w:numFmt w:val="decimal"/>
      <w:lvlText w:val="%7."/>
      <w:lvlJc w:val="left"/>
      <w:pPr>
        <w:ind w:left="5720" w:hanging="360"/>
      </w:pPr>
    </w:lvl>
    <w:lvl w:ilvl="7" w:tplc="1C090019" w:tentative="1">
      <w:start w:val="1"/>
      <w:numFmt w:val="lowerLetter"/>
      <w:lvlText w:val="%8."/>
      <w:lvlJc w:val="left"/>
      <w:pPr>
        <w:ind w:left="6440" w:hanging="360"/>
      </w:pPr>
    </w:lvl>
    <w:lvl w:ilvl="8" w:tplc="1C09001B" w:tentative="1">
      <w:start w:val="1"/>
      <w:numFmt w:val="lowerRoman"/>
      <w:lvlText w:val="%9."/>
      <w:lvlJc w:val="right"/>
      <w:pPr>
        <w:ind w:left="7160" w:hanging="180"/>
      </w:pPr>
    </w:lvl>
  </w:abstractNum>
  <w:abstractNum w:abstractNumId="14" w15:restartNumberingAfterBreak="0">
    <w:nsid w:val="48664144"/>
    <w:multiLevelType w:val="hybridMultilevel"/>
    <w:tmpl w:val="6A92BFA6"/>
    <w:lvl w:ilvl="0" w:tplc="51BE635E">
      <w:start w:val="1"/>
      <w:numFmt w:val="lowerLetter"/>
      <w:lvlText w:val="(%1)"/>
      <w:lvlJc w:val="left"/>
      <w:pPr>
        <w:ind w:left="1040" w:hanging="360"/>
      </w:pPr>
      <w:rPr>
        <w:rFonts w:hint="default"/>
        <w:i/>
      </w:rPr>
    </w:lvl>
    <w:lvl w:ilvl="1" w:tplc="1C090019" w:tentative="1">
      <w:start w:val="1"/>
      <w:numFmt w:val="lowerLetter"/>
      <w:lvlText w:val="%2."/>
      <w:lvlJc w:val="left"/>
      <w:pPr>
        <w:ind w:left="1760" w:hanging="360"/>
      </w:pPr>
    </w:lvl>
    <w:lvl w:ilvl="2" w:tplc="1C09001B" w:tentative="1">
      <w:start w:val="1"/>
      <w:numFmt w:val="lowerRoman"/>
      <w:lvlText w:val="%3."/>
      <w:lvlJc w:val="right"/>
      <w:pPr>
        <w:ind w:left="2480" w:hanging="180"/>
      </w:pPr>
    </w:lvl>
    <w:lvl w:ilvl="3" w:tplc="1C09000F" w:tentative="1">
      <w:start w:val="1"/>
      <w:numFmt w:val="decimal"/>
      <w:lvlText w:val="%4."/>
      <w:lvlJc w:val="left"/>
      <w:pPr>
        <w:ind w:left="3200" w:hanging="360"/>
      </w:pPr>
    </w:lvl>
    <w:lvl w:ilvl="4" w:tplc="1C090019" w:tentative="1">
      <w:start w:val="1"/>
      <w:numFmt w:val="lowerLetter"/>
      <w:lvlText w:val="%5."/>
      <w:lvlJc w:val="left"/>
      <w:pPr>
        <w:ind w:left="3920" w:hanging="360"/>
      </w:pPr>
    </w:lvl>
    <w:lvl w:ilvl="5" w:tplc="1C09001B" w:tentative="1">
      <w:start w:val="1"/>
      <w:numFmt w:val="lowerRoman"/>
      <w:lvlText w:val="%6."/>
      <w:lvlJc w:val="right"/>
      <w:pPr>
        <w:ind w:left="4640" w:hanging="180"/>
      </w:pPr>
    </w:lvl>
    <w:lvl w:ilvl="6" w:tplc="1C09000F" w:tentative="1">
      <w:start w:val="1"/>
      <w:numFmt w:val="decimal"/>
      <w:lvlText w:val="%7."/>
      <w:lvlJc w:val="left"/>
      <w:pPr>
        <w:ind w:left="5360" w:hanging="360"/>
      </w:pPr>
    </w:lvl>
    <w:lvl w:ilvl="7" w:tplc="1C090019" w:tentative="1">
      <w:start w:val="1"/>
      <w:numFmt w:val="lowerLetter"/>
      <w:lvlText w:val="%8."/>
      <w:lvlJc w:val="left"/>
      <w:pPr>
        <w:ind w:left="6080" w:hanging="360"/>
      </w:pPr>
    </w:lvl>
    <w:lvl w:ilvl="8" w:tplc="1C09001B" w:tentative="1">
      <w:start w:val="1"/>
      <w:numFmt w:val="lowerRoman"/>
      <w:lvlText w:val="%9."/>
      <w:lvlJc w:val="right"/>
      <w:pPr>
        <w:ind w:left="6800" w:hanging="180"/>
      </w:pPr>
    </w:lvl>
  </w:abstractNum>
  <w:abstractNum w:abstractNumId="15" w15:restartNumberingAfterBreak="0">
    <w:nsid w:val="49C13A4C"/>
    <w:multiLevelType w:val="hybridMultilevel"/>
    <w:tmpl w:val="DB76F18E"/>
    <w:lvl w:ilvl="0" w:tplc="4648A8B0">
      <w:start w:val="1"/>
      <w:numFmt w:val="lowerLetter"/>
      <w:lvlText w:val="(%1)"/>
      <w:lvlJc w:val="left"/>
      <w:pPr>
        <w:ind w:left="1080" w:hanging="720"/>
      </w:pPr>
      <w:rPr>
        <w:rFonts w:ascii="Arial" w:hAnsi="Arial" w:cs="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F8312BB"/>
    <w:multiLevelType w:val="hybridMultilevel"/>
    <w:tmpl w:val="C7E66F40"/>
    <w:lvl w:ilvl="0" w:tplc="1C090017">
      <w:start w:val="1"/>
      <w:numFmt w:val="lowerLetter"/>
      <w:lvlText w:val="%1)"/>
      <w:lvlJc w:val="left"/>
      <w:pPr>
        <w:ind w:left="1647" w:hanging="360"/>
      </w:pPr>
    </w:lvl>
    <w:lvl w:ilvl="1" w:tplc="1C090019" w:tentative="1">
      <w:start w:val="1"/>
      <w:numFmt w:val="lowerLetter"/>
      <w:lvlText w:val="%2."/>
      <w:lvlJc w:val="left"/>
      <w:pPr>
        <w:ind w:left="2367" w:hanging="360"/>
      </w:pPr>
    </w:lvl>
    <w:lvl w:ilvl="2" w:tplc="1C09001B" w:tentative="1">
      <w:start w:val="1"/>
      <w:numFmt w:val="lowerRoman"/>
      <w:lvlText w:val="%3."/>
      <w:lvlJc w:val="right"/>
      <w:pPr>
        <w:ind w:left="3087" w:hanging="180"/>
      </w:pPr>
    </w:lvl>
    <w:lvl w:ilvl="3" w:tplc="1C09000F" w:tentative="1">
      <w:start w:val="1"/>
      <w:numFmt w:val="decimal"/>
      <w:lvlText w:val="%4."/>
      <w:lvlJc w:val="left"/>
      <w:pPr>
        <w:ind w:left="3807" w:hanging="360"/>
      </w:pPr>
    </w:lvl>
    <w:lvl w:ilvl="4" w:tplc="1C090019" w:tentative="1">
      <w:start w:val="1"/>
      <w:numFmt w:val="lowerLetter"/>
      <w:lvlText w:val="%5."/>
      <w:lvlJc w:val="left"/>
      <w:pPr>
        <w:ind w:left="4527" w:hanging="360"/>
      </w:pPr>
    </w:lvl>
    <w:lvl w:ilvl="5" w:tplc="1C09001B" w:tentative="1">
      <w:start w:val="1"/>
      <w:numFmt w:val="lowerRoman"/>
      <w:lvlText w:val="%6."/>
      <w:lvlJc w:val="right"/>
      <w:pPr>
        <w:ind w:left="5247" w:hanging="180"/>
      </w:pPr>
    </w:lvl>
    <w:lvl w:ilvl="6" w:tplc="1C09000F" w:tentative="1">
      <w:start w:val="1"/>
      <w:numFmt w:val="decimal"/>
      <w:lvlText w:val="%7."/>
      <w:lvlJc w:val="left"/>
      <w:pPr>
        <w:ind w:left="5967" w:hanging="360"/>
      </w:pPr>
    </w:lvl>
    <w:lvl w:ilvl="7" w:tplc="1C090019" w:tentative="1">
      <w:start w:val="1"/>
      <w:numFmt w:val="lowerLetter"/>
      <w:lvlText w:val="%8."/>
      <w:lvlJc w:val="left"/>
      <w:pPr>
        <w:ind w:left="6687" w:hanging="360"/>
      </w:pPr>
    </w:lvl>
    <w:lvl w:ilvl="8" w:tplc="1C09001B" w:tentative="1">
      <w:start w:val="1"/>
      <w:numFmt w:val="lowerRoman"/>
      <w:lvlText w:val="%9."/>
      <w:lvlJc w:val="right"/>
      <w:pPr>
        <w:ind w:left="7407" w:hanging="180"/>
      </w:pPr>
    </w:lvl>
  </w:abstractNum>
  <w:abstractNum w:abstractNumId="17" w15:restartNumberingAfterBreak="0">
    <w:nsid w:val="58946F18"/>
    <w:multiLevelType w:val="hybridMultilevel"/>
    <w:tmpl w:val="73969ACA"/>
    <w:lvl w:ilvl="0" w:tplc="EFE4B58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5BAD35A5"/>
    <w:multiLevelType w:val="hybridMultilevel"/>
    <w:tmpl w:val="0A5A806C"/>
    <w:lvl w:ilvl="0" w:tplc="B03EE300">
      <w:start w:val="1"/>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9" w15:restartNumberingAfterBreak="0">
    <w:nsid w:val="5E0B0A02"/>
    <w:multiLevelType w:val="hybridMultilevel"/>
    <w:tmpl w:val="99FCDABA"/>
    <w:lvl w:ilvl="0" w:tplc="9F70FC60">
      <w:start w:val="1"/>
      <w:numFmt w:val="decimal"/>
      <w:lvlText w:val="(%1)"/>
      <w:lvlJc w:val="left"/>
      <w:pPr>
        <w:ind w:left="1080" w:hanging="360"/>
      </w:pPr>
      <w:rPr>
        <w:rFonts w:ascii="Arial" w:eastAsia="Arial" w:hAnsi="Arial" w:cs="Arial" w:hint="default"/>
        <w:color w:val="auto"/>
        <w:sz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740C48CE"/>
    <w:multiLevelType w:val="hybridMultilevel"/>
    <w:tmpl w:val="1812CDF8"/>
    <w:lvl w:ilvl="0" w:tplc="7A6CDC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6881B5E"/>
    <w:multiLevelType w:val="hybridMultilevel"/>
    <w:tmpl w:val="20F0DFC8"/>
    <w:lvl w:ilvl="0" w:tplc="4FB8B610">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2" w15:restartNumberingAfterBreak="0">
    <w:nsid w:val="769B749A"/>
    <w:multiLevelType w:val="hybridMultilevel"/>
    <w:tmpl w:val="33D86592"/>
    <w:lvl w:ilvl="0" w:tplc="D396A41C">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778212BF"/>
    <w:multiLevelType w:val="hybridMultilevel"/>
    <w:tmpl w:val="EB1E989A"/>
    <w:lvl w:ilvl="0" w:tplc="7A94FF2C">
      <w:start w:val="1"/>
      <w:numFmt w:val="lowerRoman"/>
      <w:lvlText w:val="%1."/>
      <w:lvlJc w:val="left"/>
      <w:pPr>
        <w:ind w:left="3409" w:hanging="1140"/>
      </w:pPr>
      <w:rPr>
        <w:rFonts w:hint="default"/>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24" w15:restartNumberingAfterBreak="0">
    <w:nsid w:val="7C52339B"/>
    <w:multiLevelType w:val="hybridMultilevel"/>
    <w:tmpl w:val="3C480884"/>
    <w:lvl w:ilvl="0" w:tplc="AC86029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7DC1356D"/>
    <w:multiLevelType w:val="hybridMultilevel"/>
    <w:tmpl w:val="BE88EE78"/>
    <w:lvl w:ilvl="0" w:tplc="96D6FFB0">
      <w:start w:val="1"/>
      <w:numFmt w:val="decimal"/>
      <w:lvlText w:val="%1."/>
      <w:lvlJc w:val="left"/>
      <w:pPr>
        <w:ind w:left="1495" w:hanging="360"/>
      </w:pPr>
      <w:rPr>
        <w:rFonts w:hint="default"/>
      </w:rPr>
    </w:lvl>
    <w:lvl w:ilvl="1" w:tplc="1C090019" w:tentative="1">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num w:numId="1" w16cid:durableId="1827893471">
    <w:abstractNumId w:val="12"/>
  </w:num>
  <w:num w:numId="2" w16cid:durableId="1339819013">
    <w:abstractNumId w:val="2"/>
  </w:num>
  <w:num w:numId="3" w16cid:durableId="839394326">
    <w:abstractNumId w:val="23"/>
  </w:num>
  <w:num w:numId="4" w16cid:durableId="742025581">
    <w:abstractNumId w:val="10"/>
  </w:num>
  <w:num w:numId="5" w16cid:durableId="508101747">
    <w:abstractNumId w:val="9"/>
  </w:num>
  <w:num w:numId="6" w16cid:durableId="9062573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39281768">
    <w:abstractNumId w:val="25"/>
  </w:num>
  <w:num w:numId="8" w16cid:durableId="2356767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926772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0386555">
    <w:abstractNumId w:val="17"/>
  </w:num>
  <w:num w:numId="11" w16cid:durableId="1494566792">
    <w:abstractNumId w:val="1"/>
  </w:num>
  <w:num w:numId="12" w16cid:durableId="1298729899">
    <w:abstractNumId w:val="8"/>
  </w:num>
  <w:num w:numId="13" w16cid:durableId="1776486181">
    <w:abstractNumId w:val="4"/>
  </w:num>
  <w:num w:numId="14" w16cid:durableId="1958170778">
    <w:abstractNumId w:val="21"/>
  </w:num>
  <w:num w:numId="15" w16cid:durableId="365646617">
    <w:abstractNumId w:val="16"/>
  </w:num>
  <w:num w:numId="16" w16cid:durableId="27143286">
    <w:abstractNumId w:val="6"/>
  </w:num>
  <w:num w:numId="17" w16cid:durableId="49351560">
    <w:abstractNumId w:val="18"/>
  </w:num>
  <w:num w:numId="18" w16cid:durableId="180511755">
    <w:abstractNumId w:val="0"/>
  </w:num>
  <w:num w:numId="19" w16cid:durableId="953905643">
    <w:abstractNumId w:val="3"/>
  </w:num>
  <w:num w:numId="20" w16cid:durableId="392194862">
    <w:abstractNumId w:val="15"/>
  </w:num>
  <w:num w:numId="21" w16cid:durableId="607082744">
    <w:abstractNumId w:val="11"/>
  </w:num>
  <w:num w:numId="22" w16cid:durableId="435907608">
    <w:abstractNumId w:val="5"/>
  </w:num>
  <w:num w:numId="23" w16cid:durableId="1932737620">
    <w:abstractNumId w:val="7"/>
  </w:num>
  <w:num w:numId="24" w16cid:durableId="950429253">
    <w:abstractNumId w:val="14"/>
  </w:num>
  <w:num w:numId="25" w16cid:durableId="1868440983">
    <w:abstractNumId w:val="13"/>
  </w:num>
  <w:num w:numId="26" w16cid:durableId="191842486">
    <w:abstractNumId w:val="22"/>
  </w:num>
  <w:num w:numId="27" w16cid:durableId="1248537577">
    <w:abstractNumId w:val="20"/>
  </w:num>
  <w:num w:numId="28" w16cid:durableId="420108126">
    <w:abstractNumId w:val="24"/>
  </w:num>
  <w:num w:numId="29" w16cid:durableId="3249368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activeWritingStyle w:appName="MSWord" w:lang="en-GB" w:vendorID="64" w:dllVersion="6" w:nlCheck="1" w:checkStyle="0"/>
  <w:activeWritingStyle w:appName="MSWord" w:lang="en-US" w:vendorID="64" w:dllVersion="6" w:nlCheck="1" w:checkStyle="0"/>
  <w:activeWritingStyle w:appName="MSWord" w:lang="en-ZA" w:vendorID="64" w:dllVersion="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6A8"/>
    <w:rsid w:val="00000B8C"/>
    <w:rsid w:val="000017BA"/>
    <w:rsid w:val="0000452E"/>
    <w:rsid w:val="00004B2E"/>
    <w:rsid w:val="00005A44"/>
    <w:rsid w:val="0000633E"/>
    <w:rsid w:val="00006D46"/>
    <w:rsid w:val="00007593"/>
    <w:rsid w:val="00007F15"/>
    <w:rsid w:val="00012781"/>
    <w:rsid w:val="0001286D"/>
    <w:rsid w:val="00012A18"/>
    <w:rsid w:val="00013845"/>
    <w:rsid w:val="00013F26"/>
    <w:rsid w:val="00013F71"/>
    <w:rsid w:val="000158CB"/>
    <w:rsid w:val="00015913"/>
    <w:rsid w:val="0001638B"/>
    <w:rsid w:val="000176F3"/>
    <w:rsid w:val="0002035A"/>
    <w:rsid w:val="000206C6"/>
    <w:rsid w:val="000235CA"/>
    <w:rsid w:val="00023D43"/>
    <w:rsid w:val="00026395"/>
    <w:rsid w:val="00026CCB"/>
    <w:rsid w:val="000324B4"/>
    <w:rsid w:val="00032E89"/>
    <w:rsid w:val="00034996"/>
    <w:rsid w:val="000363C4"/>
    <w:rsid w:val="00040CDC"/>
    <w:rsid w:val="000410CB"/>
    <w:rsid w:val="000417D8"/>
    <w:rsid w:val="00041E02"/>
    <w:rsid w:val="00041FF8"/>
    <w:rsid w:val="00042399"/>
    <w:rsid w:val="00044098"/>
    <w:rsid w:val="00044644"/>
    <w:rsid w:val="00044D86"/>
    <w:rsid w:val="0004588E"/>
    <w:rsid w:val="00045AB1"/>
    <w:rsid w:val="00045BCB"/>
    <w:rsid w:val="00045F21"/>
    <w:rsid w:val="00046BC8"/>
    <w:rsid w:val="00046DD6"/>
    <w:rsid w:val="00047A30"/>
    <w:rsid w:val="0005076C"/>
    <w:rsid w:val="00051D86"/>
    <w:rsid w:val="00052665"/>
    <w:rsid w:val="00053B4E"/>
    <w:rsid w:val="00053F59"/>
    <w:rsid w:val="000541ED"/>
    <w:rsid w:val="00055FB9"/>
    <w:rsid w:val="00056306"/>
    <w:rsid w:val="000565E0"/>
    <w:rsid w:val="0005718D"/>
    <w:rsid w:val="000611DC"/>
    <w:rsid w:val="00063047"/>
    <w:rsid w:val="00063239"/>
    <w:rsid w:val="00065C35"/>
    <w:rsid w:val="000672D1"/>
    <w:rsid w:val="00070079"/>
    <w:rsid w:val="00070D60"/>
    <w:rsid w:val="00071089"/>
    <w:rsid w:val="000713CF"/>
    <w:rsid w:val="000715CB"/>
    <w:rsid w:val="00072435"/>
    <w:rsid w:val="00075708"/>
    <w:rsid w:val="000803CB"/>
    <w:rsid w:val="00080BFA"/>
    <w:rsid w:val="0008114E"/>
    <w:rsid w:val="00081D17"/>
    <w:rsid w:val="00081DB4"/>
    <w:rsid w:val="00082886"/>
    <w:rsid w:val="000832B2"/>
    <w:rsid w:val="00083E3F"/>
    <w:rsid w:val="0008419F"/>
    <w:rsid w:val="00085ECF"/>
    <w:rsid w:val="000874CB"/>
    <w:rsid w:val="00090F1C"/>
    <w:rsid w:val="00092485"/>
    <w:rsid w:val="00092C48"/>
    <w:rsid w:val="000930E8"/>
    <w:rsid w:val="000934F2"/>
    <w:rsid w:val="000956FF"/>
    <w:rsid w:val="00096022"/>
    <w:rsid w:val="00097E4F"/>
    <w:rsid w:val="000A134C"/>
    <w:rsid w:val="000A19F0"/>
    <w:rsid w:val="000A1FAF"/>
    <w:rsid w:val="000A3564"/>
    <w:rsid w:val="000A36B8"/>
    <w:rsid w:val="000A37BF"/>
    <w:rsid w:val="000A3F40"/>
    <w:rsid w:val="000A4529"/>
    <w:rsid w:val="000A49CD"/>
    <w:rsid w:val="000A59A0"/>
    <w:rsid w:val="000A5AD5"/>
    <w:rsid w:val="000A5AF8"/>
    <w:rsid w:val="000A6572"/>
    <w:rsid w:val="000A678A"/>
    <w:rsid w:val="000A6E89"/>
    <w:rsid w:val="000A731F"/>
    <w:rsid w:val="000B2477"/>
    <w:rsid w:val="000B3C04"/>
    <w:rsid w:val="000B3C27"/>
    <w:rsid w:val="000B4699"/>
    <w:rsid w:val="000B4CA7"/>
    <w:rsid w:val="000B4D56"/>
    <w:rsid w:val="000B5B3C"/>
    <w:rsid w:val="000B5D45"/>
    <w:rsid w:val="000B5EC0"/>
    <w:rsid w:val="000C56B3"/>
    <w:rsid w:val="000C6C70"/>
    <w:rsid w:val="000D0F5D"/>
    <w:rsid w:val="000D15BD"/>
    <w:rsid w:val="000D3633"/>
    <w:rsid w:val="000D4B5B"/>
    <w:rsid w:val="000D604C"/>
    <w:rsid w:val="000D71D1"/>
    <w:rsid w:val="000D72CE"/>
    <w:rsid w:val="000D78D8"/>
    <w:rsid w:val="000D7C9F"/>
    <w:rsid w:val="000E02D8"/>
    <w:rsid w:val="000E0E2C"/>
    <w:rsid w:val="000E0ECB"/>
    <w:rsid w:val="000E54D2"/>
    <w:rsid w:val="000E5CF3"/>
    <w:rsid w:val="000E64E1"/>
    <w:rsid w:val="000E6743"/>
    <w:rsid w:val="000E7137"/>
    <w:rsid w:val="000F239E"/>
    <w:rsid w:val="000F3A72"/>
    <w:rsid w:val="000F4395"/>
    <w:rsid w:val="000F5F9D"/>
    <w:rsid w:val="000F6959"/>
    <w:rsid w:val="000F69AA"/>
    <w:rsid w:val="00100B25"/>
    <w:rsid w:val="0010159A"/>
    <w:rsid w:val="00101969"/>
    <w:rsid w:val="00101BA4"/>
    <w:rsid w:val="00104DF9"/>
    <w:rsid w:val="00106F23"/>
    <w:rsid w:val="00111A06"/>
    <w:rsid w:val="001124E1"/>
    <w:rsid w:val="0011291A"/>
    <w:rsid w:val="00112F81"/>
    <w:rsid w:val="00112F9D"/>
    <w:rsid w:val="00112FF4"/>
    <w:rsid w:val="0011457D"/>
    <w:rsid w:val="0011689D"/>
    <w:rsid w:val="00117233"/>
    <w:rsid w:val="00117E26"/>
    <w:rsid w:val="001206E3"/>
    <w:rsid w:val="00120BD8"/>
    <w:rsid w:val="001221C2"/>
    <w:rsid w:val="00122AF8"/>
    <w:rsid w:val="00122AFC"/>
    <w:rsid w:val="0012356F"/>
    <w:rsid w:val="00125DDE"/>
    <w:rsid w:val="00127822"/>
    <w:rsid w:val="00127EE8"/>
    <w:rsid w:val="001308A6"/>
    <w:rsid w:val="00131748"/>
    <w:rsid w:val="00132753"/>
    <w:rsid w:val="001332D2"/>
    <w:rsid w:val="001340F0"/>
    <w:rsid w:val="001346CF"/>
    <w:rsid w:val="00134AA9"/>
    <w:rsid w:val="001351A5"/>
    <w:rsid w:val="00140E2C"/>
    <w:rsid w:val="00142418"/>
    <w:rsid w:val="00142D20"/>
    <w:rsid w:val="0014505A"/>
    <w:rsid w:val="00145C17"/>
    <w:rsid w:val="00147BBC"/>
    <w:rsid w:val="00150347"/>
    <w:rsid w:val="0015042C"/>
    <w:rsid w:val="00150AAA"/>
    <w:rsid w:val="001522BF"/>
    <w:rsid w:val="001522E1"/>
    <w:rsid w:val="001525CE"/>
    <w:rsid w:val="0015309C"/>
    <w:rsid w:val="00154A98"/>
    <w:rsid w:val="00154D4D"/>
    <w:rsid w:val="00156807"/>
    <w:rsid w:val="00157DE0"/>
    <w:rsid w:val="00160CFF"/>
    <w:rsid w:val="00161DE4"/>
    <w:rsid w:val="00162D59"/>
    <w:rsid w:val="00164080"/>
    <w:rsid w:val="0016496E"/>
    <w:rsid w:val="00166BE2"/>
    <w:rsid w:val="001701E2"/>
    <w:rsid w:val="00170B08"/>
    <w:rsid w:val="00174ECE"/>
    <w:rsid w:val="0017564E"/>
    <w:rsid w:val="00180C68"/>
    <w:rsid w:val="00183965"/>
    <w:rsid w:val="0018563F"/>
    <w:rsid w:val="00185E70"/>
    <w:rsid w:val="00186FE7"/>
    <w:rsid w:val="001879AC"/>
    <w:rsid w:val="00187E92"/>
    <w:rsid w:val="001929B7"/>
    <w:rsid w:val="00192DFD"/>
    <w:rsid w:val="001936BB"/>
    <w:rsid w:val="001936EE"/>
    <w:rsid w:val="00193E19"/>
    <w:rsid w:val="00194E30"/>
    <w:rsid w:val="00196272"/>
    <w:rsid w:val="001A0211"/>
    <w:rsid w:val="001A18A5"/>
    <w:rsid w:val="001A3718"/>
    <w:rsid w:val="001A426A"/>
    <w:rsid w:val="001A5E34"/>
    <w:rsid w:val="001A7D35"/>
    <w:rsid w:val="001B087E"/>
    <w:rsid w:val="001B154A"/>
    <w:rsid w:val="001B271A"/>
    <w:rsid w:val="001B39E5"/>
    <w:rsid w:val="001B54C1"/>
    <w:rsid w:val="001B554E"/>
    <w:rsid w:val="001B55D9"/>
    <w:rsid w:val="001B567B"/>
    <w:rsid w:val="001B60B6"/>
    <w:rsid w:val="001C119B"/>
    <w:rsid w:val="001C292E"/>
    <w:rsid w:val="001C3512"/>
    <w:rsid w:val="001C3538"/>
    <w:rsid w:val="001C3668"/>
    <w:rsid w:val="001C4A09"/>
    <w:rsid w:val="001C4D92"/>
    <w:rsid w:val="001C5D43"/>
    <w:rsid w:val="001C609A"/>
    <w:rsid w:val="001C7CBD"/>
    <w:rsid w:val="001C7E0D"/>
    <w:rsid w:val="001D012E"/>
    <w:rsid w:val="001D1352"/>
    <w:rsid w:val="001D48AD"/>
    <w:rsid w:val="001D71E0"/>
    <w:rsid w:val="001D770F"/>
    <w:rsid w:val="001E2187"/>
    <w:rsid w:val="001E3002"/>
    <w:rsid w:val="001E3272"/>
    <w:rsid w:val="001E4F4F"/>
    <w:rsid w:val="001E5012"/>
    <w:rsid w:val="001E6FD5"/>
    <w:rsid w:val="001E758B"/>
    <w:rsid w:val="001F1B89"/>
    <w:rsid w:val="001F2044"/>
    <w:rsid w:val="001F2478"/>
    <w:rsid w:val="001F24DD"/>
    <w:rsid w:val="001F3D61"/>
    <w:rsid w:val="001F4034"/>
    <w:rsid w:val="001F5D70"/>
    <w:rsid w:val="002050FB"/>
    <w:rsid w:val="00206D30"/>
    <w:rsid w:val="00207736"/>
    <w:rsid w:val="00212AFF"/>
    <w:rsid w:val="00212EAB"/>
    <w:rsid w:val="00213E80"/>
    <w:rsid w:val="00214117"/>
    <w:rsid w:val="002144E7"/>
    <w:rsid w:val="0021532A"/>
    <w:rsid w:val="00215340"/>
    <w:rsid w:val="00215B62"/>
    <w:rsid w:val="00216451"/>
    <w:rsid w:val="0021656D"/>
    <w:rsid w:val="00216DEB"/>
    <w:rsid w:val="0021755E"/>
    <w:rsid w:val="0022009C"/>
    <w:rsid w:val="00220F3B"/>
    <w:rsid w:val="002210BF"/>
    <w:rsid w:val="00222CEF"/>
    <w:rsid w:val="00226526"/>
    <w:rsid w:val="00230814"/>
    <w:rsid w:val="00230DF1"/>
    <w:rsid w:val="00231079"/>
    <w:rsid w:val="00232A8E"/>
    <w:rsid w:val="002339B4"/>
    <w:rsid w:val="00233E55"/>
    <w:rsid w:val="00235873"/>
    <w:rsid w:val="00236087"/>
    <w:rsid w:val="0024301F"/>
    <w:rsid w:val="00244BEA"/>
    <w:rsid w:val="00244F0B"/>
    <w:rsid w:val="00246FC1"/>
    <w:rsid w:val="0025116F"/>
    <w:rsid w:val="00251BFB"/>
    <w:rsid w:val="002522D6"/>
    <w:rsid w:val="002539A2"/>
    <w:rsid w:val="002539B8"/>
    <w:rsid w:val="00254BE5"/>
    <w:rsid w:val="00255104"/>
    <w:rsid w:val="00257B41"/>
    <w:rsid w:val="00257E56"/>
    <w:rsid w:val="002601E8"/>
    <w:rsid w:val="00260D17"/>
    <w:rsid w:val="00260D1A"/>
    <w:rsid w:val="00261618"/>
    <w:rsid w:val="002621C1"/>
    <w:rsid w:val="00264716"/>
    <w:rsid w:val="00265058"/>
    <w:rsid w:val="002672A5"/>
    <w:rsid w:val="00267411"/>
    <w:rsid w:val="002705D2"/>
    <w:rsid w:val="002729D8"/>
    <w:rsid w:val="00273410"/>
    <w:rsid w:val="00274693"/>
    <w:rsid w:val="0027774A"/>
    <w:rsid w:val="0028103E"/>
    <w:rsid w:val="002813D8"/>
    <w:rsid w:val="00281874"/>
    <w:rsid w:val="002818B1"/>
    <w:rsid w:val="002820B5"/>
    <w:rsid w:val="00282B15"/>
    <w:rsid w:val="00283413"/>
    <w:rsid w:val="0028349D"/>
    <w:rsid w:val="0028363A"/>
    <w:rsid w:val="0028397B"/>
    <w:rsid w:val="002848C2"/>
    <w:rsid w:val="0028627F"/>
    <w:rsid w:val="00286CA7"/>
    <w:rsid w:val="00291000"/>
    <w:rsid w:val="00291B13"/>
    <w:rsid w:val="00292422"/>
    <w:rsid w:val="00292A7A"/>
    <w:rsid w:val="00294047"/>
    <w:rsid w:val="002940B9"/>
    <w:rsid w:val="002948C9"/>
    <w:rsid w:val="00294FE9"/>
    <w:rsid w:val="00296734"/>
    <w:rsid w:val="00296AE5"/>
    <w:rsid w:val="002976C6"/>
    <w:rsid w:val="00297CB0"/>
    <w:rsid w:val="00297E4B"/>
    <w:rsid w:val="002A0D22"/>
    <w:rsid w:val="002A3236"/>
    <w:rsid w:val="002A40EE"/>
    <w:rsid w:val="002A452D"/>
    <w:rsid w:val="002A4941"/>
    <w:rsid w:val="002A57EF"/>
    <w:rsid w:val="002A6DD4"/>
    <w:rsid w:val="002B020E"/>
    <w:rsid w:val="002B1690"/>
    <w:rsid w:val="002B5165"/>
    <w:rsid w:val="002B61A6"/>
    <w:rsid w:val="002C03EB"/>
    <w:rsid w:val="002C0738"/>
    <w:rsid w:val="002C0AAB"/>
    <w:rsid w:val="002C1526"/>
    <w:rsid w:val="002C2AB6"/>
    <w:rsid w:val="002C50D8"/>
    <w:rsid w:val="002C52AC"/>
    <w:rsid w:val="002C5803"/>
    <w:rsid w:val="002C71A7"/>
    <w:rsid w:val="002C7405"/>
    <w:rsid w:val="002D043B"/>
    <w:rsid w:val="002D0479"/>
    <w:rsid w:val="002D17B2"/>
    <w:rsid w:val="002D193B"/>
    <w:rsid w:val="002D1952"/>
    <w:rsid w:val="002D1BD2"/>
    <w:rsid w:val="002D285C"/>
    <w:rsid w:val="002D48DF"/>
    <w:rsid w:val="002D4AC5"/>
    <w:rsid w:val="002D4BB7"/>
    <w:rsid w:val="002D4C00"/>
    <w:rsid w:val="002D4E97"/>
    <w:rsid w:val="002D66F9"/>
    <w:rsid w:val="002E19A5"/>
    <w:rsid w:val="002E202D"/>
    <w:rsid w:val="002E2D5A"/>
    <w:rsid w:val="002E5125"/>
    <w:rsid w:val="002E5161"/>
    <w:rsid w:val="002E5769"/>
    <w:rsid w:val="002E69C8"/>
    <w:rsid w:val="002E6AD8"/>
    <w:rsid w:val="002E7AC1"/>
    <w:rsid w:val="002E7AD6"/>
    <w:rsid w:val="002F0CFA"/>
    <w:rsid w:val="002F23CF"/>
    <w:rsid w:val="002F3F1A"/>
    <w:rsid w:val="002F4682"/>
    <w:rsid w:val="002F575E"/>
    <w:rsid w:val="002F660B"/>
    <w:rsid w:val="002F6C3C"/>
    <w:rsid w:val="002F7621"/>
    <w:rsid w:val="00300CF5"/>
    <w:rsid w:val="00300CF8"/>
    <w:rsid w:val="003019DC"/>
    <w:rsid w:val="0030600D"/>
    <w:rsid w:val="003064BF"/>
    <w:rsid w:val="00310AC5"/>
    <w:rsid w:val="0031100A"/>
    <w:rsid w:val="00314226"/>
    <w:rsid w:val="00314953"/>
    <w:rsid w:val="00314B4C"/>
    <w:rsid w:val="0031678C"/>
    <w:rsid w:val="003168D6"/>
    <w:rsid w:val="00316C65"/>
    <w:rsid w:val="003170CC"/>
    <w:rsid w:val="003175B4"/>
    <w:rsid w:val="00322A09"/>
    <w:rsid w:val="00323D51"/>
    <w:rsid w:val="00332718"/>
    <w:rsid w:val="00332E31"/>
    <w:rsid w:val="00333878"/>
    <w:rsid w:val="00335A76"/>
    <w:rsid w:val="00336FD1"/>
    <w:rsid w:val="00340F30"/>
    <w:rsid w:val="00341B67"/>
    <w:rsid w:val="00345192"/>
    <w:rsid w:val="00345733"/>
    <w:rsid w:val="00346997"/>
    <w:rsid w:val="00346C63"/>
    <w:rsid w:val="00346FC7"/>
    <w:rsid w:val="003473F0"/>
    <w:rsid w:val="003477F2"/>
    <w:rsid w:val="00350383"/>
    <w:rsid w:val="003535D0"/>
    <w:rsid w:val="00354480"/>
    <w:rsid w:val="0035549B"/>
    <w:rsid w:val="00357D59"/>
    <w:rsid w:val="00360A37"/>
    <w:rsid w:val="00361999"/>
    <w:rsid w:val="003646ED"/>
    <w:rsid w:val="00365BB3"/>
    <w:rsid w:val="0036643C"/>
    <w:rsid w:val="00373007"/>
    <w:rsid w:val="003737B0"/>
    <w:rsid w:val="00374E4A"/>
    <w:rsid w:val="0037547B"/>
    <w:rsid w:val="00375B44"/>
    <w:rsid w:val="00375D90"/>
    <w:rsid w:val="00380224"/>
    <w:rsid w:val="0038196E"/>
    <w:rsid w:val="0038245A"/>
    <w:rsid w:val="00382DA6"/>
    <w:rsid w:val="00382FAE"/>
    <w:rsid w:val="00383C3A"/>
    <w:rsid w:val="003856A1"/>
    <w:rsid w:val="00386526"/>
    <w:rsid w:val="00386BA5"/>
    <w:rsid w:val="00390817"/>
    <w:rsid w:val="00390B63"/>
    <w:rsid w:val="00392590"/>
    <w:rsid w:val="0039296B"/>
    <w:rsid w:val="00393BBD"/>
    <w:rsid w:val="00394A99"/>
    <w:rsid w:val="00395F35"/>
    <w:rsid w:val="00397C6C"/>
    <w:rsid w:val="003A3610"/>
    <w:rsid w:val="003A3C05"/>
    <w:rsid w:val="003A3DC0"/>
    <w:rsid w:val="003A6A3D"/>
    <w:rsid w:val="003B0F74"/>
    <w:rsid w:val="003B18E3"/>
    <w:rsid w:val="003B1BA9"/>
    <w:rsid w:val="003B32F7"/>
    <w:rsid w:val="003B50D4"/>
    <w:rsid w:val="003B51F0"/>
    <w:rsid w:val="003B5843"/>
    <w:rsid w:val="003C2D48"/>
    <w:rsid w:val="003C30AA"/>
    <w:rsid w:val="003C30D7"/>
    <w:rsid w:val="003C67CD"/>
    <w:rsid w:val="003D0B82"/>
    <w:rsid w:val="003D6896"/>
    <w:rsid w:val="003D69C2"/>
    <w:rsid w:val="003D7610"/>
    <w:rsid w:val="003D7F34"/>
    <w:rsid w:val="003E01E4"/>
    <w:rsid w:val="003E2D7F"/>
    <w:rsid w:val="003E6AAF"/>
    <w:rsid w:val="003E7D46"/>
    <w:rsid w:val="003F0F41"/>
    <w:rsid w:val="003F1021"/>
    <w:rsid w:val="003F10D1"/>
    <w:rsid w:val="003F2339"/>
    <w:rsid w:val="003F3614"/>
    <w:rsid w:val="003F6DA7"/>
    <w:rsid w:val="00402425"/>
    <w:rsid w:val="004027B9"/>
    <w:rsid w:val="00402D6A"/>
    <w:rsid w:val="004056C4"/>
    <w:rsid w:val="00406581"/>
    <w:rsid w:val="00406E12"/>
    <w:rsid w:val="004104F6"/>
    <w:rsid w:val="00412441"/>
    <w:rsid w:val="00413D9C"/>
    <w:rsid w:val="0042065F"/>
    <w:rsid w:val="00421BE1"/>
    <w:rsid w:val="00423D3C"/>
    <w:rsid w:val="00424638"/>
    <w:rsid w:val="00425C83"/>
    <w:rsid w:val="00426A8F"/>
    <w:rsid w:val="0042771B"/>
    <w:rsid w:val="00427D39"/>
    <w:rsid w:val="004302B0"/>
    <w:rsid w:val="00430AED"/>
    <w:rsid w:val="00434981"/>
    <w:rsid w:val="004349D2"/>
    <w:rsid w:val="00435106"/>
    <w:rsid w:val="00437396"/>
    <w:rsid w:val="00437EA4"/>
    <w:rsid w:val="0044303B"/>
    <w:rsid w:val="004435E2"/>
    <w:rsid w:val="004438FE"/>
    <w:rsid w:val="00443EE1"/>
    <w:rsid w:val="0044596C"/>
    <w:rsid w:val="0044600B"/>
    <w:rsid w:val="004466A8"/>
    <w:rsid w:val="00446737"/>
    <w:rsid w:val="004470A0"/>
    <w:rsid w:val="00447C74"/>
    <w:rsid w:val="0045041E"/>
    <w:rsid w:val="00450E14"/>
    <w:rsid w:val="00450EEB"/>
    <w:rsid w:val="004537F5"/>
    <w:rsid w:val="00460C59"/>
    <w:rsid w:val="00460CEE"/>
    <w:rsid w:val="00461CEF"/>
    <w:rsid w:val="00461D74"/>
    <w:rsid w:val="00462BF0"/>
    <w:rsid w:val="004630E4"/>
    <w:rsid w:val="00463B32"/>
    <w:rsid w:val="00463B8B"/>
    <w:rsid w:val="0047086F"/>
    <w:rsid w:val="004716DD"/>
    <w:rsid w:val="00473375"/>
    <w:rsid w:val="0047436C"/>
    <w:rsid w:val="00474A1F"/>
    <w:rsid w:val="00475381"/>
    <w:rsid w:val="00476EC3"/>
    <w:rsid w:val="0047705C"/>
    <w:rsid w:val="00477A24"/>
    <w:rsid w:val="00480750"/>
    <w:rsid w:val="00481070"/>
    <w:rsid w:val="0048171F"/>
    <w:rsid w:val="00483920"/>
    <w:rsid w:val="00483E9E"/>
    <w:rsid w:val="00484AAC"/>
    <w:rsid w:val="00484BED"/>
    <w:rsid w:val="0048583D"/>
    <w:rsid w:val="00486792"/>
    <w:rsid w:val="004868DD"/>
    <w:rsid w:val="00487B5C"/>
    <w:rsid w:val="004916C9"/>
    <w:rsid w:val="004938C5"/>
    <w:rsid w:val="004951F0"/>
    <w:rsid w:val="00495400"/>
    <w:rsid w:val="0049561B"/>
    <w:rsid w:val="00495C30"/>
    <w:rsid w:val="004A0072"/>
    <w:rsid w:val="004A0263"/>
    <w:rsid w:val="004A02ED"/>
    <w:rsid w:val="004A03E8"/>
    <w:rsid w:val="004A0D82"/>
    <w:rsid w:val="004A0E60"/>
    <w:rsid w:val="004A1258"/>
    <w:rsid w:val="004A23A7"/>
    <w:rsid w:val="004A2E3C"/>
    <w:rsid w:val="004A3DE8"/>
    <w:rsid w:val="004A417D"/>
    <w:rsid w:val="004A6014"/>
    <w:rsid w:val="004A63F1"/>
    <w:rsid w:val="004A7566"/>
    <w:rsid w:val="004B0045"/>
    <w:rsid w:val="004B0E88"/>
    <w:rsid w:val="004B125B"/>
    <w:rsid w:val="004B182B"/>
    <w:rsid w:val="004B27AC"/>
    <w:rsid w:val="004B36C2"/>
    <w:rsid w:val="004B376D"/>
    <w:rsid w:val="004B4EC8"/>
    <w:rsid w:val="004C054F"/>
    <w:rsid w:val="004C266E"/>
    <w:rsid w:val="004C3A65"/>
    <w:rsid w:val="004C78D1"/>
    <w:rsid w:val="004D25DA"/>
    <w:rsid w:val="004D2C2D"/>
    <w:rsid w:val="004D2F7D"/>
    <w:rsid w:val="004D3ABB"/>
    <w:rsid w:val="004D3DD1"/>
    <w:rsid w:val="004D4436"/>
    <w:rsid w:val="004E016E"/>
    <w:rsid w:val="004E101C"/>
    <w:rsid w:val="004E2D30"/>
    <w:rsid w:val="004E45C3"/>
    <w:rsid w:val="004E72CB"/>
    <w:rsid w:val="004F16B1"/>
    <w:rsid w:val="005018DD"/>
    <w:rsid w:val="00501C40"/>
    <w:rsid w:val="00501D7E"/>
    <w:rsid w:val="005023C6"/>
    <w:rsid w:val="005056AE"/>
    <w:rsid w:val="00506B6B"/>
    <w:rsid w:val="005109B0"/>
    <w:rsid w:val="00510E3A"/>
    <w:rsid w:val="005131A8"/>
    <w:rsid w:val="00515C92"/>
    <w:rsid w:val="005169E8"/>
    <w:rsid w:val="00517392"/>
    <w:rsid w:val="005178A1"/>
    <w:rsid w:val="00517D2D"/>
    <w:rsid w:val="00517E23"/>
    <w:rsid w:val="005201CF"/>
    <w:rsid w:val="00521645"/>
    <w:rsid w:val="00521FA6"/>
    <w:rsid w:val="00523169"/>
    <w:rsid w:val="005233B8"/>
    <w:rsid w:val="005235A5"/>
    <w:rsid w:val="00523698"/>
    <w:rsid w:val="00524AD4"/>
    <w:rsid w:val="005256DB"/>
    <w:rsid w:val="00525E79"/>
    <w:rsid w:val="00532C9A"/>
    <w:rsid w:val="00540059"/>
    <w:rsid w:val="00541167"/>
    <w:rsid w:val="00542D2C"/>
    <w:rsid w:val="005431E5"/>
    <w:rsid w:val="00543BAB"/>
    <w:rsid w:val="00547A91"/>
    <w:rsid w:val="0055018E"/>
    <w:rsid w:val="00550B3B"/>
    <w:rsid w:val="00552ECB"/>
    <w:rsid w:val="00556732"/>
    <w:rsid w:val="005576B4"/>
    <w:rsid w:val="00557AA9"/>
    <w:rsid w:val="00557BC6"/>
    <w:rsid w:val="00557E37"/>
    <w:rsid w:val="005601D1"/>
    <w:rsid w:val="00562C83"/>
    <w:rsid w:val="00562D0A"/>
    <w:rsid w:val="00566203"/>
    <w:rsid w:val="005663C0"/>
    <w:rsid w:val="005664A7"/>
    <w:rsid w:val="00567DB7"/>
    <w:rsid w:val="00567DE3"/>
    <w:rsid w:val="005708AA"/>
    <w:rsid w:val="0057253E"/>
    <w:rsid w:val="0057256F"/>
    <w:rsid w:val="005726BA"/>
    <w:rsid w:val="00572B41"/>
    <w:rsid w:val="005735F4"/>
    <w:rsid w:val="00574C5E"/>
    <w:rsid w:val="00575287"/>
    <w:rsid w:val="00576B53"/>
    <w:rsid w:val="0058046B"/>
    <w:rsid w:val="0058264E"/>
    <w:rsid w:val="005828BD"/>
    <w:rsid w:val="00582DCE"/>
    <w:rsid w:val="00583891"/>
    <w:rsid w:val="005838F1"/>
    <w:rsid w:val="00585EE0"/>
    <w:rsid w:val="0059028F"/>
    <w:rsid w:val="005909E4"/>
    <w:rsid w:val="00590D8C"/>
    <w:rsid w:val="0059103D"/>
    <w:rsid w:val="00591EE2"/>
    <w:rsid w:val="00592087"/>
    <w:rsid w:val="005923DE"/>
    <w:rsid w:val="00593F77"/>
    <w:rsid w:val="00596C62"/>
    <w:rsid w:val="00596FBE"/>
    <w:rsid w:val="00597D59"/>
    <w:rsid w:val="005A1E63"/>
    <w:rsid w:val="005A651A"/>
    <w:rsid w:val="005A6757"/>
    <w:rsid w:val="005A6FDC"/>
    <w:rsid w:val="005A7CBD"/>
    <w:rsid w:val="005B1D2D"/>
    <w:rsid w:val="005B3CC3"/>
    <w:rsid w:val="005B519F"/>
    <w:rsid w:val="005B535D"/>
    <w:rsid w:val="005B7878"/>
    <w:rsid w:val="005C0665"/>
    <w:rsid w:val="005C115A"/>
    <w:rsid w:val="005C2295"/>
    <w:rsid w:val="005C29A9"/>
    <w:rsid w:val="005C342D"/>
    <w:rsid w:val="005C3A35"/>
    <w:rsid w:val="005C7688"/>
    <w:rsid w:val="005D0C5E"/>
    <w:rsid w:val="005D0F05"/>
    <w:rsid w:val="005D3750"/>
    <w:rsid w:val="005D3D9A"/>
    <w:rsid w:val="005D78C3"/>
    <w:rsid w:val="005E3212"/>
    <w:rsid w:val="005E38CD"/>
    <w:rsid w:val="005E3D86"/>
    <w:rsid w:val="005E40DE"/>
    <w:rsid w:val="005E5AB7"/>
    <w:rsid w:val="005E5BBA"/>
    <w:rsid w:val="005E6BFC"/>
    <w:rsid w:val="005E716A"/>
    <w:rsid w:val="005F2C06"/>
    <w:rsid w:val="005F37A0"/>
    <w:rsid w:val="005F3D31"/>
    <w:rsid w:val="006002CD"/>
    <w:rsid w:val="006004A1"/>
    <w:rsid w:val="00603BFB"/>
    <w:rsid w:val="00603EBC"/>
    <w:rsid w:val="00604681"/>
    <w:rsid w:val="006055F8"/>
    <w:rsid w:val="00605ECF"/>
    <w:rsid w:val="006070D5"/>
    <w:rsid w:val="006077F3"/>
    <w:rsid w:val="00610DA5"/>
    <w:rsid w:val="00610F1F"/>
    <w:rsid w:val="00610FED"/>
    <w:rsid w:val="00611194"/>
    <w:rsid w:val="006113AD"/>
    <w:rsid w:val="0061200C"/>
    <w:rsid w:val="006123F4"/>
    <w:rsid w:val="00613581"/>
    <w:rsid w:val="006167C7"/>
    <w:rsid w:val="00617A4B"/>
    <w:rsid w:val="006215A5"/>
    <w:rsid w:val="00621B49"/>
    <w:rsid w:val="00622405"/>
    <w:rsid w:val="00622F91"/>
    <w:rsid w:val="006238F1"/>
    <w:rsid w:val="00623A92"/>
    <w:rsid w:val="00623B65"/>
    <w:rsid w:val="00624A79"/>
    <w:rsid w:val="00625637"/>
    <w:rsid w:val="00631257"/>
    <w:rsid w:val="00631344"/>
    <w:rsid w:val="006313A3"/>
    <w:rsid w:val="00632FEC"/>
    <w:rsid w:val="0063441C"/>
    <w:rsid w:val="006345DC"/>
    <w:rsid w:val="00636FF1"/>
    <w:rsid w:val="006403F2"/>
    <w:rsid w:val="00640548"/>
    <w:rsid w:val="0064081E"/>
    <w:rsid w:val="006417E4"/>
    <w:rsid w:val="0064212A"/>
    <w:rsid w:val="006423B2"/>
    <w:rsid w:val="006431AC"/>
    <w:rsid w:val="00644C73"/>
    <w:rsid w:val="00646CAC"/>
    <w:rsid w:val="00646D62"/>
    <w:rsid w:val="00650256"/>
    <w:rsid w:val="006502F7"/>
    <w:rsid w:val="006504FF"/>
    <w:rsid w:val="0065126B"/>
    <w:rsid w:val="006514A2"/>
    <w:rsid w:val="00652DC3"/>
    <w:rsid w:val="006536D9"/>
    <w:rsid w:val="006555CC"/>
    <w:rsid w:val="00656ECF"/>
    <w:rsid w:val="0065766D"/>
    <w:rsid w:val="00664460"/>
    <w:rsid w:val="00665F15"/>
    <w:rsid w:val="00666963"/>
    <w:rsid w:val="006707C2"/>
    <w:rsid w:val="006727E5"/>
    <w:rsid w:val="00672B56"/>
    <w:rsid w:val="00672B75"/>
    <w:rsid w:val="00673136"/>
    <w:rsid w:val="006739E2"/>
    <w:rsid w:val="006744D5"/>
    <w:rsid w:val="00674883"/>
    <w:rsid w:val="006774F1"/>
    <w:rsid w:val="0068100B"/>
    <w:rsid w:val="00681696"/>
    <w:rsid w:val="0068415D"/>
    <w:rsid w:val="00684C25"/>
    <w:rsid w:val="00685C1E"/>
    <w:rsid w:val="00690583"/>
    <w:rsid w:val="00690D94"/>
    <w:rsid w:val="00692F62"/>
    <w:rsid w:val="006934C3"/>
    <w:rsid w:val="006A003D"/>
    <w:rsid w:val="006A1DBF"/>
    <w:rsid w:val="006A28A5"/>
    <w:rsid w:val="006A3147"/>
    <w:rsid w:val="006A38D3"/>
    <w:rsid w:val="006A4026"/>
    <w:rsid w:val="006A488F"/>
    <w:rsid w:val="006A5242"/>
    <w:rsid w:val="006A5774"/>
    <w:rsid w:val="006A6FCC"/>
    <w:rsid w:val="006A778B"/>
    <w:rsid w:val="006A782B"/>
    <w:rsid w:val="006B0FE1"/>
    <w:rsid w:val="006B10F8"/>
    <w:rsid w:val="006B1A6A"/>
    <w:rsid w:val="006B2F6C"/>
    <w:rsid w:val="006B508D"/>
    <w:rsid w:val="006B6A3E"/>
    <w:rsid w:val="006B6D89"/>
    <w:rsid w:val="006C03E4"/>
    <w:rsid w:val="006C1111"/>
    <w:rsid w:val="006C118A"/>
    <w:rsid w:val="006C2FFD"/>
    <w:rsid w:val="006C437A"/>
    <w:rsid w:val="006C4EF2"/>
    <w:rsid w:val="006C581D"/>
    <w:rsid w:val="006C5A0D"/>
    <w:rsid w:val="006C7823"/>
    <w:rsid w:val="006C7B4E"/>
    <w:rsid w:val="006D09DD"/>
    <w:rsid w:val="006D4F54"/>
    <w:rsid w:val="006D6E5E"/>
    <w:rsid w:val="006E0166"/>
    <w:rsid w:val="006E0FD3"/>
    <w:rsid w:val="006E339E"/>
    <w:rsid w:val="006E54A6"/>
    <w:rsid w:val="006E6367"/>
    <w:rsid w:val="006E71A2"/>
    <w:rsid w:val="006F0055"/>
    <w:rsid w:val="006F0465"/>
    <w:rsid w:val="006F0C35"/>
    <w:rsid w:val="006F0ED8"/>
    <w:rsid w:val="006F1848"/>
    <w:rsid w:val="006F1D3F"/>
    <w:rsid w:val="006F4484"/>
    <w:rsid w:val="006F48B1"/>
    <w:rsid w:val="006F4A7F"/>
    <w:rsid w:val="006F5F46"/>
    <w:rsid w:val="006F6684"/>
    <w:rsid w:val="006F6B2B"/>
    <w:rsid w:val="006F7938"/>
    <w:rsid w:val="006F7F3F"/>
    <w:rsid w:val="00703FF5"/>
    <w:rsid w:val="00704A22"/>
    <w:rsid w:val="00704FE8"/>
    <w:rsid w:val="0070682B"/>
    <w:rsid w:val="00706DAB"/>
    <w:rsid w:val="0070736B"/>
    <w:rsid w:val="00710BF3"/>
    <w:rsid w:val="00711712"/>
    <w:rsid w:val="00712C0D"/>
    <w:rsid w:val="007145CB"/>
    <w:rsid w:val="00714897"/>
    <w:rsid w:val="00714A2E"/>
    <w:rsid w:val="00715868"/>
    <w:rsid w:val="00715E25"/>
    <w:rsid w:val="0071798F"/>
    <w:rsid w:val="007235ED"/>
    <w:rsid w:val="00723E3A"/>
    <w:rsid w:val="0072663F"/>
    <w:rsid w:val="00727584"/>
    <w:rsid w:val="0073006D"/>
    <w:rsid w:val="00730D85"/>
    <w:rsid w:val="00731F7F"/>
    <w:rsid w:val="007320D0"/>
    <w:rsid w:val="00732E8E"/>
    <w:rsid w:val="00736435"/>
    <w:rsid w:val="007368DE"/>
    <w:rsid w:val="00736D32"/>
    <w:rsid w:val="007372BC"/>
    <w:rsid w:val="00737B3A"/>
    <w:rsid w:val="00737EDC"/>
    <w:rsid w:val="0074084B"/>
    <w:rsid w:val="00740C03"/>
    <w:rsid w:val="00740DF3"/>
    <w:rsid w:val="00744AB5"/>
    <w:rsid w:val="007450C9"/>
    <w:rsid w:val="007453D5"/>
    <w:rsid w:val="00747496"/>
    <w:rsid w:val="00750FC8"/>
    <w:rsid w:val="00753354"/>
    <w:rsid w:val="00755329"/>
    <w:rsid w:val="007559BB"/>
    <w:rsid w:val="00760E3B"/>
    <w:rsid w:val="007624FD"/>
    <w:rsid w:val="00765999"/>
    <w:rsid w:val="0076600C"/>
    <w:rsid w:val="007668F9"/>
    <w:rsid w:val="0076770E"/>
    <w:rsid w:val="00770B05"/>
    <w:rsid w:val="00771307"/>
    <w:rsid w:val="00773260"/>
    <w:rsid w:val="007744C7"/>
    <w:rsid w:val="00774FD3"/>
    <w:rsid w:val="007759E1"/>
    <w:rsid w:val="00776D27"/>
    <w:rsid w:val="00777E30"/>
    <w:rsid w:val="00777E99"/>
    <w:rsid w:val="00780B5C"/>
    <w:rsid w:val="00782174"/>
    <w:rsid w:val="00783A61"/>
    <w:rsid w:val="00787395"/>
    <w:rsid w:val="00787911"/>
    <w:rsid w:val="00790D97"/>
    <w:rsid w:val="00791BC4"/>
    <w:rsid w:val="00791DE0"/>
    <w:rsid w:val="00792293"/>
    <w:rsid w:val="007954F4"/>
    <w:rsid w:val="00795F08"/>
    <w:rsid w:val="00795FBB"/>
    <w:rsid w:val="007979AB"/>
    <w:rsid w:val="00797C5F"/>
    <w:rsid w:val="007A18D1"/>
    <w:rsid w:val="007A1943"/>
    <w:rsid w:val="007A1CC0"/>
    <w:rsid w:val="007A305C"/>
    <w:rsid w:val="007A3F77"/>
    <w:rsid w:val="007A4E81"/>
    <w:rsid w:val="007A56FB"/>
    <w:rsid w:val="007A7892"/>
    <w:rsid w:val="007B072D"/>
    <w:rsid w:val="007B0C47"/>
    <w:rsid w:val="007B2755"/>
    <w:rsid w:val="007B3310"/>
    <w:rsid w:val="007B3F75"/>
    <w:rsid w:val="007B6856"/>
    <w:rsid w:val="007B70CC"/>
    <w:rsid w:val="007B78BF"/>
    <w:rsid w:val="007B7B9E"/>
    <w:rsid w:val="007C0412"/>
    <w:rsid w:val="007C1DF0"/>
    <w:rsid w:val="007C1EAD"/>
    <w:rsid w:val="007C2044"/>
    <w:rsid w:val="007C2F87"/>
    <w:rsid w:val="007C3283"/>
    <w:rsid w:val="007C345D"/>
    <w:rsid w:val="007C46C3"/>
    <w:rsid w:val="007D1FBA"/>
    <w:rsid w:val="007D217D"/>
    <w:rsid w:val="007D65F6"/>
    <w:rsid w:val="007E08AC"/>
    <w:rsid w:val="007E2408"/>
    <w:rsid w:val="007E2B90"/>
    <w:rsid w:val="007E2FF7"/>
    <w:rsid w:val="007E78FA"/>
    <w:rsid w:val="007F0E11"/>
    <w:rsid w:val="007F0FA0"/>
    <w:rsid w:val="007F1789"/>
    <w:rsid w:val="007F4A82"/>
    <w:rsid w:val="007F6BEF"/>
    <w:rsid w:val="008042F7"/>
    <w:rsid w:val="0080452F"/>
    <w:rsid w:val="0080504B"/>
    <w:rsid w:val="00805C7F"/>
    <w:rsid w:val="00807E9A"/>
    <w:rsid w:val="00812961"/>
    <w:rsid w:val="00814707"/>
    <w:rsid w:val="00814B29"/>
    <w:rsid w:val="00815432"/>
    <w:rsid w:val="00815A14"/>
    <w:rsid w:val="00817883"/>
    <w:rsid w:val="00817CB5"/>
    <w:rsid w:val="008209E6"/>
    <w:rsid w:val="00821F18"/>
    <w:rsid w:val="0082228A"/>
    <w:rsid w:val="008249C5"/>
    <w:rsid w:val="008254F8"/>
    <w:rsid w:val="00825602"/>
    <w:rsid w:val="00825E38"/>
    <w:rsid w:val="00826521"/>
    <w:rsid w:val="00826714"/>
    <w:rsid w:val="008329C4"/>
    <w:rsid w:val="008340B8"/>
    <w:rsid w:val="00834B24"/>
    <w:rsid w:val="0083527D"/>
    <w:rsid w:val="00836B91"/>
    <w:rsid w:val="008370EB"/>
    <w:rsid w:val="00837799"/>
    <w:rsid w:val="00840FFB"/>
    <w:rsid w:val="00842B88"/>
    <w:rsid w:val="00842F88"/>
    <w:rsid w:val="0084703A"/>
    <w:rsid w:val="00851F95"/>
    <w:rsid w:val="0085638A"/>
    <w:rsid w:val="008603F9"/>
    <w:rsid w:val="00861D39"/>
    <w:rsid w:val="008639AE"/>
    <w:rsid w:val="00863B39"/>
    <w:rsid w:val="00863F01"/>
    <w:rsid w:val="00864F53"/>
    <w:rsid w:val="008653EF"/>
    <w:rsid w:val="008655DB"/>
    <w:rsid w:val="00867294"/>
    <w:rsid w:val="008723BF"/>
    <w:rsid w:val="00874CE0"/>
    <w:rsid w:val="0087606B"/>
    <w:rsid w:val="00876077"/>
    <w:rsid w:val="008852F9"/>
    <w:rsid w:val="00887994"/>
    <w:rsid w:val="008903D0"/>
    <w:rsid w:val="00892234"/>
    <w:rsid w:val="0089410A"/>
    <w:rsid w:val="00896336"/>
    <w:rsid w:val="00896E4C"/>
    <w:rsid w:val="00897B10"/>
    <w:rsid w:val="008A1178"/>
    <w:rsid w:val="008A2C2E"/>
    <w:rsid w:val="008A3346"/>
    <w:rsid w:val="008A3C50"/>
    <w:rsid w:val="008A422A"/>
    <w:rsid w:val="008A6531"/>
    <w:rsid w:val="008A6A30"/>
    <w:rsid w:val="008A6D08"/>
    <w:rsid w:val="008A7A67"/>
    <w:rsid w:val="008B0311"/>
    <w:rsid w:val="008B08BC"/>
    <w:rsid w:val="008B17AB"/>
    <w:rsid w:val="008B24B0"/>
    <w:rsid w:val="008B2CF4"/>
    <w:rsid w:val="008B4A76"/>
    <w:rsid w:val="008B4C0B"/>
    <w:rsid w:val="008B502E"/>
    <w:rsid w:val="008C0E56"/>
    <w:rsid w:val="008C1260"/>
    <w:rsid w:val="008C32B6"/>
    <w:rsid w:val="008C36A3"/>
    <w:rsid w:val="008C6890"/>
    <w:rsid w:val="008C7204"/>
    <w:rsid w:val="008D0D1F"/>
    <w:rsid w:val="008D19F4"/>
    <w:rsid w:val="008D1EBF"/>
    <w:rsid w:val="008D2A7A"/>
    <w:rsid w:val="008D421C"/>
    <w:rsid w:val="008D4472"/>
    <w:rsid w:val="008D6090"/>
    <w:rsid w:val="008D679A"/>
    <w:rsid w:val="008D6999"/>
    <w:rsid w:val="008D7B20"/>
    <w:rsid w:val="008E18EB"/>
    <w:rsid w:val="008E2B78"/>
    <w:rsid w:val="008E63E2"/>
    <w:rsid w:val="008E6ECA"/>
    <w:rsid w:val="008E7C70"/>
    <w:rsid w:val="008F074D"/>
    <w:rsid w:val="008F2E6A"/>
    <w:rsid w:val="008F4362"/>
    <w:rsid w:val="008F5FF2"/>
    <w:rsid w:val="008F6277"/>
    <w:rsid w:val="008F6C10"/>
    <w:rsid w:val="00901FFB"/>
    <w:rsid w:val="0090460D"/>
    <w:rsid w:val="00906392"/>
    <w:rsid w:val="00910139"/>
    <w:rsid w:val="0091127B"/>
    <w:rsid w:val="00912696"/>
    <w:rsid w:val="00913849"/>
    <w:rsid w:val="0091395D"/>
    <w:rsid w:val="00914E0D"/>
    <w:rsid w:val="009164E2"/>
    <w:rsid w:val="00916B90"/>
    <w:rsid w:val="00917008"/>
    <w:rsid w:val="00917D26"/>
    <w:rsid w:val="00920E20"/>
    <w:rsid w:val="009224E2"/>
    <w:rsid w:val="00923BFC"/>
    <w:rsid w:val="00924715"/>
    <w:rsid w:val="009254FE"/>
    <w:rsid w:val="00930259"/>
    <w:rsid w:val="009303F9"/>
    <w:rsid w:val="009318BB"/>
    <w:rsid w:val="00931AF0"/>
    <w:rsid w:val="00933D4F"/>
    <w:rsid w:val="0093451C"/>
    <w:rsid w:val="0093569F"/>
    <w:rsid w:val="00936927"/>
    <w:rsid w:val="00940FDD"/>
    <w:rsid w:val="00942AF9"/>
    <w:rsid w:val="00944292"/>
    <w:rsid w:val="009443D9"/>
    <w:rsid w:val="00945C15"/>
    <w:rsid w:val="00947405"/>
    <w:rsid w:val="00947ECD"/>
    <w:rsid w:val="009562DC"/>
    <w:rsid w:val="009622FE"/>
    <w:rsid w:val="00962968"/>
    <w:rsid w:val="00964E27"/>
    <w:rsid w:val="0096505C"/>
    <w:rsid w:val="00965D44"/>
    <w:rsid w:val="00966D39"/>
    <w:rsid w:val="00967382"/>
    <w:rsid w:val="009673D8"/>
    <w:rsid w:val="009704C6"/>
    <w:rsid w:val="00970B4B"/>
    <w:rsid w:val="0097133D"/>
    <w:rsid w:val="009734D0"/>
    <w:rsid w:val="00973C14"/>
    <w:rsid w:val="009752D8"/>
    <w:rsid w:val="009758A9"/>
    <w:rsid w:val="00976D6C"/>
    <w:rsid w:val="0098020C"/>
    <w:rsid w:val="00980835"/>
    <w:rsid w:val="00983963"/>
    <w:rsid w:val="009843EF"/>
    <w:rsid w:val="00990A96"/>
    <w:rsid w:val="009911EB"/>
    <w:rsid w:val="00994277"/>
    <w:rsid w:val="00995C9F"/>
    <w:rsid w:val="009960DF"/>
    <w:rsid w:val="009978DA"/>
    <w:rsid w:val="009A05BE"/>
    <w:rsid w:val="009A1439"/>
    <w:rsid w:val="009A2BC9"/>
    <w:rsid w:val="009A2EEC"/>
    <w:rsid w:val="009A4233"/>
    <w:rsid w:val="009A6958"/>
    <w:rsid w:val="009A7794"/>
    <w:rsid w:val="009B0D4D"/>
    <w:rsid w:val="009B1C2A"/>
    <w:rsid w:val="009B2ABA"/>
    <w:rsid w:val="009B40C0"/>
    <w:rsid w:val="009B456F"/>
    <w:rsid w:val="009B4D2E"/>
    <w:rsid w:val="009B5B0B"/>
    <w:rsid w:val="009B6EDB"/>
    <w:rsid w:val="009C03F5"/>
    <w:rsid w:val="009C11A6"/>
    <w:rsid w:val="009C147B"/>
    <w:rsid w:val="009C1DA0"/>
    <w:rsid w:val="009C2245"/>
    <w:rsid w:val="009C2728"/>
    <w:rsid w:val="009C4E5C"/>
    <w:rsid w:val="009C639E"/>
    <w:rsid w:val="009C7E87"/>
    <w:rsid w:val="009D09F3"/>
    <w:rsid w:val="009D0DEE"/>
    <w:rsid w:val="009D7D1C"/>
    <w:rsid w:val="009E0A9A"/>
    <w:rsid w:val="009E5C15"/>
    <w:rsid w:val="009E7BED"/>
    <w:rsid w:val="009E7D6D"/>
    <w:rsid w:val="009F0162"/>
    <w:rsid w:val="009F031D"/>
    <w:rsid w:val="009F0F09"/>
    <w:rsid w:val="009F165C"/>
    <w:rsid w:val="009F20B9"/>
    <w:rsid w:val="009F3A64"/>
    <w:rsid w:val="009F4559"/>
    <w:rsid w:val="009F547D"/>
    <w:rsid w:val="009F5582"/>
    <w:rsid w:val="00A00990"/>
    <w:rsid w:val="00A01FB4"/>
    <w:rsid w:val="00A02BAB"/>
    <w:rsid w:val="00A02DA9"/>
    <w:rsid w:val="00A03202"/>
    <w:rsid w:val="00A0721D"/>
    <w:rsid w:val="00A103D2"/>
    <w:rsid w:val="00A1202B"/>
    <w:rsid w:val="00A139B7"/>
    <w:rsid w:val="00A14807"/>
    <w:rsid w:val="00A14B1C"/>
    <w:rsid w:val="00A20FCE"/>
    <w:rsid w:val="00A21359"/>
    <w:rsid w:val="00A22190"/>
    <w:rsid w:val="00A23292"/>
    <w:rsid w:val="00A2381F"/>
    <w:rsid w:val="00A23F91"/>
    <w:rsid w:val="00A24370"/>
    <w:rsid w:val="00A259C9"/>
    <w:rsid w:val="00A265C9"/>
    <w:rsid w:val="00A30E0F"/>
    <w:rsid w:val="00A31767"/>
    <w:rsid w:val="00A3334C"/>
    <w:rsid w:val="00A337D5"/>
    <w:rsid w:val="00A34B57"/>
    <w:rsid w:val="00A34C62"/>
    <w:rsid w:val="00A3792A"/>
    <w:rsid w:val="00A37B52"/>
    <w:rsid w:val="00A41667"/>
    <w:rsid w:val="00A41A71"/>
    <w:rsid w:val="00A4275F"/>
    <w:rsid w:val="00A43F67"/>
    <w:rsid w:val="00A46DCD"/>
    <w:rsid w:val="00A53D6E"/>
    <w:rsid w:val="00A54028"/>
    <w:rsid w:val="00A55787"/>
    <w:rsid w:val="00A55811"/>
    <w:rsid w:val="00A56D65"/>
    <w:rsid w:val="00A607B2"/>
    <w:rsid w:val="00A613D2"/>
    <w:rsid w:val="00A6181A"/>
    <w:rsid w:val="00A634D6"/>
    <w:rsid w:val="00A63D0A"/>
    <w:rsid w:val="00A661F1"/>
    <w:rsid w:val="00A6627B"/>
    <w:rsid w:val="00A677A8"/>
    <w:rsid w:val="00A71697"/>
    <w:rsid w:val="00A721A8"/>
    <w:rsid w:val="00A72292"/>
    <w:rsid w:val="00A73377"/>
    <w:rsid w:val="00A7423E"/>
    <w:rsid w:val="00A74533"/>
    <w:rsid w:val="00A7459B"/>
    <w:rsid w:val="00A8196A"/>
    <w:rsid w:val="00A833AE"/>
    <w:rsid w:val="00A84192"/>
    <w:rsid w:val="00A86428"/>
    <w:rsid w:val="00A86A82"/>
    <w:rsid w:val="00A86CF1"/>
    <w:rsid w:val="00A90321"/>
    <w:rsid w:val="00A91E25"/>
    <w:rsid w:val="00A9248C"/>
    <w:rsid w:val="00A92B7B"/>
    <w:rsid w:val="00A94E59"/>
    <w:rsid w:val="00A95059"/>
    <w:rsid w:val="00A95322"/>
    <w:rsid w:val="00A978EC"/>
    <w:rsid w:val="00A97BEA"/>
    <w:rsid w:val="00A97F9B"/>
    <w:rsid w:val="00AA0F73"/>
    <w:rsid w:val="00AA1D29"/>
    <w:rsid w:val="00AA2ACF"/>
    <w:rsid w:val="00AA47C0"/>
    <w:rsid w:val="00AA4D55"/>
    <w:rsid w:val="00AA579E"/>
    <w:rsid w:val="00AA76FF"/>
    <w:rsid w:val="00AB485A"/>
    <w:rsid w:val="00AB4FF0"/>
    <w:rsid w:val="00AB5DCD"/>
    <w:rsid w:val="00AC0233"/>
    <w:rsid w:val="00AC5259"/>
    <w:rsid w:val="00AC6E16"/>
    <w:rsid w:val="00AD18E6"/>
    <w:rsid w:val="00AD1B3A"/>
    <w:rsid w:val="00AD2F94"/>
    <w:rsid w:val="00AD3D7C"/>
    <w:rsid w:val="00AD45B7"/>
    <w:rsid w:val="00AD5927"/>
    <w:rsid w:val="00AD635C"/>
    <w:rsid w:val="00AD70D2"/>
    <w:rsid w:val="00AE020F"/>
    <w:rsid w:val="00AE1384"/>
    <w:rsid w:val="00AE2756"/>
    <w:rsid w:val="00AE2BAD"/>
    <w:rsid w:val="00AE2D3E"/>
    <w:rsid w:val="00AE36F4"/>
    <w:rsid w:val="00AE522E"/>
    <w:rsid w:val="00AE56B1"/>
    <w:rsid w:val="00AE712E"/>
    <w:rsid w:val="00AE72C1"/>
    <w:rsid w:val="00AE7C6E"/>
    <w:rsid w:val="00AF03BE"/>
    <w:rsid w:val="00AF17F6"/>
    <w:rsid w:val="00AF2740"/>
    <w:rsid w:val="00AF2BA9"/>
    <w:rsid w:val="00AF3AC2"/>
    <w:rsid w:val="00AF4082"/>
    <w:rsid w:val="00AF5423"/>
    <w:rsid w:val="00B0051E"/>
    <w:rsid w:val="00B012C7"/>
    <w:rsid w:val="00B013F2"/>
    <w:rsid w:val="00B02310"/>
    <w:rsid w:val="00B02C59"/>
    <w:rsid w:val="00B0303C"/>
    <w:rsid w:val="00B03CDC"/>
    <w:rsid w:val="00B05757"/>
    <w:rsid w:val="00B068DE"/>
    <w:rsid w:val="00B0734A"/>
    <w:rsid w:val="00B0739E"/>
    <w:rsid w:val="00B07B9A"/>
    <w:rsid w:val="00B07D40"/>
    <w:rsid w:val="00B134B4"/>
    <w:rsid w:val="00B20A68"/>
    <w:rsid w:val="00B21E50"/>
    <w:rsid w:val="00B2415B"/>
    <w:rsid w:val="00B24321"/>
    <w:rsid w:val="00B30725"/>
    <w:rsid w:val="00B30DF3"/>
    <w:rsid w:val="00B312D0"/>
    <w:rsid w:val="00B34E44"/>
    <w:rsid w:val="00B358E3"/>
    <w:rsid w:val="00B36C37"/>
    <w:rsid w:val="00B37DA0"/>
    <w:rsid w:val="00B404BD"/>
    <w:rsid w:val="00B407D6"/>
    <w:rsid w:val="00B408EC"/>
    <w:rsid w:val="00B40DDF"/>
    <w:rsid w:val="00B41BF0"/>
    <w:rsid w:val="00B41DFE"/>
    <w:rsid w:val="00B42483"/>
    <w:rsid w:val="00B42B70"/>
    <w:rsid w:val="00B44237"/>
    <w:rsid w:val="00B44D55"/>
    <w:rsid w:val="00B45216"/>
    <w:rsid w:val="00B45709"/>
    <w:rsid w:val="00B46188"/>
    <w:rsid w:val="00B46F48"/>
    <w:rsid w:val="00B52205"/>
    <w:rsid w:val="00B525F5"/>
    <w:rsid w:val="00B556A5"/>
    <w:rsid w:val="00B55969"/>
    <w:rsid w:val="00B564C9"/>
    <w:rsid w:val="00B56A5B"/>
    <w:rsid w:val="00B56D54"/>
    <w:rsid w:val="00B5709E"/>
    <w:rsid w:val="00B57D30"/>
    <w:rsid w:val="00B608EA"/>
    <w:rsid w:val="00B60C10"/>
    <w:rsid w:val="00B61C56"/>
    <w:rsid w:val="00B621CF"/>
    <w:rsid w:val="00B6226F"/>
    <w:rsid w:val="00B62517"/>
    <w:rsid w:val="00B632F1"/>
    <w:rsid w:val="00B64108"/>
    <w:rsid w:val="00B65658"/>
    <w:rsid w:val="00B657A8"/>
    <w:rsid w:val="00B65A50"/>
    <w:rsid w:val="00B66514"/>
    <w:rsid w:val="00B67191"/>
    <w:rsid w:val="00B70A7D"/>
    <w:rsid w:val="00B741E7"/>
    <w:rsid w:val="00B77601"/>
    <w:rsid w:val="00B81379"/>
    <w:rsid w:val="00B81ADA"/>
    <w:rsid w:val="00B823A5"/>
    <w:rsid w:val="00B8311D"/>
    <w:rsid w:val="00B8329F"/>
    <w:rsid w:val="00B852AA"/>
    <w:rsid w:val="00B8695A"/>
    <w:rsid w:val="00B87159"/>
    <w:rsid w:val="00B94ACD"/>
    <w:rsid w:val="00B959EA"/>
    <w:rsid w:val="00B96C10"/>
    <w:rsid w:val="00B97790"/>
    <w:rsid w:val="00BA0496"/>
    <w:rsid w:val="00BA106E"/>
    <w:rsid w:val="00BA1B29"/>
    <w:rsid w:val="00BA2367"/>
    <w:rsid w:val="00BA489B"/>
    <w:rsid w:val="00BA6272"/>
    <w:rsid w:val="00BA675B"/>
    <w:rsid w:val="00BB0192"/>
    <w:rsid w:val="00BB0299"/>
    <w:rsid w:val="00BB2D47"/>
    <w:rsid w:val="00BB318E"/>
    <w:rsid w:val="00BB348A"/>
    <w:rsid w:val="00BB3BD9"/>
    <w:rsid w:val="00BB41CC"/>
    <w:rsid w:val="00BB5374"/>
    <w:rsid w:val="00BB7F9A"/>
    <w:rsid w:val="00BC012A"/>
    <w:rsid w:val="00BC0517"/>
    <w:rsid w:val="00BC0897"/>
    <w:rsid w:val="00BC0B58"/>
    <w:rsid w:val="00BC3D7D"/>
    <w:rsid w:val="00BC540C"/>
    <w:rsid w:val="00BC69F9"/>
    <w:rsid w:val="00BC6F73"/>
    <w:rsid w:val="00BC7B1B"/>
    <w:rsid w:val="00BC7E29"/>
    <w:rsid w:val="00BD0BC6"/>
    <w:rsid w:val="00BD0FD5"/>
    <w:rsid w:val="00BD17CD"/>
    <w:rsid w:val="00BD1E48"/>
    <w:rsid w:val="00BD23DB"/>
    <w:rsid w:val="00BD2865"/>
    <w:rsid w:val="00BD3426"/>
    <w:rsid w:val="00BD3DD5"/>
    <w:rsid w:val="00BD4F60"/>
    <w:rsid w:val="00BD66B1"/>
    <w:rsid w:val="00BD6C18"/>
    <w:rsid w:val="00BD71E4"/>
    <w:rsid w:val="00BE134A"/>
    <w:rsid w:val="00BE349C"/>
    <w:rsid w:val="00BE357A"/>
    <w:rsid w:val="00BE382D"/>
    <w:rsid w:val="00BE3E2B"/>
    <w:rsid w:val="00BE7670"/>
    <w:rsid w:val="00BF0BF2"/>
    <w:rsid w:val="00BF16EB"/>
    <w:rsid w:val="00BF1FEE"/>
    <w:rsid w:val="00BF4706"/>
    <w:rsid w:val="00BF6649"/>
    <w:rsid w:val="00BF7B72"/>
    <w:rsid w:val="00C00BAE"/>
    <w:rsid w:val="00C04ECA"/>
    <w:rsid w:val="00C06E1D"/>
    <w:rsid w:val="00C10956"/>
    <w:rsid w:val="00C10A4C"/>
    <w:rsid w:val="00C1324C"/>
    <w:rsid w:val="00C14620"/>
    <w:rsid w:val="00C16EAE"/>
    <w:rsid w:val="00C16F62"/>
    <w:rsid w:val="00C20055"/>
    <w:rsid w:val="00C21815"/>
    <w:rsid w:val="00C2455E"/>
    <w:rsid w:val="00C25101"/>
    <w:rsid w:val="00C2552B"/>
    <w:rsid w:val="00C269E0"/>
    <w:rsid w:val="00C26DEE"/>
    <w:rsid w:val="00C30593"/>
    <w:rsid w:val="00C315A9"/>
    <w:rsid w:val="00C32D36"/>
    <w:rsid w:val="00C3434B"/>
    <w:rsid w:val="00C346DC"/>
    <w:rsid w:val="00C3499E"/>
    <w:rsid w:val="00C36862"/>
    <w:rsid w:val="00C37DA7"/>
    <w:rsid w:val="00C405E9"/>
    <w:rsid w:val="00C40A06"/>
    <w:rsid w:val="00C40DB1"/>
    <w:rsid w:val="00C41684"/>
    <w:rsid w:val="00C416F2"/>
    <w:rsid w:val="00C423B3"/>
    <w:rsid w:val="00C45376"/>
    <w:rsid w:val="00C517F5"/>
    <w:rsid w:val="00C526B4"/>
    <w:rsid w:val="00C578B2"/>
    <w:rsid w:val="00C57DE4"/>
    <w:rsid w:val="00C6125F"/>
    <w:rsid w:val="00C6239E"/>
    <w:rsid w:val="00C62517"/>
    <w:rsid w:val="00C63149"/>
    <w:rsid w:val="00C64245"/>
    <w:rsid w:val="00C647F9"/>
    <w:rsid w:val="00C71242"/>
    <w:rsid w:val="00C71BEA"/>
    <w:rsid w:val="00C750A9"/>
    <w:rsid w:val="00C75C76"/>
    <w:rsid w:val="00C81349"/>
    <w:rsid w:val="00C81E32"/>
    <w:rsid w:val="00C83A8C"/>
    <w:rsid w:val="00C86611"/>
    <w:rsid w:val="00C90C84"/>
    <w:rsid w:val="00C90D85"/>
    <w:rsid w:val="00C963CB"/>
    <w:rsid w:val="00C96773"/>
    <w:rsid w:val="00C96C3B"/>
    <w:rsid w:val="00CA2212"/>
    <w:rsid w:val="00CA39B9"/>
    <w:rsid w:val="00CA4DE7"/>
    <w:rsid w:val="00CA5DE0"/>
    <w:rsid w:val="00CA64A7"/>
    <w:rsid w:val="00CA6C17"/>
    <w:rsid w:val="00CA6D9D"/>
    <w:rsid w:val="00CB08B0"/>
    <w:rsid w:val="00CB0B66"/>
    <w:rsid w:val="00CB1AA9"/>
    <w:rsid w:val="00CB1CF4"/>
    <w:rsid w:val="00CB20D1"/>
    <w:rsid w:val="00CB4863"/>
    <w:rsid w:val="00CB7AAC"/>
    <w:rsid w:val="00CB7F09"/>
    <w:rsid w:val="00CC19A4"/>
    <w:rsid w:val="00CC1B46"/>
    <w:rsid w:val="00CC2037"/>
    <w:rsid w:val="00CC296B"/>
    <w:rsid w:val="00CC2EFF"/>
    <w:rsid w:val="00CC3A7D"/>
    <w:rsid w:val="00CC3BF5"/>
    <w:rsid w:val="00CC3EC4"/>
    <w:rsid w:val="00CC5A34"/>
    <w:rsid w:val="00CC5D0D"/>
    <w:rsid w:val="00CC6AE4"/>
    <w:rsid w:val="00CC7CC6"/>
    <w:rsid w:val="00CD0227"/>
    <w:rsid w:val="00CD065D"/>
    <w:rsid w:val="00CD3146"/>
    <w:rsid w:val="00CD546E"/>
    <w:rsid w:val="00CD6083"/>
    <w:rsid w:val="00CD737F"/>
    <w:rsid w:val="00CD7D31"/>
    <w:rsid w:val="00CE1D88"/>
    <w:rsid w:val="00CE20D1"/>
    <w:rsid w:val="00CE22EB"/>
    <w:rsid w:val="00CE279A"/>
    <w:rsid w:val="00CE3009"/>
    <w:rsid w:val="00CE357C"/>
    <w:rsid w:val="00CE3C09"/>
    <w:rsid w:val="00CE4DBA"/>
    <w:rsid w:val="00CE75AE"/>
    <w:rsid w:val="00CE78D1"/>
    <w:rsid w:val="00CE7F22"/>
    <w:rsid w:val="00CF28F0"/>
    <w:rsid w:val="00CF400A"/>
    <w:rsid w:val="00CF4024"/>
    <w:rsid w:val="00CF40E0"/>
    <w:rsid w:val="00CF47C9"/>
    <w:rsid w:val="00CF47EF"/>
    <w:rsid w:val="00CF62DC"/>
    <w:rsid w:val="00CF6507"/>
    <w:rsid w:val="00CF6B77"/>
    <w:rsid w:val="00CF7679"/>
    <w:rsid w:val="00CF78C0"/>
    <w:rsid w:val="00CF7B1D"/>
    <w:rsid w:val="00CF7C45"/>
    <w:rsid w:val="00D01A31"/>
    <w:rsid w:val="00D026D9"/>
    <w:rsid w:val="00D03047"/>
    <w:rsid w:val="00D03286"/>
    <w:rsid w:val="00D03E04"/>
    <w:rsid w:val="00D04B07"/>
    <w:rsid w:val="00D04FB2"/>
    <w:rsid w:val="00D10504"/>
    <w:rsid w:val="00D11BD9"/>
    <w:rsid w:val="00D11E53"/>
    <w:rsid w:val="00D13E06"/>
    <w:rsid w:val="00D16753"/>
    <w:rsid w:val="00D20F4A"/>
    <w:rsid w:val="00D21CCE"/>
    <w:rsid w:val="00D252DE"/>
    <w:rsid w:val="00D2668B"/>
    <w:rsid w:val="00D266E5"/>
    <w:rsid w:val="00D26982"/>
    <w:rsid w:val="00D26A95"/>
    <w:rsid w:val="00D26C38"/>
    <w:rsid w:val="00D27195"/>
    <w:rsid w:val="00D32236"/>
    <w:rsid w:val="00D32A67"/>
    <w:rsid w:val="00D33067"/>
    <w:rsid w:val="00D33142"/>
    <w:rsid w:val="00D3346C"/>
    <w:rsid w:val="00D37EE2"/>
    <w:rsid w:val="00D4128C"/>
    <w:rsid w:val="00D42FAB"/>
    <w:rsid w:val="00D43C94"/>
    <w:rsid w:val="00D441A7"/>
    <w:rsid w:val="00D46592"/>
    <w:rsid w:val="00D466CE"/>
    <w:rsid w:val="00D46A02"/>
    <w:rsid w:val="00D47881"/>
    <w:rsid w:val="00D500D5"/>
    <w:rsid w:val="00D515F3"/>
    <w:rsid w:val="00D51F7D"/>
    <w:rsid w:val="00D521C3"/>
    <w:rsid w:val="00D554AE"/>
    <w:rsid w:val="00D56C0A"/>
    <w:rsid w:val="00D571F2"/>
    <w:rsid w:val="00D57378"/>
    <w:rsid w:val="00D61EB7"/>
    <w:rsid w:val="00D625E7"/>
    <w:rsid w:val="00D6321C"/>
    <w:rsid w:val="00D636A4"/>
    <w:rsid w:val="00D63B0F"/>
    <w:rsid w:val="00D64903"/>
    <w:rsid w:val="00D668ED"/>
    <w:rsid w:val="00D7014A"/>
    <w:rsid w:val="00D70AC3"/>
    <w:rsid w:val="00D7165F"/>
    <w:rsid w:val="00D71B6E"/>
    <w:rsid w:val="00D729F4"/>
    <w:rsid w:val="00D72AFD"/>
    <w:rsid w:val="00D72CDE"/>
    <w:rsid w:val="00D7476E"/>
    <w:rsid w:val="00D7476F"/>
    <w:rsid w:val="00D747BD"/>
    <w:rsid w:val="00D8038F"/>
    <w:rsid w:val="00D81633"/>
    <w:rsid w:val="00D82D00"/>
    <w:rsid w:val="00D8392D"/>
    <w:rsid w:val="00D845A1"/>
    <w:rsid w:val="00D84B5D"/>
    <w:rsid w:val="00D85435"/>
    <w:rsid w:val="00D871B1"/>
    <w:rsid w:val="00D877AE"/>
    <w:rsid w:val="00D87CE8"/>
    <w:rsid w:val="00D90DE2"/>
    <w:rsid w:val="00D91A19"/>
    <w:rsid w:val="00D91B11"/>
    <w:rsid w:val="00D9418C"/>
    <w:rsid w:val="00D94B68"/>
    <w:rsid w:val="00D9534E"/>
    <w:rsid w:val="00D953BD"/>
    <w:rsid w:val="00D95782"/>
    <w:rsid w:val="00DA2B59"/>
    <w:rsid w:val="00DA2BC2"/>
    <w:rsid w:val="00DA3768"/>
    <w:rsid w:val="00DA39E7"/>
    <w:rsid w:val="00DA515C"/>
    <w:rsid w:val="00DA6152"/>
    <w:rsid w:val="00DA6DDD"/>
    <w:rsid w:val="00DA72F6"/>
    <w:rsid w:val="00DA7F1E"/>
    <w:rsid w:val="00DB0448"/>
    <w:rsid w:val="00DB0931"/>
    <w:rsid w:val="00DB0E88"/>
    <w:rsid w:val="00DB2172"/>
    <w:rsid w:val="00DB2343"/>
    <w:rsid w:val="00DB38B1"/>
    <w:rsid w:val="00DB38BA"/>
    <w:rsid w:val="00DB40A5"/>
    <w:rsid w:val="00DB4AF4"/>
    <w:rsid w:val="00DB5BBA"/>
    <w:rsid w:val="00DB6F17"/>
    <w:rsid w:val="00DB742D"/>
    <w:rsid w:val="00DB77EC"/>
    <w:rsid w:val="00DB7D73"/>
    <w:rsid w:val="00DB7EE6"/>
    <w:rsid w:val="00DC152D"/>
    <w:rsid w:val="00DC2110"/>
    <w:rsid w:val="00DC3209"/>
    <w:rsid w:val="00DC39A0"/>
    <w:rsid w:val="00DC51D2"/>
    <w:rsid w:val="00DC657F"/>
    <w:rsid w:val="00DC691F"/>
    <w:rsid w:val="00DC6ADD"/>
    <w:rsid w:val="00DC6D30"/>
    <w:rsid w:val="00DC7C96"/>
    <w:rsid w:val="00DC7C9A"/>
    <w:rsid w:val="00DD086D"/>
    <w:rsid w:val="00DD1B6F"/>
    <w:rsid w:val="00DD1EA0"/>
    <w:rsid w:val="00DD2D90"/>
    <w:rsid w:val="00DD3AE0"/>
    <w:rsid w:val="00DD3DB7"/>
    <w:rsid w:val="00DD49F1"/>
    <w:rsid w:val="00DD5E25"/>
    <w:rsid w:val="00DD60CC"/>
    <w:rsid w:val="00DD7984"/>
    <w:rsid w:val="00DD7F66"/>
    <w:rsid w:val="00DE399B"/>
    <w:rsid w:val="00DE427B"/>
    <w:rsid w:val="00DE56D8"/>
    <w:rsid w:val="00DE5C90"/>
    <w:rsid w:val="00DE6E0C"/>
    <w:rsid w:val="00DF048A"/>
    <w:rsid w:val="00DF055A"/>
    <w:rsid w:val="00DF4B3D"/>
    <w:rsid w:val="00DF5CF0"/>
    <w:rsid w:val="00DF6488"/>
    <w:rsid w:val="00DF7FE1"/>
    <w:rsid w:val="00E00197"/>
    <w:rsid w:val="00E003E7"/>
    <w:rsid w:val="00E02A69"/>
    <w:rsid w:val="00E03520"/>
    <w:rsid w:val="00E03AAF"/>
    <w:rsid w:val="00E06C9F"/>
    <w:rsid w:val="00E1299D"/>
    <w:rsid w:val="00E135AD"/>
    <w:rsid w:val="00E13EDC"/>
    <w:rsid w:val="00E15B7F"/>
    <w:rsid w:val="00E16C85"/>
    <w:rsid w:val="00E17477"/>
    <w:rsid w:val="00E17A2A"/>
    <w:rsid w:val="00E200FC"/>
    <w:rsid w:val="00E20690"/>
    <w:rsid w:val="00E22A69"/>
    <w:rsid w:val="00E244F7"/>
    <w:rsid w:val="00E24992"/>
    <w:rsid w:val="00E24A8A"/>
    <w:rsid w:val="00E25806"/>
    <w:rsid w:val="00E25ACF"/>
    <w:rsid w:val="00E264B4"/>
    <w:rsid w:val="00E26AD4"/>
    <w:rsid w:val="00E30EF8"/>
    <w:rsid w:val="00E33357"/>
    <w:rsid w:val="00E36E6E"/>
    <w:rsid w:val="00E3754F"/>
    <w:rsid w:val="00E37B95"/>
    <w:rsid w:val="00E41656"/>
    <w:rsid w:val="00E42E34"/>
    <w:rsid w:val="00E431A9"/>
    <w:rsid w:val="00E43B34"/>
    <w:rsid w:val="00E4491E"/>
    <w:rsid w:val="00E46704"/>
    <w:rsid w:val="00E46C2B"/>
    <w:rsid w:val="00E473E0"/>
    <w:rsid w:val="00E52D9C"/>
    <w:rsid w:val="00E53278"/>
    <w:rsid w:val="00E53B5A"/>
    <w:rsid w:val="00E55E33"/>
    <w:rsid w:val="00E57CC5"/>
    <w:rsid w:val="00E611B7"/>
    <w:rsid w:val="00E613C7"/>
    <w:rsid w:val="00E621FC"/>
    <w:rsid w:val="00E62E3F"/>
    <w:rsid w:val="00E6549E"/>
    <w:rsid w:val="00E70F4D"/>
    <w:rsid w:val="00E74C1B"/>
    <w:rsid w:val="00E7731E"/>
    <w:rsid w:val="00E77BF9"/>
    <w:rsid w:val="00E80CB2"/>
    <w:rsid w:val="00E80EC7"/>
    <w:rsid w:val="00E81B28"/>
    <w:rsid w:val="00E82EA1"/>
    <w:rsid w:val="00E835B3"/>
    <w:rsid w:val="00E842CC"/>
    <w:rsid w:val="00E86F21"/>
    <w:rsid w:val="00E9128E"/>
    <w:rsid w:val="00E9246F"/>
    <w:rsid w:val="00E92D68"/>
    <w:rsid w:val="00E94D5B"/>
    <w:rsid w:val="00E9576C"/>
    <w:rsid w:val="00E9622A"/>
    <w:rsid w:val="00E966CA"/>
    <w:rsid w:val="00EA1FCC"/>
    <w:rsid w:val="00EA375E"/>
    <w:rsid w:val="00EA3A92"/>
    <w:rsid w:val="00EA3D17"/>
    <w:rsid w:val="00EA3E45"/>
    <w:rsid w:val="00EA45EA"/>
    <w:rsid w:val="00EA4789"/>
    <w:rsid w:val="00EA4C94"/>
    <w:rsid w:val="00EA63BB"/>
    <w:rsid w:val="00EA748D"/>
    <w:rsid w:val="00EA7A0D"/>
    <w:rsid w:val="00EB1221"/>
    <w:rsid w:val="00EB2C35"/>
    <w:rsid w:val="00EB41C2"/>
    <w:rsid w:val="00EB4CFE"/>
    <w:rsid w:val="00EB5389"/>
    <w:rsid w:val="00EB5606"/>
    <w:rsid w:val="00EB6107"/>
    <w:rsid w:val="00EC009A"/>
    <w:rsid w:val="00EC0B15"/>
    <w:rsid w:val="00EC2310"/>
    <w:rsid w:val="00EC26AF"/>
    <w:rsid w:val="00EC47D2"/>
    <w:rsid w:val="00EC4F9D"/>
    <w:rsid w:val="00EC50DA"/>
    <w:rsid w:val="00EC50DF"/>
    <w:rsid w:val="00EC518F"/>
    <w:rsid w:val="00EC665C"/>
    <w:rsid w:val="00EC6B1F"/>
    <w:rsid w:val="00EC71BC"/>
    <w:rsid w:val="00EC723D"/>
    <w:rsid w:val="00EC73A5"/>
    <w:rsid w:val="00EC74DF"/>
    <w:rsid w:val="00EC75F4"/>
    <w:rsid w:val="00ED0DC6"/>
    <w:rsid w:val="00ED1917"/>
    <w:rsid w:val="00ED27F3"/>
    <w:rsid w:val="00ED37F7"/>
    <w:rsid w:val="00ED3D4D"/>
    <w:rsid w:val="00ED475D"/>
    <w:rsid w:val="00ED59CE"/>
    <w:rsid w:val="00ED672B"/>
    <w:rsid w:val="00ED693A"/>
    <w:rsid w:val="00ED69E2"/>
    <w:rsid w:val="00ED71A0"/>
    <w:rsid w:val="00ED7B9C"/>
    <w:rsid w:val="00ED7D24"/>
    <w:rsid w:val="00EE0653"/>
    <w:rsid w:val="00EE0D1B"/>
    <w:rsid w:val="00EE1706"/>
    <w:rsid w:val="00EE1EEA"/>
    <w:rsid w:val="00EE3A12"/>
    <w:rsid w:val="00EE5EA9"/>
    <w:rsid w:val="00EF0A49"/>
    <w:rsid w:val="00EF1B9B"/>
    <w:rsid w:val="00EF2844"/>
    <w:rsid w:val="00F035F6"/>
    <w:rsid w:val="00F04828"/>
    <w:rsid w:val="00F07058"/>
    <w:rsid w:val="00F070F7"/>
    <w:rsid w:val="00F07DD5"/>
    <w:rsid w:val="00F10DDE"/>
    <w:rsid w:val="00F111A9"/>
    <w:rsid w:val="00F11B83"/>
    <w:rsid w:val="00F12621"/>
    <w:rsid w:val="00F1291D"/>
    <w:rsid w:val="00F17408"/>
    <w:rsid w:val="00F1744C"/>
    <w:rsid w:val="00F200E2"/>
    <w:rsid w:val="00F20CBA"/>
    <w:rsid w:val="00F21EBB"/>
    <w:rsid w:val="00F23997"/>
    <w:rsid w:val="00F25C43"/>
    <w:rsid w:val="00F2620A"/>
    <w:rsid w:val="00F270B2"/>
    <w:rsid w:val="00F2742E"/>
    <w:rsid w:val="00F30786"/>
    <w:rsid w:val="00F3079A"/>
    <w:rsid w:val="00F30FE6"/>
    <w:rsid w:val="00F322D6"/>
    <w:rsid w:val="00F34043"/>
    <w:rsid w:val="00F34C13"/>
    <w:rsid w:val="00F35C2A"/>
    <w:rsid w:val="00F369A0"/>
    <w:rsid w:val="00F36CEC"/>
    <w:rsid w:val="00F4031D"/>
    <w:rsid w:val="00F41CC2"/>
    <w:rsid w:val="00F42C3D"/>
    <w:rsid w:val="00F43096"/>
    <w:rsid w:val="00F431DF"/>
    <w:rsid w:val="00F44384"/>
    <w:rsid w:val="00F478A6"/>
    <w:rsid w:val="00F51083"/>
    <w:rsid w:val="00F513B3"/>
    <w:rsid w:val="00F51570"/>
    <w:rsid w:val="00F5194F"/>
    <w:rsid w:val="00F51ED4"/>
    <w:rsid w:val="00F52950"/>
    <w:rsid w:val="00F53E09"/>
    <w:rsid w:val="00F56E10"/>
    <w:rsid w:val="00F56F1B"/>
    <w:rsid w:val="00F60480"/>
    <w:rsid w:val="00F60485"/>
    <w:rsid w:val="00F6482A"/>
    <w:rsid w:val="00F6500B"/>
    <w:rsid w:val="00F663D1"/>
    <w:rsid w:val="00F67E61"/>
    <w:rsid w:val="00F7062A"/>
    <w:rsid w:val="00F70F4A"/>
    <w:rsid w:val="00F7157F"/>
    <w:rsid w:val="00F72691"/>
    <w:rsid w:val="00F7415E"/>
    <w:rsid w:val="00F74C71"/>
    <w:rsid w:val="00F75788"/>
    <w:rsid w:val="00F81E99"/>
    <w:rsid w:val="00F870FC"/>
    <w:rsid w:val="00F91CE3"/>
    <w:rsid w:val="00F9210A"/>
    <w:rsid w:val="00F92DB6"/>
    <w:rsid w:val="00F9429E"/>
    <w:rsid w:val="00F94E10"/>
    <w:rsid w:val="00F9593C"/>
    <w:rsid w:val="00F95986"/>
    <w:rsid w:val="00F967E3"/>
    <w:rsid w:val="00F97D6A"/>
    <w:rsid w:val="00FA0E33"/>
    <w:rsid w:val="00FA1BA3"/>
    <w:rsid w:val="00FA2198"/>
    <w:rsid w:val="00FA2735"/>
    <w:rsid w:val="00FA2993"/>
    <w:rsid w:val="00FA2BD2"/>
    <w:rsid w:val="00FA2BDB"/>
    <w:rsid w:val="00FA3313"/>
    <w:rsid w:val="00FA6668"/>
    <w:rsid w:val="00FA7886"/>
    <w:rsid w:val="00FA7F14"/>
    <w:rsid w:val="00FB0918"/>
    <w:rsid w:val="00FB0BD5"/>
    <w:rsid w:val="00FB2D8E"/>
    <w:rsid w:val="00FB3C65"/>
    <w:rsid w:val="00FB406F"/>
    <w:rsid w:val="00FB47B9"/>
    <w:rsid w:val="00FB5867"/>
    <w:rsid w:val="00FB5D6F"/>
    <w:rsid w:val="00FB7F27"/>
    <w:rsid w:val="00FC0AB8"/>
    <w:rsid w:val="00FC2224"/>
    <w:rsid w:val="00FC240F"/>
    <w:rsid w:val="00FC273F"/>
    <w:rsid w:val="00FC4137"/>
    <w:rsid w:val="00FC48E1"/>
    <w:rsid w:val="00FC512D"/>
    <w:rsid w:val="00FC5466"/>
    <w:rsid w:val="00FC5EB6"/>
    <w:rsid w:val="00FC6FB4"/>
    <w:rsid w:val="00FD2097"/>
    <w:rsid w:val="00FD2133"/>
    <w:rsid w:val="00FD3ED2"/>
    <w:rsid w:val="00FD57D6"/>
    <w:rsid w:val="00FD5EFA"/>
    <w:rsid w:val="00FD5F19"/>
    <w:rsid w:val="00FD669E"/>
    <w:rsid w:val="00FD70B9"/>
    <w:rsid w:val="00FD7F25"/>
    <w:rsid w:val="00FE0C58"/>
    <w:rsid w:val="00FE1CD1"/>
    <w:rsid w:val="00FE34C7"/>
    <w:rsid w:val="00FE4221"/>
    <w:rsid w:val="00FE529A"/>
    <w:rsid w:val="00FE5B73"/>
    <w:rsid w:val="00FE6AC4"/>
    <w:rsid w:val="00FE727F"/>
    <w:rsid w:val="00FE7D4B"/>
    <w:rsid w:val="00FF0FE7"/>
    <w:rsid w:val="00FF13DF"/>
    <w:rsid w:val="00FF237F"/>
    <w:rsid w:val="00FF635D"/>
    <w:rsid w:val="00FF6CDA"/>
    <w:rsid w:val="00FF7E8F"/>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684BE8"/>
  <w15:docId w15:val="{D5BACB6C-FFC3-45D9-850A-6C310B02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6A8"/>
    <w:rPr>
      <w:rFonts w:ascii="Arial" w:eastAsia="Times New Roman" w:hAnsi="Arial" w:cs="Times New Roman"/>
      <w:sz w:val="24"/>
      <w:szCs w:val="24"/>
      <w:lang w:val="en-Z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466A8"/>
    <w:pPr>
      <w:tabs>
        <w:tab w:val="left" w:pos="340"/>
      </w:tabs>
      <w:spacing w:after="60"/>
      <w:ind w:left="340" w:hanging="340"/>
    </w:pPr>
    <w:rPr>
      <w:sz w:val="18"/>
      <w:szCs w:val="20"/>
    </w:rPr>
  </w:style>
  <w:style w:type="character" w:customStyle="1" w:styleId="FootnoteTextChar">
    <w:name w:val="Footnote Text Char"/>
    <w:basedOn w:val="DefaultParagraphFont"/>
    <w:link w:val="FootnoteText"/>
    <w:semiHidden/>
    <w:rsid w:val="004466A8"/>
    <w:rPr>
      <w:rFonts w:ascii="Arial" w:eastAsia="Times New Roman" w:hAnsi="Arial" w:cs="Times New Roman"/>
      <w:sz w:val="18"/>
      <w:szCs w:val="20"/>
      <w:lang w:val="en-GB" w:eastAsia="en-GB"/>
    </w:rPr>
  </w:style>
  <w:style w:type="character" w:styleId="FootnoteReference">
    <w:name w:val="footnote reference"/>
    <w:semiHidden/>
    <w:rsid w:val="004466A8"/>
    <w:rPr>
      <w:rFonts w:cs="Times New Roman"/>
      <w:sz w:val="22"/>
      <w:vertAlign w:val="superscript"/>
    </w:rPr>
  </w:style>
  <w:style w:type="paragraph" w:customStyle="1" w:styleId="LegalList1">
    <w:name w:val="Legal_List1"/>
    <w:basedOn w:val="Normal"/>
    <w:semiHidden/>
    <w:rsid w:val="004466A8"/>
    <w:pPr>
      <w:spacing w:after="360" w:line="480" w:lineRule="auto"/>
      <w:outlineLvl w:val="0"/>
    </w:pPr>
  </w:style>
  <w:style w:type="paragraph" w:customStyle="1" w:styleId="LegalAnnexure">
    <w:name w:val="Legal_Annexure"/>
    <w:basedOn w:val="LegalNormal"/>
    <w:next w:val="LegalNormal"/>
    <w:semiHidden/>
    <w:rsid w:val="004466A8"/>
    <w:pPr>
      <w:keepNext/>
      <w:jc w:val="right"/>
    </w:pPr>
    <w:rPr>
      <w:b/>
      <w:caps/>
    </w:rPr>
  </w:style>
  <w:style w:type="paragraph" w:customStyle="1" w:styleId="LegalBodyText2">
    <w:name w:val="Legal_BodyText2"/>
    <w:basedOn w:val="LegalNormal"/>
    <w:semiHidden/>
    <w:rsid w:val="004466A8"/>
    <w:pPr>
      <w:tabs>
        <w:tab w:val="left" w:pos="3402"/>
        <w:tab w:val="left" w:pos="3969"/>
      </w:tabs>
      <w:ind w:left="1134"/>
    </w:pPr>
  </w:style>
  <w:style w:type="paragraph" w:customStyle="1" w:styleId="LegalHeading2">
    <w:name w:val="Legal_Heading2"/>
    <w:basedOn w:val="LegalNormal"/>
    <w:next w:val="LegalBodyText2"/>
    <w:semiHidden/>
    <w:rsid w:val="004466A8"/>
    <w:pPr>
      <w:keepNext/>
      <w:numPr>
        <w:ilvl w:val="1"/>
        <w:numId w:val="1"/>
      </w:numPr>
      <w:tabs>
        <w:tab w:val="left" w:pos="3402"/>
        <w:tab w:val="left" w:pos="3969"/>
      </w:tabs>
      <w:outlineLvl w:val="1"/>
    </w:pPr>
    <w:rPr>
      <w:b/>
    </w:rPr>
  </w:style>
  <w:style w:type="paragraph" w:customStyle="1" w:styleId="LegalHeading3">
    <w:name w:val="Legal_Heading3"/>
    <w:basedOn w:val="LegalNormal"/>
    <w:next w:val="Normal"/>
    <w:semiHidden/>
    <w:rsid w:val="004466A8"/>
    <w:pPr>
      <w:keepNext/>
      <w:numPr>
        <w:ilvl w:val="2"/>
        <w:numId w:val="1"/>
      </w:numPr>
      <w:tabs>
        <w:tab w:val="left" w:pos="3969"/>
        <w:tab w:val="left" w:pos="4536"/>
      </w:tabs>
      <w:outlineLvl w:val="2"/>
    </w:pPr>
    <w:rPr>
      <w:b/>
    </w:rPr>
  </w:style>
  <w:style w:type="paragraph" w:customStyle="1" w:styleId="LegalHeading4">
    <w:name w:val="Legal_Heading4"/>
    <w:basedOn w:val="LegalNormal"/>
    <w:next w:val="Normal"/>
    <w:semiHidden/>
    <w:rsid w:val="004466A8"/>
    <w:pPr>
      <w:keepNext/>
      <w:numPr>
        <w:ilvl w:val="3"/>
        <w:numId w:val="1"/>
      </w:numPr>
      <w:spacing w:after="240"/>
      <w:outlineLvl w:val="3"/>
    </w:pPr>
    <w:rPr>
      <w:b/>
    </w:rPr>
  </w:style>
  <w:style w:type="paragraph" w:customStyle="1" w:styleId="LegalHeading5">
    <w:name w:val="Legal_Heading5"/>
    <w:basedOn w:val="LegalNormal"/>
    <w:next w:val="Normal"/>
    <w:semiHidden/>
    <w:rsid w:val="004466A8"/>
    <w:pPr>
      <w:keepNext/>
      <w:numPr>
        <w:ilvl w:val="4"/>
        <w:numId w:val="1"/>
      </w:numPr>
      <w:spacing w:after="240"/>
      <w:outlineLvl w:val="4"/>
    </w:pPr>
    <w:rPr>
      <w:b/>
    </w:rPr>
  </w:style>
  <w:style w:type="paragraph" w:customStyle="1" w:styleId="LegalTitle">
    <w:name w:val="Legal_Title"/>
    <w:basedOn w:val="LegalNormal"/>
    <w:next w:val="LegalNormal"/>
    <w:semiHidden/>
    <w:rsid w:val="004466A8"/>
    <w:pPr>
      <w:keepNext/>
      <w:jc w:val="center"/>
    </w:pPr>
    <w:rPr>
      <w:b/>
      <w:caps/>
    </w:rPr>
  </w:style>
  <w:style w:type="paragraph" w:customStyle="1" w:styleId="LegalMAINHEADING">
    <w:name w:val="Legal_MAINHEADING"/>
    <w:basedOn w:val="LegalNormal"/>
    <w:next w:val="LegalNormal"/>
    <w:semiHidden/>
    <w:rsid w:val="004466A8"/>
    <w:pPr>
      <w:keepNext/>
      <w:spacing w:before="480"/>
    </w:pPr>
    <w:rPr>
      <w:b/>
      <w:caps/>
    </w:rPr>
  </w:style>
  <w:style w:type="paragraph" w:customStyle="1" w:styleId="LegalTramLines">
    <w:name w:val="Legal_TramLines"/>
    <w:basedOn w:val="LegalNormal"/>
    <w:next w:val="LegalNormal"/>
    <w:semiHidden/>
    <w:rsid w:val="004466A8"/>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4466A8"/>
    <w:pPr>
      <w:tabs>
        <w:tab w:val="right" w:pos="8789"/>
      </w:tabs>
    </w:pPr>
  </w:style>
  <w:style w:type="paragraph" w:customStyle="1" w:styleId="LegalNormal">
    <w:name w:val="Legal_Normal"/>
    <w:basedOn w:val="Normal"/>
    <w:rsid w:val="004466A8"/>
    <w:pPr>
      <w:spacing w:after="360" w:line="480" w:lineRule="auto"/>
    </w:pPr>
  </w:style>
  <w:style w:type="paragraph" w:customStyle="1" w:styleId="Textbody">
    <w:name w:val="Text body"/>
    <w:basedOn w:val="Normal"/>
    <w:uiPriority w:val="99"/>
    <w:rsid w:val="004466A8"/>
    <w:pPr>
      <w:widowControl w:val="0"/>
      <w:autoSpaceDE w:val="0"/>
      <w:autoSpaceDN w:val="0"/>
      <w:adjustRightInd w:val="0"/>
      <w:spacing w:after="283"/>
    </w:pPr>
    <w:rPr>
      <w:rFonts w:ascii="Times New Roman" w:eastAsiaTheme="minorEastAsia" w:hAnsi="Times New Roman"/>
      <w:lang w:val="en-US" w:eastAsia="en-US"/>
    </w:rPr>
  </w:style>
  <w:style w:type="paragraph" w:customStyle="1" w:styleId="Default">
    <w:name w:val="Default"/>
    <w:rsid w:val="004466A8"/>
    <w:pPr>
      <w:autoSpaceDE w:val="0"/>
      <w:autoSpaceDN w:val="0"/>
      <w:adjustRightInd w:val="0"/>
      <w:spacing w:line="240" w:lineRule="auto"/>
    </w:pPr>
    <w:rPr>
      <w:rFonts w:ascii="Times New Roman" w:eastAsia="Times New Roman" w:hAnsi="Times New Roman" w:cs="Times New Roman"/>
      <w:color w:val="000000"/>
      <w:sz w:val="24"/>
      <w:szCs w:val="24"/>
      <w:lang w:val="en-ZA"/>
    </w:rPr>
  </w:style>
  <w:style w:type="paragraph" w:styleId="BalloonText">
    <w:name w:val="Balloon Text"/>
    <w:basedOn w:val="Normal"/>
    <w:link w:val="BalloonTextChar"/>
    <w:uiPriority w:val="99"/>
    <w:semiHidden/>
    <w:unhideWhenUsed/>
    <w:rsid w:val="004466A8"/>
    <w:rPr>
      <w:rFonts w:ascii="Tahoma" w:hAnsi="Tahoma" w:cs="Tahoma"/>
      <w:sz w:val="16"/>
      <w:szCs w:val="16"/>
    </w:rPr>
  </w:style>
  <w:style w:type="character" w:customStyle="1" w:styleId="BalloonTextChar">
    <w:name w:val="Balloon Text Char"/>
    <w:basedOn w:val="DefaultParagraphFont"/>
    <w:link w:val="BalloonText"/>
    <w:uiPriority w:val="99"/>
    <w:semiHidden/>
    <w:rsid w:val="004466A8"/>
    <w:rPr>
      <w:rFonts w:ascii="Tahoma" w:eastAsia="Times New Roman" w:hAnsi="Tahoma" w:cs="Tahoma"/>
      <w:sz w:val="16"/>
      <w:szCs w:val="16"/>
      <w:lang w:val="en-GB" w:eastAsia="en-GB"/>
    </w:rPr>
  </w:style>
  <w:style w:type="paragraph" w:styleId="ListParagraph">
    <w:name w:val="List Paragraph"/>
    <w:basedOn w:val="Normal"/>
    <w:uiPriority w:val="34"/>
    <w:qFormat/>
    <w:rsid w:val="00D56C0A"/>
    <w:pPr>
      <w:ind w:left="720"/>
      <w:contextualSpacing/>
    </w:pPr>
  </w:style>
  <w:style w:type="paragraph" w:styleId="NormalWeb">
    <w:name w:val="Normal (Web)"/>
    <w:basedOn w:val="Normal"/>
    <w:uiPriority w:val="99"/>
    <w:semiHidden/>
    <w:unhideWhenUsed/>
    <w:rsid w:val="006739E2"/>
    <w:pPr>
      <w:spacing w:before="100" w:beforeAutospacing="1" w:after="100" w:afterAutospacing="1"/>
    </w:pPr>
    <w:rPr>
      <w:rFonts w:ascii="Times New Roman" w:hAnsi="Times New Roman"/>
      <w:lang w:eastAsia="en-ZA"/>
    </w:rPr>
  </w:style>
  <w:style w:type="character" w:styleId="Hyperlink">
    <w:name w:val="Hyperlink"/>
    <w:basedOn w:val="DefaultParagraphFont"/>
    <w:uiPriority w:val="99"/>
    <w:unhideWhenUsed/>
    <w:rsid w:val="00B61C56"/>
    <w:rPr>
      <w:color w:val="0000FF" w:themeColor="hyperlink"/>
      <w:u w:val="single"/>
    </w:rPr>
  </w:style>
  <w:style w:type="character" w:customStyle="1" w:styleId="UnresolvedMention1">
    <w:name w:val="Unresolved Mention1"/>
    <w:basedOn w:val="DefaultParagraphFont"/>
    <w:uiPriority w:val="99"/>
    <w:semiHidden/>
    <w:unhideWhenUsed/>
    <w:rsid w:val="00B61C56"/>
    <w:rPr>
      <w:color w:val="605E5C"/>
      <w:shd w:val="clear" w:color="auto" w:fill="E1DFDD"/>
    </w:rPr>
  </w:style>
  <w:style w:type="paragraph" w:styleId="Header">
    <w:name w:val="header"/>
    <w:basedOn w:val="Normal"/>
    <w:link w:val="HeaderChar"/>
    <w:uiPriority w:val="99"/>
    <w:unhideWhenUsed/>
    <w:rsid w:val="000A4529"/>
    <w:pPr>
      <w:tabs>
        <w:tab w:val="center" w:pos="4513"/>
        <w:tab w:val="right" w:pos="9026"/>
      </w:tabs>
    </w:pPr>
  </w:style>
  <w:style w:type="character" w:customStyle="1" w:styleId="HeaderChar">
    <w:name w:val="Header Char"/>
    <w:basedOn w:val="DefaultParagraphFont"/>
    <w:link w:val="Header"/>
    <w:uiPriority w:val="99"/>
    <w:rsid w:val="000A4529"/>
    <w:rPr>
      <w:rFonts w:ascii="Arial" w:eastAsia="Times New Roman" w:hAnsi="Arial" w:cs="Times New Roman"/>
      <w:sz w:val="24"/>
      <w:szCs w:val="24"/>
      <w:lang w:val="en-GB" w:eastAsia="en-GB"/>
    </w:rPr>
  </w:style>
  <w:style w:type="paragraph" w:styleId="Footer">
    <w:name w:val="footer"/>
    <w:basedOn w:val="Normal"/>
    <w:link w:val="FooterChar"/>
    <w:uiPriority w:val="99"/>
    <w:unhideWhenUsed/>
    <w:rsid w:val="000A4529"/>
    <w:pPr>
      <w:tabs>
        <w:tab w:val="center" w:pos="4513"/>
        <w:tab w:val="right" w:pos="9026"/>
      </w:tabs>
    </w:pPr>
  </w:style>
  <w:style w:type="character" w:customStyle="1" w:styleId="FooterChar">
    <w:name w:val="Footer Char"/>
    <w:basedOn w:val="DefaultParagraphFont"/>
    <w:link w:val="Footer"/>
    <w:uiPriority w:val="99"/>
    <w:rsid w:val="000A4529"/>
    <w:rPr>
      <w:rFonts w:ascii="Arial" w:eastAsia="Times New Roman" w:hAnsi="Arial" w:cs="Times New Roman"/>
      <w:sz w:val="24"/>
      <w:szCs w:val="24"/>
      <w:lang w:val="en-GB" w:eastAsia="en-GB"/>
    </w:rPr>
  </w:style>
  <w:style w:type="character" w:styleId="CommentReference">
    <w:name w:val="annotation reference"/>
    <w:basedOn w:val="DefaultParagraphFont"/>
    <w:uiPriority w:val="99"/>
    <w:semiHidden/>
    <w:unhideWhenUsed/>
    <w:rsid w:val="007759E1"/>
    <w:rPr>
      <w:sz w:val="16"/>
      <w:szCs w:val="16"/>
    </w:rPr>
  </w:style>
  <w:style w:type="paragraph" w:styleId="CommentText">
    <w:name w:val="annotation text"/>
    <w:basedOn w:val="Normal"/>
    <w:link w:val="CommentTextChar"/>
    <w:uiPriority w:val="99"/>
    <w:semiHidden/>
    <w:unhideWhenUsed/>
    <w:rsid w:val="007759E1"/>
    <w:pPr>
      <w:spacing w:line="240" w:lineRule="auto"/>
    </w:pPr>
    <w:rPr>
      <w:sz w:val="20"/>
      <w:szCs w:val="20"/>
    </w:rPr>
  </w:style>
  <w:style w:type="character" w:customStyle="1" w:styleId="CommentTextChar">
    <w:name w:val="Comment Text Char"/>
    <w:basedOn w:val="DefaultParagraphFont"/>
    <w:link w:val="CommentText"/>
    <w:uiPriority w:val="99"/>
    <w:semiHidden/>
    <w:rsid w:val="007759E1"/>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7759E1"/>
    <w:rPr>
      <w:b/>
      <w:bCs/>
    </w:rPr>
  </w:style>
  <w:style w:type="character" w:customStyle="1" w:styleId="CommentSubjectChar">
    <w:name w:val="Comment Subject Char"/>
    <w:basedOn w:val="CommentTextChar"/>
    <w:link w:val="CommentSubject"/>
    <w:uiPriority w:val="99"/>
    <w:semiHidden/>
    <w:rsid w:val="007759E1"/>
    <w:rPr>
      <w:rFonts w:ascii="Arial" w:eastAsia="Times New Roman" w:hAnsi="Arial" w:cs="Times New Roman"/>
      <w:b/>
      <w:bCs/>
      <w:sz w:val="20"/>
      <w:szCs w:val="20"/>
      <w:lang w:val="en-GB" w:eastAsia="en-GB"/>
    </w:rPr>
  </w:style>
  <w:style w:type="character" w:customStyle="1" w:styleId="UnresolvedMention2">
    <w:name w:val="Unresolved Mention2"/>
    <w:basedOn w:val="DefaultParagraphFont"/>
    <w:uiPriority w:val="99"/>
    <w:semiHidden/>
    <w:unhideWhenUsed/>
    <w:rsid w:val="00933D4F"/>
    <w:rPr>
      <w:color w:val="605E5C"/>
      <w:shd w:val="clear" w:color="auto" w:fill="E1DFDD"/>
    </w:rPr>
  </w:style>
  <w:style w:type="paragraph" w:customStyle="1" w:styleId="western">
    <w:name w:val="western"/>
    <w:basedOn w:val="Normal"/>
    <w:rsid w:val="00AA579E"/>
    <w:pPr>
      <w:spacing w:before="100" w:beforeAutospacing="1" w:after="100" w:afterAutospacing="1" w:line="240" w:lineRule="auto"/>
      <w:jc w:val="left"/>
    </w:pPr>
    <w:rPr>
      <w:rFonts w:ascii="Times New Roman" w:hAnsi="Times New Roman"/>
      <w:lang w:eastAsia="en-ZA"/>
    </w:rPr>
  </w:style>
  <w:style w:type="paragraph" w:customStyle="1" w:styleId="lg-a-1">
    <w:name w:val="lg-a-1"/>
    <w:basedOn w:val="Normal"/>
    <w:rsid w:val="004A0072"/>
    <w:pPr>
      <w:spacing w:before="100" w:beforeAutospacing="1" w:after="100" w:afterAutospacing="1" w:line="240" w:lineRule="auto"/>
      <w:jc w:val="left"/>
    </w:pPr>
    <w:rPr>
      <w:rFonts w:ascii="Times New Roman" w:hAnsi="Times New Roman"/>
      <w:lang w:eastAsia="en-ZA"/>
    </w:rPr>
  </w:style>
  <w:style w:type="paragraph" w:customStyle="1" w:styleId="lg-definition">
    <w:name w:val="lg-definition"/>
    <w:basedOn w:val="Normal"/>
    <w:rsid w:val="004A0072"/>
    <w:pPr>
      <w:spacing w:before="100" w:beforeAutospacing="1" w:after="100" w:afterAutospacing="1" w:line="240" w:lineRule="auto"/>
      <w:jc w:val="left"/>
    </w:pPr>
    <w:rPr>
      <w:rFonts w:ascii="Times New Roman" w:hAnsi="Times New Roman"/>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546464">
      <w:bodyDiv w:val="1"/>
      <w:marLeft w:val="0"/>
      <w:marRight w:val="0"/>
      <w:marTop w:val="0"/>
      <w:marBottom w:val="0"/>
      <w:divBdr>
        <w:top w:val="none" w:sz="0" w:space="0" w:color="auto"/>
        <w:left w:val="none" w:sz="0" w:space="0" w:color="auto"/>
        <w:bottom w:val="none" w:sz="0" w:space="0" w:color="auto"/>
        <w:right w:val="none" w:sz="0" w:space="0" w:color="auto"/>
      </w:divBdr>
      <w:divsChild>
        <w:div w:id="357895650">
          <w:marLeft w:val="0"/>
          <w:marRight w:val="0"/>
          <w:marTop w:val="0"/>
          <w:marBottom w:val="0"/>
          <w:divBdr>
            <w:top w:val="none" w:sz="0" w:space="0" w:color="auto"/>
            <w:left w:val="none" w:sz="0" w:space="0" w:color="auto"/>
            <w:bottom w:val="none" w:sz="0" w:space="0" w:color="auto"/>
            <w:right w:val="none" w:sz="0" w:space="0" w:color="auto"/>
          </w:divBdr>
        </w:div>
      </w:divsChild>
    </w:div>
    <w:div w:id="307832539">
      <w:bodyDiv w:val="1"/>
      <w:marLeft w:val="0"/>
      <w:marRight w:val="0"/>
      <w:marTop w:val="0"/>
      <w:marBottom w:val="0"/>
      <w:divBdr>
        <w:top w:val="none" w:sz="0" w:space="0" w:color="auto"/>
        <w:left w:val="none" w:sz="0" w:space="0" w:color="auto"/>
        <w:bottom w:val="none" w:sz="0" w:space="0" w:color="auto"/>
        <w:right w:val="none" w:sz="0" w:space="0" w:color="auto"/>
      </w:divBdr>
      <w:divsChild>
        <w:div w:id="304044362">
          <w:marLeft w:val="0"/>
          <w:marRight w:val="0"/>
          <w:marTop w:val="0"/>
          <w:marBottom w:val="0"/>
          <w:divBdr>
            <w:top w:val="none" w:sz="0" w:space="0" w:color="auto"/>
            <w:left w:val="none" w:sz="0" w:space="0" w:color="auto"/>
            <w:bottom w:val="none" w:sz="0" w:space="0" w:color="auto"/>
            <w:right w:val="none" w:sz="0" w:space="0" w:color="auto"/>
          </w:divBdr>
        </w:div>
      </w:divsChild>
    </w:div>
    <w:div w:id="1222136097">
      <w:bodyDiv w:val="1"/>
      <w:marLeft w:val="0"/>
      <w:marRight w:val="0"/>
      <w:marTop w:val="0"/>
      <w:marBottom w:val="0"/>
      <w:divBdr>
        <w:top w:val="none" w:sz="0" w:space="0" w:color="auto"/>
        <w:left w:val="none" w:sz="0" w:space="0" w:color="auto"/>
        <w:bottom w:val="none" w:sz="0" w:space="0" w:color="auto"/>
        <w:right w:val="none" w:sz="0" w:space="0" w:color="auto"/>
      </w:divBdr>
      <w:divsChild>
        <w:div w:id="1599100752">
          <w:marLeft w:val="0"/>
          <w:marRight w:val="0"/>
          <w:marTop w:val="0"/>
          <w:marBottom w:val="0"/>
          <w:divBdr>
            <w:top w:val="none" w:sz="0" w:space="0" w:color="auto"/>
            <w:left w:val="none" w:sz="0" w:space="0" w:color="auto"/>
            <w:bottom w:val="none" w:sz="0" w:space="0" w:color="auto"/>
            <w:right w:val="none" w:sz="0" w:space="0" w:color="auto"/>
          </w:divBdr>
        </w:div>
      </w:divsChild>
    </w:div>
    <w:div w:id="1249733149">
      <w:bodyDiv w:val="1"/>
      <w:marLeft w:val="0"/>
      <w:marRight w:val="0"/>
      <w:marTop w:val="0"/>
      <w:marBottom w:val="0"/>
      <w:divBdr>
        <w:top w:val="none" w:sz="0" w:space="0" w:color="auto"/>
        <w:left w:val="none" w:sz="0" w:space="0" w:color="auto"/>
        <w:bottom w:val="none" w:sz="0" w:space="0" w:color="auto"/>
        <w:right w:val="none" w:sz="0" w:space="0" w:color="auto"/>
      </w:divBdr>
      <w:divsChild>
        <w:div w:id="128716269">
          <w:marLeft w:val="0"/>
          <w:marRight w:val="0"/>
          <w:marTop w:val="0"/>
          <w:marBottom w:val="0"/>
          <w:divBdr>
            <w:top w:val="none" w:sz="0" w:space="0" w:color="auto"/>
            <w:left w:val="none" w:sz="0" w:space="0" w:color="auto"/>
            <w:bottom w:val="none" w:sz="0" w:space="0" w:color="auto"/>
            <w:right w:val="none" w:sz="0" w:space="0" w:color="auto"/>
          </w:divBdr>
        </w:div>
      </w:divsChild>
    </w:div>
    <w:div w:id="1249997238">
      <w:bodyDiv w:val="1"/>
      <w:marLeft w:val="0"/>
      <w:marRight w:val="0"/>
      <w:marTop w:val="0"/>
      <w:marBottom w:val="0"/>
      <w:divBdr>
        <w:top w:val="none" w:sz="0" w:space="0" w:color="auto"/>
        <w:left w:val="none" w:sz="0" w:space="0" w:color="auto"/>
        <w:bottom w:val="none" w:sz="0" w:space="0" w:color="auto"/>
        <w:right w:val="none" w:sz="0" w:space="0" w:color="auto"/>
      </w:divBdr>
      <w:divsChild>
        <w:div w:id="996111073">
          <w:marLeft w:val="0"/>
          <w:marRight w:val="0"/>
          <w:marTop w:val="0"/>
          <w:marBottom w:val="0"/>
          <w:divBdr>
            <w:top w:val="none" w:sz="0" w:space="0" w:color="auto"/>
            <w:left w:val="none" w:sz="0" w:space="0" w:color="auto"/>
            <w:bottom w:val="none" w:sz="0" w:space="0" w:color="auto"/>
            <w:right w:val="none" w:sz="0" w:space="0" w:color="auto"/>
          </w:divBdr>
        </w:div>
      </w:divsChild>
    </w:div>
    <w:div w:id="1528135554">
      <w:bodyDiv w:val="1"/>
      <w:marLeft w:val="0"/>
      <w:marRight w:val="0"/>
      <w:marTop w:val="0"/>
      <w:marBottom w:val="0"/>
      <w:divBdr>
        <w:top w:val="none" w:sz="0" w:space="0" w:color="auto"/>
        <w:left w:val="none" w:sz="0" w:space="0" w:color="auto"/>
        <w:bottom w:val="none" w:sz="0" w:space="0" w:color="auto"/>
        <w:right w:val="none" w:sz="0" w:space="0" w:color="auto"/>
      </w:divBdr>
      <w:divsChild>
        <w:div w:id="1802917069">
          <w:marLeft w:val="0"/>
          <w:marRight w:val="0"/>
          <w:marTop w:val="0"/>
          <w:marBottom w:val="0"/>
          <w:divBdr>
            <w:top w:val="none" w:sz="0" w:space="0" w:color="auto"/>
            <w:left w:val="none" w:sz="0" w:space="0" w:color="auto"/>
            <w:bottom w:val="none" w:sz="0" w:space="0" w:color="auto"/>
            <w:right w:val="none" w:sz="0" w:space="0" w:color="auto"/>
          </w:divBdr>
        </w:div>
      </w:divsChild>
    </w:div>
    <w:div w:id="1849367532">
      <w:bodyDiv w:val="1"/>
      <w:marLeft w:val="0"/>
      <w:marRight w:val="0"/>
      <w:marTop w:val="0"/>
      <w:marBottom w:val="0"/>
      <w:divBdr>
        <w:top w:val="none" w:sz="0" w:space="0" w:color="auto"/>
        <w:left w:val="none" w:sz="0" w:space="0" w:color="auto"/>
        <w:bottom w:val="none" w:sz="0" w:space="0" w:color="auto"/>
        <w:right w:val="none" w:sz="0" w:space="0" w:color="auto"/>
      </w:divBdr>
      <w:divsChild>
        <w:div w:id="801850380">
          <w:marLeft w:val="720"/>
          <w:marRight w:val="0"/>
          <w:marTop w:val="0"/>
          <w:marBottom w:val="0"/>
          <w:divBdr>
            <w:top w:val="none" w:sz="0" w:space="0" w:color="auto"/>
            <w:left w:val="none" w:sz="0" w:space="0" w:color="auto"/>
            <w:bottom w:val="none" w:sz="0" w:space="0" w:color="auto"/>
            <w:right w:val="none" w:sz="0" w:space="0" w:color="auto"/>
          </w:divBdr>
        </w:div>
        <w:div w:id="577986079">
          <w:marLeft w:val="1700"/>
          <w:marRight w:val="0"/>
          <w:marTop w:val="60"/>
          <w:marBottom w:val="0"/>
          <w:divBdr>
            <w:top w:val="none" w:sz="0" w:space="0" w:color="auto"/>
            <w:left w:val="none" w:sz="0" w:space="0" w:color="auto"/>
            <w:bottom w:val="none" w:sz="0" w:space="0" w:color="auto"/>
            <w:right w:val="none" w:sz="0" w:space="0" w:color="auto"/>
          </w:divBdr>
        </w:div>
      </w:divsChild>
    </w:div>
    <w:div w:id="2136168250">
      <w:bodyDiv w:val="1"/>
      <w:marLeft w:val="0"/>
      <w:marRight w:val="0"/>
      <w:marTop w:val="0"/>
      <w:marBottom w:val="0"/>
      <w:divBdr>
        <w:top w:val="none" w:sz="0" w:space="0" w:color="auto"/>
        <w:left w:val="none" w:sz="0" w:space="0" w:color="auto"/>
        <w:bottom w:val="none" w:sz="0" w:space="0" w:color="auto"/>
        <w:right w:val="none" w:sz="0" w:space="0" w:color="auto"/>
      </w:divBdr>
      <w:divsChild>
        <w:div w:id="1119570437">
          <w:marLeft w:val="0"/>
          <w:marRight w:val="0"/>
          <w:marTop w:val="0"/>
          <w:marBottom w:val="0"/>
          <w:divBdr>
            <w:top w:val="none" w:sz="0" w:space="0" w:color="auto"/>
            <w:left w:val="none" w:sz="0" w:space="0" w:color="auto"/>
            <w:bottom w:val="single" w:sz="6" w:space="0" w:color="808080"/>
            <w:right w:val="none" w:sz="0" w:space="0" w:color="auto"/>
          </w:divBdr>
          <w:divsChild>
            <w:div w:id="172231010">
              <w:marLeft w:val="0"/>
              <w:marRight w:val="0"/>
              <w:marTop w:val="0"/>
              <w:marBottom w:val="30"/>
              <w:divBdr>
                <w:top w:val="none" w:sz="0" w:space="0" w:color="auto"/>
                <w:left w:val="none" w:sz="0" w:space="0" w:color="auto"/>
                <w:bottom w:val="none" w:sz="0" w:space="0" w:color="auto"/>
                <w:right w:val="none" w:sz="0" w:space="0" w:color="auto"/>
              </w:divBdr>
            </w:div>
            <w:div w:id="2062708110">
              <w:marLeft w:val="30"/>
              <w:marRight w:val="30"/>
              <w:marTop w:val="30"/>
              <w:marBottom w:val="30"/>
              <w:divBdr>
                <w:top w:val="single" w:sz="6" w:space="2" w:color="808080"/>
                <w:left w:val="single" w:sz="6" w:space="2" w:color="808080"/>
                <w:bottom w:val="single" w:sz="6" w:space="2" w:color="808080"/>
                <w:right w:val="single" w:sz="6" w:space="2" w:color="808080"/>
              </w:divBdr>
            </w:div>
            <w:div w:id="2146504023">
              <w:marLeft w:val="0"/>
              <w:marRight w:val="0"/>
              <w:marTop w:val="0"/>
              <w:marBottom w:val="0"/>
              <w:divBdr>
                <w:top w:val="single" w:sz="2" w:space="0" w:color="FF0000"/>
                <w:left w:val="single" w:sz="2" w:space="0" w:color="FF0000"/>
                <w:bottom w:val="single" w:sz="2" w:space="0" w:color="FF0000"/>
                <w:right w:val="single" w:sz="2" w:space="0" w:color="FF0000"/>
              </w:divBdr>
              <w:divsChild>
                <w:div w:id="670138197">
                  <w:marLeft w:val="0"/>
                  <w:marRight w:val="0"/>
                  <w:marTop w:val="0"/>
                  <w:marBottom w:val="30"/>
                  <w:divBdr>
                    <w:top w:val="none" w:sz="0" w:space="0" w:color="auto"/>
                    <w:left w:val="none" w:sz="0" w:space="0" w:color="auto"/>
                    <w:bottom w:val="none" w:sz="0" w:space="0" w:color="auto"/>
                    <w:right w:val="none" w:sz="0" w:space="0" w:color="auto"/>
                  </w:divBdr>
                  <w:divsChild>
                    <w:div w:id="2082633256">
                      <w:marLeft w:val="30"/>
                      <w:marRight w:val="30"/>
                      <w:marTop w:val="30"/>
                      <w:marBottom w:val="30"/>
                      <w:divBdr>
                        <w:top w:val="single" w:sz="6" w:space="2" w:color="808080"/>
                        <w:left w:val="single" w:sz="6" w:space="2" w:color="808080"/>
                        <w:bottom w:val="single" w:sz="6" w:space="2" w:color="808080"/>
                        <w:right w:val="single" w:sz="6" w:space="2" w:color="808080"/>
                      </w:divBdr>
                    </w:div>
                    <w:div w:id="2133789709">
                      <w:marLeft w:val="30"/>
                      <w:marRight w:val="30"/>
                      <w:marTop w:val="30"/>
                      <w:marBottom w:val="30"/>
                      <w:divBdr>
                        <w:top w:val="single" w:sz="6" w:space="2" w:color="808080"/>
                        <w:left w:val="single" w:sz="6" w:space="2" w:color="808080"/>
                        <w:bottom w:val="single" w:sz="6" w:space="2" w:color="808080"/>
                        <w:right w:val="single" w:sz="6" w:space="2" w:color="808080"/>
                      </w:divBdr>
                    </w:div>
                    <w:div w:id="1816490529">
                      <w:marLeft w:val="30"/>
                      <w:marRight w:val="30"/>
                      <w:marTop w:val="30"/>
                      <w:marBottom w:val="30"/>
                      <w:divBdr>
                        <w:top w:val="single" w:sz="6" w:space="2" w:color="808080"/>
                        <w:left w:val="single" w:sz="6" w:space="2" w:color="808080"/>
                        <w:bottom w:val="single" w:sz="6" w:space="2" w:color="808080"/>
                        <w:right w:val="single" w:sz="6" w:space="2" w:color="808080"/>
                      </w:divBdr>
                    </w:div>
                    <w:div w:id="1927570542">
                      <w:marLeft w:val="30"/>
                      <w:marRight w:val="30"/>
                      <w:marTop w:val="30"/>
                      <w:marBottom w:val="30"/>
                      <w:divBdr>
                        <w:top w:val="single" w:sz="6" w:space="2" w:color="808080"/>
                        <w:left w:val="single" w:sz="6" w:space="2" w:color="808080"/>
                        <w:bottom w:val="single" w:sz="6" w:space="2" w:color="808080"/>
                        <w:right w:val="single" w:sz="6" w:space="2" w:color="808080"/>
                      </w:divBdr>
                    </w:div>
                    <w:div w:id="1959952016">
                      <w:marLeft w:val="30"/>
                      <w:marRight w:val="30"/>
                      <w:marTop w:val="30"/>
                      <w:marBottom w:val="30"/>
                      <w:divBdr>
                        <w:top w:val="single" w:sz="6" w:space="2" w:color="808080"/>
                        <w:left w:val="single" w:sz="6" w:space="2" w:color="808080"/>
                        <w:bottom w:val="single" w:sz="6" w:space="2" w:color="808080"/>
                        <w:right w:val="single" w:sz="6" w:space="2" w:color="808080"/>
                      </w:divBdr>
                    </w:div>
                    <w:div w:id="100997336">
                      <w:marLeft w:val="30"/>
                      <w:marRight w:val="30"/>
                      <w:marTop w:val="30"/>
                      <w:marBottom w:val="30"/>
                      <w:divBdr>
                        <w:top w:val="single" w:sz="6" w:space="2" w:color="808080"/>
                        <w:left w:val="single" w:sz="6" w:space="2" w:color="808080"/>
                        <w:bottom w:val="single" w:sz="6" w:space="2" w:color="808080"/>
                        <w:right w:val="single" w:sz="6" w:space="2" w:color="808080"/>
                      </w:divBdr>
                    </w:div>
                  </w:divsChild>
                </w:div>
              </w:divsChild>
            </w:div>
          </w:divsChild>
        </w:div>
        <w:div w:id="176164201">
          <w:marLeft w:val="0"/>
          <w:marRight w:val="0"/>
          <w:marTop w:val="0"/>
          <w:marBottom w:val="0"/>
          <w:divBdr>
            <w:top w:val="none" w:sz="0" w:space="0" w:color="auto"/>
            <w:left w:val="none" w:sz="0" w:space="0" w:color="auto"/>
            <w:bottom w:val="none" w:sz="0" w:space="0" w:color="auto"/>
            <w:right w:val="none" w:sz="0" w:space="0" w:color="auto"/>
          </w:divBdr>
          <w:divsChild>
            <w:div w:id="1797792507">
              <w:marLeft w:val="0"/>
              <w:marRight w:val="0"/>
              <w:marTop w:val="0"/>
              <w:marBottom w:val="75"/>
              <w:divBdr>
                <w:top w:val="single" w:sz="6" w:space="4" w:color="808080"/>
                <w:left w:val="single" w:sz="6" w:space="4" w:color="808080"/>
                <w:bottom w:val="single" w:sz="6" w:space="4" w:color="808080"/>
                <w:right w:val="single" w:sz="6" w:space="4" w:color="808080"/>
              </w:divBdr>
              <w:divsChild>
                <w:div w:id="1200892671">
                  <w:marLeft w:val="0"/>
                  <w:marRight w:val="0"/>
                  <w:marTop w:val="75"/>
                  <w:marBottom w:val="0"/>
                  <w:divBdr>
                    <w:top w:val="none" w:sz="0" w:space="0" w:color="auto"/>
                    <w:left w:val="none" w:sz="0" w:space="0" w:color="auto"/>
                    <w:bottom w:val="none" w:sz="0" w:space="0" w:color="auto"/>
                    <w:right w:val="none" w:sz="0" w:space="0" w:color="auto"/>
                  </w:divBdr>
                  <w:divsChild>
                    <w:div w:id="881135626">
                      <w:marLeft w:val="30"/>
                      <w:marRight w:val="30"/>
                      <w:marTop w:val="30"/>
                      <w:marBottom w:val="30"/>
                      <w:divBdr>
                        <w:top w:val="single" w:sz="6" w:space="2" w:color="808080"/>
                        <w:left w:val="single" w:sz="6" w:space="2" w:color="808080"/>
                        <w:bottom w:val="single" w:sz="6" w:space="2" w:color="808080"/>
                        <w:right w:val="single" w:sz="6" w:space="2" w:color="808080"/>
                      </w:divBdr>
                    </w:div>
                    <w:div w:id="1310329311">
                      <w:marLeft w:val="30"/>
                      <w:marRight w:val="30"/>
                      <w:marTop w:val="30"/>
                      <w:marBottom w:val="30"/>
                      <w:divBdr>
                        <w:top w:val="single" w:sz="6" w:space="2" w:color="808080"/>
                        <w:left w:val="single" w:sz="6" w:space="2" w:color="808080"/>
                        <w:bottom w:val="single" w:sz="6" w:space="2" w:color="808080"/>
                        <w:right w:val="single" w:sz="6" w:space="2" w:color="808080"/>
                      </w:divBdr>
                    </w:div>
                  </w:divsChild>
                </w:div>
                <w:div w:id="1513908664">
                  <w:marLeft w:val="0"/>
                  <w:marRight w:val="0"/>
                  <w:marTop w:val="0"/>
                  <w:marBottom w:val="0"/>
                  <w:divBdr>
                    <w:top w:val="none" w:sz="0" w:space="0" w:color="auto"/>
                    <w:left w:val="none" w:sz="0" w:space="0" w:color="auto"/>
                    <w:bottom w:val="none" w:sz="0" w:space="0" w:color="auto"/>
                    <w:right w:val="none" w:sz="0" w:space="0" w:color="auto"/>
                  </w:divBdr>
                  <w:divsChild>
                    <w:div w:id="209662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C0D10-ED1F-4A9D-87B3-5E4C93570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25</Pages>
  <Words>4818</Words>
  <Characters>27467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Zintle Twaku</dc:creator>
  <cp:lastModifiedBy>sathish sarshan  mohan</cp:lastModifiedBy>
  <cp:revision>14</cp:revision>
  <cp:lastPrinted>2024-03-06T11:15:00Z</cp:lastPrinted>
  <dcterms:created xsi:type="dcterms:W3CDTF">2024-03-06T07:38:00Z</dcterms:created>
  <dcterms:modified xsi:type="dcterms:W3CDTF">2024-03-17T15:25:00Z</dcterms:modified>
</cp:coreProperties>
</file>