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8A3E75" w14:textId="77777777" w:rsidR="00C2587F" w:rsidRPr="000C7880" w:rsidRDefault="00C2587F" w:rsidP="00C2587F">
      <w:pPr>
        <w:rPr>
          <w:rFonts w:ascii="Times New Roman" w:hAnsi="Times New Roman" w:cs="Times New Roman"/>
          <w:sz w:val="28"/>
          <w:szCs w:val="28"/>
        </w:rPr>
      </w:pPr>
      <w:r w:rsidRPr="000C7880">
        <w:rPr>
          <w:rFonts w:ascii="Times New Roman" w:hAnsi="Times New Roman" w:cs="Times New Roman"/>
          <w:noProof/>
          <w:color w:val="000000" w:themeColor="text1"/>
          <w:sz w:val="28"/>
          <w:szCs w:val="28"/>
          <w:lang w:eastAsia="en-ZA"/>
        </w:rPr>
        <w:drawing>
          <wp:anchor distT="0" distB="0" distL="114300" distR="114300" simplePos="0" relativeHeight="251659264" behindDoc="0" locked="0" layoutInCell="1" allowOverlap="1" wp14:anchorId="207A0B5D" wp14:editId="02617A0E">
            <wp:simplePos x="0" y="0"/>
            <wp:positionH relativeFrom="column">
              <wp:posOffset>2295525</wp:posOffset>
            </wp:positionH>
            <wp:positionV relativeFrom="paragraph">
              <wp:posOffset>52705</wp:posOffset>
            </wp:positionV>
            <wp:extent cx="1247775" cy="1247775"/>
            <wp:effectExtent l="0" t="0" r="9525" b="9525"/>
            <wp:wrapSquare wrapText="bothSides"/>
            <wp:docPr id="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anchor>
        </w:drawing>
      </w:r>
    </w:p>
    <w:p w14:paraId="338AF216" w14:textId="77777777" w:rsidR="00C2587F" w:rsidRPr="000C7880" w:rsidRDefault="00C2587F" w:rsidP="00C2587F">
      <w:pPr>
        <w:tabs>
          <w:tab w:val="left" w:pos="2415"/>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14:paraId="7475F8D3" w14:textId="77777777" w:rsidR="00C2587F" w:rsidRPr="000C7880" w:rsidRDefault="00C2587F" w:rsidP="00C2587F">
      <w:pPr>
        <w:spacing w:after="0"/>
        <w:rPr>
          <w:rFonts w:ascii="Times New Roman" w:hAnsi="Times New Roman" w:cs="Times New Roman"/>
          <w:color w:val="000000" w:themeColor="text1"/>
          <w:sz w:val="28"/>
          <w:szCs w:val="28"/>
        </w:rPr>
      </w:pPr>
    </w:p>
    <w:p w14:paraId="6CD7B7C0" w14:textId="77777777" w:rsidR="00C2587F" w:rsidRDefault="00C2587F" w:rsidP="00C2587F">
      <w:pPr>
        <w:spacing w:after="0"/>
        <w:rPr>
          <w:rFonts w:ascii="Times New Roman" w:hAnsi="Times New Roman" w:cs="Times New Roman"/>
          <w:color w:val="000000" w:themeColor="text1"/>
          <w:sz w:val="28"/>
          <w:szCs w:val="28"/>
        </w:rPr>
      </w:pPr>
      <w:r w:rsidRPr="000C788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
    <w:p w14:paraId="2AB13FC1" w14:textId="77777777" w:rsidR="00C2587F" w:rsidRDefault="00C2587F" w:rsidP="00C2587F">
      <w:pPr>
        <w:spacing w:after="0"/>
        <w:rPr>
          <w:rFonts w:ascii="Times New Roman" w:hAnsi="Times New Roman" w:cs="Times New Roman"/>
          <w:color w:val="000000" w:themeColor="text1"/>
          <w:sz w:val="28"/>
          <w:szCs w:val="28"/>
        </w:rPr>
      </w:pPr>
    </w:p>
    <w:p w14:paraId="6CE7A474" w14:textId="77777777" w:rsidR="00C2587F" w:rsidRDefault="00C2587F" w:rsidP="00C2587F">
      <w:pPr>
        <w:spacing w:after="0"/>
        <w:rPr>
          <w:rFonts w:ascii="Times New Roman" w:hAnsi="Times New Roman" w:cs="Times New Roman"/>
          <w:color w:val="000000" w:themeColor="text1"/>
          <w:sz w:val="28"/>
          <w:szCs w:val="28"/>
        </w:rPr>
      </w:pPr>
    </w:p>
    <w:p w14:paraId="0D9CF213" w14:textId="77777777" w:rsidR="00A27AE1" w:rsidRPr="00A27AE1" w:rsidRDefault="00A27AE1" w:rsidP="00A27AE1">
      <w:pPr>
        <w:spacing w:after="0" w:line="36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   </w:t>
      </w:r>
      <w:r w:rsidRPr="00A27AE1">
        <w:rPr>
          <w:rFonts w:ascii="Times New Roman" w:eastAsia="Calibri" w:hAnsi="Times New Roman" w:cs="Times New Roman"/>
          <w:b/>
          <w:color w:val="000000"/>
          <w:sz w:val="28"/>
          <w:szCs w:val="28"/>
        </w:rPr>
        <w:t>HIGH COURT OF SOUTH AFRICA</w:t>
      </w:r>
    </w:p>
    <w:p w14:paraId="58FF8729" w14:textId="77777777" w:rsidR="00C2587F" w:rsidRPr="00D72A63" w:rsidRDefault="00A27AE1" w:rsidP="00A27AE1">
      <w:pPr>
        <w:tabs>
          <w:tab w:val="center" w:pos="4513"/>
          <w:tab w:val="left" w:pos="7826"/>
        </w:tabs>
        <w:spacing w:after="120"/>
        <w:rPr>
          <w:rFonts w:ascii="Times New Roman" w:hAnsi="Times New Roman" w:cs="Times New Roman"/>
          <w:b/>
          <w:color w:val="000000" w:themeColor="text1"/>
          <w:sz w:val="28"/>
          <w:szCs w:val="28"/>
        </w:rPr>
      </w:pPr>
      <w:r w:rsidRPr="00A27AE1">
        <w:rPr>
          <w:rFonts w:ascii="Times New Roman" w:eastAsia="Calibri" w:hAnsi="Times New Roman" w:cs="Times New Roman"/>
          <w:b/>
          <w:color w:val="000000"/>
          <w:sz w:val="28"/>
          <w:szCs w:val="28"/>
        </w:rPr>
        <w:t xml:space="preserve">                                   (GAUTENG DIVISION, PRETORIA)</w:t>
      </w:r>
      <w:r w:rsidR="00C2587F">
        <w:rPr>
          <w:rFonts w:ascii="Times New Roman" w:hAnsi="Times New Roman" w:cs="Times New Roman"/>
          <w:b/>
          <w:color w:val="000000" w:themeColor="text1"/>
          <w:sz w:val="28"/>
          <w:szCs w:val="28"/>
        </w:rPr>
        <w:tab/>
      </w:r>
      <w:r w:rsidR="00C2587F">
        <w:rPr>
          <w:rFonts w:ascii="Times New Roman" w:hAnsi="Times New Roman" w:cs="Times New Roman"/>
          <w:b/>
          <w:color w:val="000000" w:themeColor="text1"/>
          <w:sz w:val="28"/>
          <w:szCs w:val="28"/>
        </w:rPr>
        <w:tab/>
      </w:r>
      <w:r w:rsidR="00C2587F" w:rsidRPr="000C7880">
        <w:rPr>
          <w:rFonts w:ascii="Times New Roman" w:hAnsi="Times New Roman" w:cs="Times New Roman"/>
          <w:b/>
          <w:color w:val="000000" w:themeColor="text1"/>
          <w:sz w:val="28"/>
          <w:szCs w:val="28"/>
          <w:highlight w:val="yellow"/>
        </w:rPr>
        <w:t xml:space="preserve">                                                                    </w:t>
      </w:r>
    </w:p>
    <w:p w14:paraId="5DF11BF1" w14:textId="77777777" w:rsidR="00A27AE1" w:rsidRDefault="00C2587F" w:rsidP="00A27AE1">
      <w:pPr>
        <w:spacing w:after="240"/>
        <w:ind w:right="-46"/>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Pr="000C7880">
        <w:rPr>
          <w:rFonts w:ascii="Times New Roman" w:hAnsi="Times New Roman" w:cs="Times New Roman"/>
          <w:b/>
          <w:color w:val="000000" w:themeColor="text1"/>
          <w:sz w:val="28"/>
          <w:szCs w:val="28"/>
        </w:rPr>
        <w:t xml:space="preserve">                                                      </w:t>
      </w:r>
      <w:r w:rsidR="00A27661">
        <w:rPr>
          <w:rFonts w:ascii="Times New Roman" w:hAnsi="Times New Roman" w:cs="Times New Roman"/>
          <w:b/>
          <w:color w:val="000000" w:themeColor="text1"/>
          <w:sz w:val="28"/>
          <w:szCs w:val="28"/>
        </w:rPr>
        <w:t xml:space="preserve">                   </w:t>
      </w:r>
      <w:r w:rsidR="00A27661">
        <w:rPr>
          <w:rFonts w:ascii="Times New Roman" w:hAnsi="Times New Roman" w:cs="Times New Roman"/>
          <w:b/>
          <w:color w:val="000000" w:themeColor="text1"/>
          <w:sz w:val="28"/>
          <w:szCs w:val="28"/>
        </w:rPr>
        <w:tab/>
        <w:t xml:space="preserve">   </w:t>
      </w:r>
    </w:p>
    <w:p w14:paraId="05C9C38C" w14:textId="5CF3D381" w:rsidR="00A27AE1" w:rsidRPr="0023158E" w:rsidRDefault="00A27661" w:rsidP="0023158E">
      <w:pPr>
        <w:pStyle w:val="NewNormal"/>
        <w:ind w:left="5040" w:right="-426" w:firstLine="720"/>
        <w:jc w:val="center"/>
        <w:rPr>
          <w:rFonts w:ascii="Times New Roman" w:hAnsi="Times New Roman"/>
          <w:b/>
          <w:sz w:val="28"/>
          <w:szCs w:val="28"/>
        </w:rPr>
      </w:pPr>
      <w:r w:rsidRPr="00A27AE1">
        <w:rPr>
          <w:rFonts w:ascii="Times New Roman" w:hAnsi="Times New Roman"/>
          <w:b/>
          <w:color w:val="000000" w:themeColor="text1"/>
          <w:sz w:val="28"/>
          <w:szCs w:val="28"/>
        </w:rPr>
        <w:t xml:space="preserve"> </w:t>
      </w:r>
      <w:r w:rsidR="00E76557" w:rsidRPr="0023158E">
        <w:rPr>
          <w:rFonts w:ascii="Times New Roman" w:hAnsi="Times New Roman"/>
          <w:b/>
          <w:sz w:val="28"/>
          <w:szCs w:val="28"/>
        </w:rPr>
        <w:t>CASE NO:</w:t>
      </w:r>
      <w:r w:rsidR="00E76557" w:rsidRPr="0023158E">
        <w:rPr>
          <w:rFonts w:ascii="Times New Roman" w:hAnsi="Times New Roman"/>
          <w:sz w:val="28"/>
          <w:szCs w:val="28"/>
        </w:rPr>
        <w:t xml:space="preserve"> </w:t>
      </w:r>
      <w:r w:rsidR="00E76557" w:rsidRPr="0023158E">
        <w:rPr>
          <w:rFonts w:ascii="Times New Roman" w:hAnsi="Times New Roman"/>
          <w:b/>
          <w:bCs/>
          <w:sz w:val="28"/>
          <w:szCs w:val="28"/>
        </w:rPr>
        <w:t>022464/2023</w:t>
      </w: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A27AE1" w:rsidRPr="00A27AE1" w14:paraId="321D4F85" w14:textId="77777777" w:rsidTr="004A611D">
        <w:tc>
          <w:tcPr>
            <w:tcW w:w="4428" w:type="dxa"/>
          </w:tcPr>
          <w:p w14:paraId="285F80EB" w14:textId="77777777" w:rsidR="00A27AE1" w:rsidRPr="00A27AE1" w:rsidRDefault="00A27AE1" w:rsidP="00A27AE1">
            <w:pPr>
              <w:spacing w:after="0" w:line="360" w:lineRule="auto"/>
              <w:rPr>
                <w:rFonts w:ascii="Times New Roman" w:eastAsia="Calibri" w:hAnsi="Times New Roman" w:cs="Arial"/>
                <w:b/>
                <w:spacing w:val="3"/>
                <w:w w:val="104"/>
                <w:kern w:val="24"/>
                <w:sz w:val="18"/>
                <w:szCs w:val="18"/>
                <w:lang w:val="en-GB"/>
              </w:rPr>
            </w:pPr>
            <w:bookmarkStart w:id="0" w:name="OLE_LINK1"/>
            <w:bookmarkStart w:id="1" w:name="OLE_LINK2"/>
            <w:bookmarkStart w:id="2" w:name="OLE_LINK3"/>
            <w:bookmarkStart w:id="3" w:name="OLE_LINK4"/>
          </w:p>
          <w:p w14:paraId="72E16D8B" w14:textId="77777777" w:rsidR="00A27AE1" w:rsidRPr="00A27AE1" w:rsidRDefault="00A27AE1" w:rsidP="00A27AE1">
            <w:pPr>
              <w:spacing w:after="0" w:line="360" w:lineRule="auto"/>
              <w:rPr>
                <w:rFonts w:ascii="Times New Roman" w:eastAsia="Calibri" w:hAnsi="Times New Roman" w:cs="Arial"/>
                <w:b/>
                <w:spacing w:val="3"/>
                <w:w w:val="104"/>
                <w:kern w:val="24"/>
                <w:sz w:val="18"/>
                <w:szCs w:val="18"/>
                <w:lang w:val="en-GB"/>
              </w:rPr>
            </w:pPr>
            <w:r w:rsidRPr="00A27AE1">
              <w:rPr>
                <w:rFonts w:ascii="Times New Roman" w:eastAsia="Calibri" w:hAnsi="Times New Roman" w:cs="Arial"/>
                <w:b/>
                <w:spacing w:val="3"/>
                <w:w w:val="104"/>
                <w:kern w:val="24"/>
                <w:sz w:val="18"/>
                <w:szCs w:val="18"/>
                <w:lang w:val="en-GB"/>
              </w:rPr>
              <w:t>(1) REPORTABLE:  NO.</w:t>
            </w:r>
          </w:p>
          <w:p w14:paraId="4D3453D9" w14:textId="77777777" w:rsidR="00A27AE1" w:rsidRPr="00A27AE1" w:rsidRDefault="00A27AE1" w:rsidP="00A27AE1">
            <w:pPr>
              <w:spacing w:after="0" w:line="360" w:lineRule="auto"/>
              <w:rPr>
                <w:rFonts w:ascii="Times New Roman" w:eastAsia="Calibri" w:hAnsi="Times New Roman" w:cs="Arial"/>
                <w:b/>
                <w:spacing w:val="3"/>
                <w:w w:val="104"/>
                <w:kern w:val="24"/>
                <w:sz w:val="18"/>
                <w:szCs w:val="18"/>
                <w:lang w:val="en-GB"/>
              </w:rPr>
            </w:pPr>
            <w:r w:rsidRPr="00A27AE1">
              <w:rPr>
                <w:rFonts w:ascii="Times New Roman" w:eastAsia="Calibri" w:hAnsi="Times New Roman" w:cs="Arial"/>
                <w:b/>
                <w:spacing w:val="3"/>
                <w:w w:val="104"/>
                <w:kern w:val="24"/>
                <w:sz w:val="18"/>
                <w:szCs w:val="18"/>
                <w:lang w:val="en-GB"/>
              </w:rPr>
              <w:t xml:space="preserve">(2) OF INTEREST TO OTHER JUDGES:  NO </w:t>
            </w:r>
          </w:p>
          <w:p w14:paraId="6B818A77" w14:textId="77777777" w:rsidR="00A27AE1" w:rsidRPr="00A27AE1" w:rsidRDefault="00A27AE1" w:rsidP="00A27AE1">
            <w:pPr>
              <w:spacing w:after="0" w:line="360" w:lineRule="auto"/>
              <w:rPr>
                <w:rFonts w:ascii="Times New Roman" w:eastAsia="Calibri" w:hAnsi="Times New Roman" w:cs="Arial"/>
                <w:b/>
                <w:spacing w:val="3"/>
                <w:w w:val="104"/>
                <w:kern w:val="24"/>
                <w:sz w:val="18"/>
                <w:szCs w:val="18"/>
                <w:lang w:val="en-GB"/>
              </w:rPr>
            </w:pPr>
            <w:r w:rsidRPr="00A27AE1">
              <w:rPr>
                <w:rFonts w:ascii="Times New Roman" w:eastAsia="Calibri" w:hAnsi="Times New Roman" w:cs="Arial"/>
                <w:b/>
                <w:spacing w:val="3"/>
                <w:w w:val="104"/>
                <w:kern w:val="24"/>
                <w:sz w:val="18"/>
                <w:szCs w:val="18"/>
                <w:lang w:val="en-GB"/>
              </w:rPr>
              <w:t>(3) REVISED.</w:t>
            </w:r>
          </w:p>
          <w:p w14:paraId="63A9E0E1" w14:textId="704DFA85" w:rsidR="00A27AE1" w:rsidRPr="00A27AE1" w:rsidRDefault="00A27AE1" w:rsidP="00A27AE1">
            <w:pPr>
              <w:spacing w:after="0" w:line="360" w:lineRule="auto"/>
              <w:rPr>
                <w:rFonts w:ascii="Times New Roman" w:eastAsia="Calibri" w:hAnsi="Times New Roman" w:cs="Arial"/>
                <w:b/>
                <w:spacing w:val="3"/>
                <w:w w:val="104"/>
                <w:kern w:val="24"/>
                <w:sz w:val="18"/>
                <w:szCs w:val="18"/>
                <w:lang w:val="en-GB"/>
              </w:rPr>
            </w:pPr>
            <w:r w:rsidRPr="00A27AE1">
              <w:rPr>
                <w:rFonts w:ascii="Times New Roman" w:eastAsia="Calibri" w:hAnsi="Times New Roman" w:cs="Arial"/>
                <w:b/>
                <w:spacing w:val="3"/>
                <w:w w:val="104"/>
                <w:kern w:val="24"/>
                <w:sz w:val="18"/>
                <w:szCs w:val="18"/>
                <w:u w:val="single"/>
                <w:lang w:val="en-GB"/>
              </w:rPr>
              <w:t>DATE</w:t>
            </w:r>
            <w:r w:rsidRPr="00A27AE1">
              <w:rPr>
                <w:rFonts w:ascii="Times New Roman" w:eastAsia="Calibri" w:hAnsi="Times New Roman" w:cs="Arial"/>
                <w:b/>
                <w:spacing w:val="3"/>
                <w:w w:val="104"/>
                <w:kern w:val="24"/>
                <w:sz w:val="18"/>
                <w:szCs w:val="18"/>
                <w:lang w:val="en-GB"/>
              </w:rPr>
              <w:t>:</w:t>
            </w:r>
            <w:r w:rsidR="006F1708">
              <w:rPr>
                <w:rFonts w:ascii="Times New Roman" w:eastAsia="Calibri" w:hAnsi="Times New Roman" w:cs="Arial"/>
                <w:b/>
                <w:spacing w:val="3"/>
                <w:w w:val="104"/>
                <w:kern w:val="24"/>
                <w:sz w:val="18"/>
                <w:szCs w:val="18"/>
                <w:lang w:val="en-GB"/>
              </w:rPr>
              <w:t xml:space="preserve"> </w:t>
            </w:r>
            <w:r w:rsidR="00942854">
              <w:rPr>
                <w:rFonts w:ascii="Times New Roman" w:eastAsia="Calibri" w:hAnsi="Times New Roman" w:cs="Arial"/>
                <w:b/>
                <w:spacing w:val="3"/>
                <w:w w:val="104"/>
                <w:kern w:val="24"/>
                <w:sz w:val="18"/>
                <w:szCs w:val="18"/>
                <w:lang w:val="en-GB"/>
              </w:rPr>
              <w:t xml:space="preserve"> </w:t>
            </w:r>
            <w:r w:rsidR="006F1708">
              <w:rPr>
                <w:rFonts w:ascii="Times New Roman" w:eastAsia="Calibri" w:hAnsi="Times New Roman" w:cs="Arial"/>
                <w:b/>
                <w:spacing w:val="3"/>
                <w:w w:val="104"/>
                <w:kern w:val="24"/>
                <w:sz w:val="18"/>
                <w:szCs w:val="18"/>
                <w:lang w:val="en-GB"/>
              </w:rPr>
              <w:t>4 APRIL</w:t>
            </w:r>
            <w:r w:rsidR="00E76557">
              <w:rPr>
                <w:rFonts w:ascii="Times New Roman" w:eastAsia="Calibri" w:hAnsi="Times New Roman" w:cs="Arial"/>
                <w:b/>
                <w:spacing w:val="3"/>
                <w:w w:val="104"/>
                <w:kern w:val="24"/>
                <w:sz w:val="18"/>
                <w:szCs w:val="18"/>
                <w:lang w:val="en-GB"/>
              </w:rPr>
              <w:t xml:space="preserve"> 2024</w:t>
            </w:r>
          </w:p>
          <w:p w14:paraId="0724F614" w14:textId="77777777" w:rsidR="00A27AE1" w:rsidRPr="00A27AE1" w:rsidRDefault="00A27AE1" w:rsidP="00A27AE1">
            <w:pPr>
              <w:spacing w:after="0" w:line="360" w:lineRule="auto"/>
              <w:rPr>
                <w:rFonts w:ascii="Times New Roman" w:eastAsia="Calibri" w:hAnsi="Times New Roman" w:cs="Arial"/>
                <w:b/>
                <w:spacing w:val="3"/>
                <w:w w:val="104"/>
                <w:kern w:val="24"/>
                <w:sz w:val="18"/>
                <w:szCs w:val="18"/>
                <w:lang w:val="en-GB"/>
              </w:rPr>
            </w:pPr>
            <w:r w:rsidRPr="00A27AE1">
              <w:rPr>
                <w:rFonts w:ascii="Times New Roman" w:eastAsia="Calibri" w:hAnsi="Times New Roman" w:cs="Arial"/>
                <w:b/>
                <w:spacing w:val="3"/>
                <w:w w:val="104"/>
                <w:kern w:val="24"/>
                <w:sz w:val="18"/>
                <w:szCs w:val="18"/>
                <w:lang w:val="en-GB"/>
              </w:rPr>
              <w:t xml:space="preserve">                      </w:t>
            </w:r>
          </w:p>
          <w:p w14:paraId="300104AE" w14:textId="77777777" w:rsidR="00A27AE1" w:rsidRPr="00A27AE1" w:rsidRDefault="00A27AE1" w:rsidP="00A27AE1">
            <w:pPr>
              <w:spacing w:after="0" w:line="360" w:lineRule="auto"/>
              <w:rPr>
                <w:rFonts w:ascii="Times New Roman" w:eastAsia="Calibri" w:hAnsi="Times New Roman" w:cs="Arial"/>
                <w:b/>
                <w:spacing w:val="3"/>
                <w:w w:val="104"/>
                <w:kern w:val="24"/>
                <w:sz w:val="18"/>
                <w:szCs w:val="18"/>
                <w:u w:val="single"/>
                <w:lang w:val="en-GB"/>
              </w:rPr>
            </w:pPr>
            <w:r w:rsidRPr="00A27AE1">
              <w:rPr>
                <w:rFonts w:ascii="Times New Roman" w:eastAsia="Calibri" w:hAnsi="Times New Roman" w:cs="Arial"/>
                <w:b/>
                <w:spacing w:val="3"/>
                <w:w w:val="104"/>
                <w:kern w:val="24"/>
                <w:sz w:val="18"/>
                <w:szCs w:val="18"/>
                <w:u w:val="single"/>
                <w:lang w:val="en-GB"/>
              </w:rPr>
              <w:t xml:space="preserve">SIGNATURE  </w:t>
            </w:r>
          </w:p>
        </w:tc>
      </w:tr>
      <w:bookmarkEnd w:id="0"/>
      <w:bookmarkEnd w:id="1"/>
      <w:bookmarkEnd w:id="2"/>
      <w:bookmarkEnd w:id="3"/>
    </w:tbl>
    <w:p w14:paraId="29805FA9" w14:textId="77777777" w:rsidR="00A27AE1" w:rsidRPr="00A27AE1" w:rsidRDefault="00A27AE1" w:rsidP="00A27AE1">
      <w:pPr>
        <w:spacing w:after="240" w:line="360" w:lineRule="auto"/>
        <w:ind w:right="-46"/>
        <w:rPr>
          <w:rFonts w:ascii="Times New Roman" w:eastAsia="Calibri" w:hAnsi="Times New Roman" w:cs="Times New Roman"/>
          <w:b/>
          <w:color w:val="000000"/>
          <w:sz w:val="28"/>
          <w:szCs w:val="28"/>
        </w:rPr>
      </w:pPr>
    </w:p>
    <w:p w14:paraId="3CE28EAB" w14:textId="77777777" w:rsidR="00A27AE1" w:rsidRPr="00A27AE1" w:rsidRDefault="00A27AE1" w:rsidP="00A27AE1">
      <w:pPr>
        <w:spacing w:after="240" w:line="360" w:lineRule="auto"/>
        <w:ind w:right="-46"/>
        <w:jc w:val="right"/>
        <w:rPr>
          <w:rFonts w:ascii="Times New Roman" w:eastAsia="Calibri" w:hAnsi="Times New Roman" w:cs="Times New Roman"/>
          <w:b/>
          <w:color w:val="000000"/>
          <w:sz w:val="28"/>
          <w:szCs w:val="28"/>
        </w:rPr>
      </w:pPr>
    </w:p>
    <w:p w14:paraId="5A87F968" w14:textId="77777777" w:rsidR="00A27AE1" w:rsidRPr="00A27AE1" w:rsidRDefault="00A27AE1" w:rsidP="00A27AE1">
      <w:pPr>
        <w:spacing w:after="240" w:line="360" w:lineRule="auto"/>
        <w:ind w:right="-46"/>
        <w:jc w:val="both"/>
        <w:rPr>
          <w:rFonts w:ascii="Times New Roman" w:eastAsia="Calibri" w:hAnsi="Times New Roman" w:cs="Times New Roman"/>
          <w:b/>
          <w:color w:val="000000"/>
          <w:sz w:val="28"/>
          <w:szCs w:val="28"/>
        </w:rPr>
      </w:pPr>
    </w:p>
    <w:p w14:paraId="2D77E8F8" w14:textId="77777777" w:rsidR="00A27661" w:rsidRDefault="00A27661" w:rsidP="00C2587F">
      <w:pPr>
        <w:spacing w:after="120"/>
        <w:ind w:right="-45"/>
        <w:rPr>
          <w:rFonts w:ascii="Times New Roman" w:hAnsi="Times New Roman" w:cs="Times New Roman"/>
          <w:color w:val="000000" w:themeColor="text1"/>
          <w:sz w:val="28"/>
          <w:szCs w:val="28"/>
        </w:rPr>
      </w:pPr>
    </w:p>
    <w:p w14:paraId="6C3131EE" w14:textId="77777777" w:rsidR="00A27661" w:rsidRPr="00A27661" w:rsidRDefault="00A27661" w:rsidP="00A27661">
      <w:pPr>
        <w:spacing w:after="120"/>
        <w:ind w:right="-45"/>
        <w:jc w:val="right"/>
        <w:rPr>
          <w:rFonts w:ascii="Times New Roman" w:hAnsi="Times New Roman" w:cs="Times New Roman"/>
          <w:color w:val="000000" w:themeColor="text1"/>
          <w:sz w:val="24"/>
          <w:szCs w:val="24"/>
        </w:rPr>
      </w:pPr>
    </w:p>
    <w:p w14:paraId="34A2DA41" w14:textId="77777777" w:rsidR="00A27AE1" w:rsidRPr="00422778" w:rsidRDefault="00A27AE1" w:rsidP="00A27AE1">
      <w:pPr>
        <w:pStyle w:val="NewNormal"/>
        <w:rPr>
          <w:sz w:val="28"/>
          <w:szCs w:val="28"/>
        </w:rPr>
      </w:pPr>
      <w:r w:rsidRPr="00422778">
        <w:rPr>
          <w:sz w:val="28"/>
          <w:szCs w:val="28"/>
        </w:rPr>
        <w:t xml:space="preserve"> In the matter between:</w:t>
      </w:r>
    </w:p>
    <w:p w14:paraId="669BAFAD" w14:textId="77777777" w:rsidR="00A27AE1" w:rsidRDefault="00A27AE1" w:rsidP="00A27AE1">
      <w:pPr>
        <w:pStyle w:val="NewNormal"/>
      </w:pPr>
    </w:p>
    <w:tbl>
      <w:tblPr>
        <w:tblW w:w="8930" w:type="dxa"/>
        <w:tblLayout w:type="fixed"/>
        <w:tblLook w:val="01E0" w:firstRow="1" w:lastRow="1" w:firstColumn="1" w:lastColumn="1" w:noHBand="0" w:noVBand="0"/>
      </w:tblPr>
      <w:tblGrid>
        <w:gridCol w:w="5811"/>
        <w:gridCol w:w="3119"/>
      </w:tblGrid>
      <w:tr w:rsidR="00A27AE1" w14:paraId="18AB0531" w14:textId="77777777" w:rsidTr="004A611D">
        <w:tc>
          <w:tcPr>
            <w:tcW w:w="5812" w:type="dxa"/>
            <w:hideMark/>
          </w:tcPr>
          <w:p w14:paraId="7DAF654C" w14:textId="77777777" w:rsidR="00A27AE1" w:rsidRDefault="002B6D20" w:rsidP="004A611D">
            <w:pPr>
              <w:pStyle w:val="NewNormal"/>
              <w:jc w:val="left"/>
              <w:rPr>
                <w:b/>
              </w:rPr>
            </w:pPr>
            <w:r>
              <w:rPr>
                <w:b/>
              </w:rPr>
              <w:t>SOUTH AFRICAN LOCAL GOVERNMENT ASSOCIATION</w:t>
            </w:r>
          </w:p>
        </w:tc>
        <w:tc>
          <w:tcPr>
            <w:tcW w:w="3119" w:type="dxa"/>
            <w:hideMark/>
          </w:tcPr>
          <w:p w14:paraId="4CCE1290" w14:textId="77777777" w:rsidR="00A27AE1" w:rsidRDefault="00A27AE1" w:rsidP="004A611D">
            <w:pPr>
              <w:pStyle w:val="NewNormal"/>
              <w:jc w:val="right"/>
            </w:pPr>
            <w:r>
              <w:t>Applicant</w:t>
            </w:r>
          </w:p>
        </w:tc>
      </w:tr>
      <w:tr w:rsidR="00A27AE1" w14:paraId="7D660FB7" w14:textId="77777777" w:rsidTr="004A611D">
        <w:tc>
          <w:tcPr>
            <w:tcW w:w="5812" w:type="dxa"/>
          </w:tcPr>
          <w:p w14:paraId="73F2EB56" w14:textId="77777777" w:rsidR="00A27AE1" w:rsidRDefault="00A27AE1" w:rsidP="004A611D">
            <w:pPr>
              <w:pStyle w:val="NewNormal"/>
              <w:jc w:val="left"/>
              <w:rPr>
                <w:b/>
              </w:rPr>
            </w:pPr>
          </w:p>
        </w:tc>
        <w:tc>
          <w:tcPr>
            <w:tcW w:w="3119" w:type="dxa"/>
          </w:tcPr>
          <w:p w14:paraId="493B2778" w14:textId="77777777" w:rsidR="00A27AE1" w:rsidRDefault="00A27AE1" w:rsidP="004A611D">
            <w:pPr>
              <w:pStyle w:val="NewNormal"/>
              <w:jc w:val="right"/>
            </w:pPr>
          </w:p>
        </w:tc>
      </w:tr>
      <w:tr w:rsidR="00A27AE1" w14:paraId="29D49EE0" w14:textId="77777777" w:rsidTr="004A611D">
        <w:tc>
          <w:tcPr>
            <w:tcW w:w="5812" w:type="dxa"/>
            <w:hideMark/>
          </w:tcPr>
          <w:p w14:paraId="4F75D99D" w14:textId="77777777" w:rsidR="00A27AE1" w:rsidRDefault="00A27AE1" w:rsidP="004A611D">
            <w:pPr>
              <w:pStyle w:val="NewNormal"/>
              <w:jc w:val="left"/>
              <w:rPr>
                <w:bCs/>
              </w:rPr>
            </w:pPr>
            <w:r>
              <w:rPr>
                <w:bCs/>
              </w:rPr>
              <w:t>and</w:t>
            </w:r>
          </w:p>
        </w:tc>
        <w:tc>
          <w:tcPr>
            <w:tcW w:w="3119" w:type="dxa"/>
          </w:tcPr>
          <w:p w14:paraId="772A38DE" w14:textId="77777777" w:rsidR="00A27AE1" w:rsidRDefault="00A27AE1" w:rsidP="004A611D">
            <w:pPr>
              <w:pStyle w:val="NewNormal"/>
              <w:jc w:val="right"/>
            </w:pPr>
          </w:p>
        </w:tc>
      </w:tr>
      <w:tr w:rsidR="00A27AE1" w14:paraId="7725E51C" w14:textId="77777777" w:rsidTr="004A611D">
        <w:tc>
          <w:tcPr>
            <w:tcW w:w="5812" w:type="dxa"/>
          </w:tcPr>
          <w:p w14:paraId="5CDFC586" w14:textId="77777777" w:rsidR="00A27AE1" w:rsidRDefault="00A27AE1" w:rsidP="004A611D">
            <w:pPr>
              <w:pStyle w:val="NewNormal"/>
              <w:jc w:val="left"/>
              <w:rPr>
                <w:b/>
              </w:rPr>
            </w:pPr>
          </w:p>
        </w:tc>
        <w:tc>
          <w:tcPr>
            <w:tcW w:w="3119" w:type="dxa"/>
          </w:tcPr>
          <w:p w14:paraId="0FA990D5" w14:textId="77777777" w:rsidR="00A27AE1" w:rsidRDefault="00A27AE1" w:rsidP="004A611D">
            <w:pPr>
              <w:pStyle w:val="NewNormal"/>
              <w:jc w:val="right"/>
            </w:pPr>
          </w:p>
        </w:tc>
      </w:tr>
      <w:tr w:rsidR="00A27AE1" w14:paraId="1C990E86" w14:textId="77777777" w:rsidTr="004A611D">
        <w:tc>
          <w:tcPr>
            <w:tcW w:w="5812" w:type="dxa"/>
            <w:hideMark/>
          </w:tcPr>
          <w:p w14:paraId="03D36A0C" w14:textId="77777777" w:rsidR="00A27AE1" w:rsidRDefault="00A27AE1" w:rsidP="004A611D">
            <w:pPr>
              <w:pStyle w:val="NewNormal"/>
              <w:jc w:val="left"/>
              <w:rPr>
                <w:b/>
                <w:bCs/>
              </w:rPr>
            </w:pPr>
            <w:r>
              <w:rPr>
                <w:b/>
                <w:bCs/>
              </w:rPr>
              <w:t>NATIONAL ENERGY REGULATOR OF SOUTH AFRICA</w:t>
            </w:r>
          </w:p>
        </w:tc>
        <w:tc>
          <w:tcPr>
            <w:tcW w:w="3119" w:type="dxa"/>
            <w:hideMark/>
          </w:tcPr>
          <w:p w14:paraId="60980009" w14:textId="77777777" w:rsidR="002B6D20" w:rsidRDefault="002B6D20" w:rsidP="004A611D">
            <w:pPr>
              <w:pStyle w:val="NewNormal"/>
              <w:jc w:val="right"/>
            </w:pPr>
          </w:p>
          <w:p w14:paraId="42464385" w14:textId="77777777" w:rsidR="00A27AE1" w:rsidRDefault="00A27AE1" w:rsidP="004A611D">
            <w:pPr>
              <w:pStyle w:val="NewNormal"/>
              <w:jc w:val="right"/>
            </w:pPr>
            <w:r>
              <w:t>First Respondent</w:t>
            </w:r>
          </w:p>
        </w:tc>
      </w:tr>
      <w:tr w:rsidR="00A27AE1" w14:paraId="374C8A5E" w14:textId="77777777" w:rsidTr="004A611D">
        <w:tc>
          <w:tcPr>
            <w:tcW w:w="5812" w:type="dxa"/>
          </w:tcPr>
          <w:p w14:paraId="36CEEFEA" w14:textId="77777777" w:rsidR="00A27AE1" w:rsidRDefault="00A27AE1" w:rsidP="004A611D">
            <w:pPr>
              <w:pStyle w:val="NewNormal"/>
              <w:jc w:val="left"/>
            </w:pPr>
          </w:p>
        </w:tc>
        <w:tc>
          <w:tcPr>
            <w:tcW w:w="3119" w:type="dxa"/>
          </w:tcPr>
          <w:p w14:paraId="3BD6B78E" w14:textId="77777777" w:rsidR="00A27AE1" w:rsidRDefault="00A27AE1" w:rsidP="004A611D">
            <w:pPr>
              <w:pStyle w:val="NewNormal"/>
              <w:jc w:val="right"/>
            </w:pPr>
          </w:p>
        </w:tc>
      </w:tr>
      <w:tr w:rsidR="00A27AE1" w14:paraId="33E0F0DD" w14:textId="77777777" w:rsidTr="004A611D">
        <w:tc>
          <w:tcPr>
            <w:tcW w:w="5812" w:type="dxa"/>
            <w:hideMark/>
          </w:tcPr>
          <w:p w14:paraId="0E651271" w14:textId="77777777" w:rsidR="00A27AE1" w:rsidRDefault="00A27AE1" w:rsidP="004A611D">
            <w:pPr>
              <w:pStyle w:val="NewNormal"/>
              <w:jc w:val="left"/>
              <w:rPr>
                <w:b/>
              </w:rPr>
            </w:pPr>
            <w:r>
              <w:rPr>
                <w:b/>
              </w:rPr>
              <w:t>ESKOM HOLDINGS SOC LIMITED</w:t>
            </w:r>
          </w:p>
        </w:tc>
        <w:tc>
          <w:tcPr>
            <w:tcW w:w="3119" w:type="dxa"/>
            <w:hideMark/>
          </w:tcPr>
          <w:p w14:paraId="568127CE" w14:textId="77777777" w:rsidR="00A27AE1" w:rsidRDefault="00A27AE1" w:rsidP="004A611D">
            <w:pPr>
              <w:pStyle w:val="NewNormal"/>
              <w:jc w:val="right"/>
            </w:pPr>
            <w:r>
              <w:t>Second Respondent</w:t>
            </w:r>
          </w:p>
        </w:tc>
      </w:tr>
      <w:tr w:rsidR="00A27AE1" w14:paraId="137EF9AB" w14:textId="77777777" w:rsidTr="004A611D">
        <w:tc>
          <w:tcPr>
            <w:tcW w:w="5812" w:type="dxa"/>
          </w:tcPr>
          <w:p w14:paraId="57851EC2" w14:textId="77777777" w:rsidR="00A27AE1" w:rsidRDefault="00A27AE1" w:rsidP="004A611D">
            <w:pPr>
              <w:pStyle w:val="NewNormal"/>
              <w:jc w:val="left"/>
              <w:rPr>
                <w:b/>
              </w:rPr>
            </w:pPr>
          </w:p>
        </w:tc>
        <w:tc>
          <w:tcPr>
            <w:tcW w:w="3119" w:type="dxa"/>
          </w:tcPr>
          <w:p w14:paraId="28F9D577" w14:textId="77777777" w:rsidR="00A27AE1" w:rsidRDefault="00A27AE1" w:rsidP="004A611D">
            <w:pPr>
              <w:pStyle w:val="NewNormal"/>
              <w:jc w:val="right"/>
            </w:pPr>
          </w:p>
        </w:tc>
      </w:tr>
      <w:tr w:rsidR="00A27AE1" w14:paraId="5B17A376" w14:textId="77777777" w:rsidTr="004A611D">
        <w:tc>
          <w:tcPr>
            <w:tcW w:w="5812" w:type="dxa"/>
            <w:hideMark/>
          </w:tcPr>
          <w:p w14:paraId="093CDAE2" w14:textId="77777777" w:rsidR="00A27AE1" w:rsidRDefault="00A27AE1" w:rsidP="004A611D">
            <w:pPr>
              <w:pStyle w:val="NewNormal"/>
              <w:jc w:val="left"/>
              <w:rPr>
                <w:b/>
              </w:rPr>
            </w:pPr>
            <w:r>
              <w:rPr>
                <w:b/>
              </w:rPr>
              <w:t>MINISTER OF MINERAL RESOURCES AND ENERGY</w:t>
            </w:r>
          </w:p>
          <w:p w14:paraId="7EA5C7B2" w14:textId="77777777" w:rsidR="002B6D20" w:rsidRDefault="002B6D20" w:rsidP="004A611D">
            <w:pPr>
              <w:pStyle w:val="NewNormal"/>
              <w:jc w:val="left"/>
              <w:rPr>
                <w:b/>
              </w:rPr>
            </w:pPr>
          </w:p>
          <w:p w14:paraId="38EAEF53" w14:textId="77777777" w:rsidR="002B6D20" w:rsidRDefault="002B6D20" w:rsidP="004A611D">
            <w:pPr>
              <w:pStyle w:val="NewNormal"/>
              <w:jc w:val="left"/>
              <w:rPr>
                <w:b/>
              </w:rPr>
            </w:pPr>
            <w:r>
              <w:rPr>
                <w:b/>
              </w:rPr>
              <w:t>MINISTER OF CO-OPERATIE GOVERNANCE AND TRADITIONAL AFFAIRS</w:t>
            </w:r>
          </w:p>
          <w:p w14:paraId="27EC2024" w14:textId="77777777" w:rsidR="002B6D20" w:rsidRDefault="002B6D20" w:rsidP="004A611D">
            <w:pPr>
              <w:pStyle w:val="NewNormal"/>
              <w:jc w:val="left"/>
              <w:rPr>
                <w:b/>
              </w:rPr>
            </w:pPr>
          </w:p>
          <w:p w14:paraId="2899C884" w14:textId="77777777" w:rsidR="002B6D20" w:rsidRDefault="002B6D20" w:rsidP="004A611D">
            <w:pPr>
              <w:pStyle w:val="NewNormal"/>
              <w:jc w:val="left"/>
              <w:rPr>
                <w:b/>
              </w:rPr>
            </w:pPr>
            <w:r>
              <w:rPr>
                <w:b/>
              </w:rPr>
              <w:t>MINISTER OF PUBLIC ENTERPRISES</w:t>
            </w:r>
          </w:p>
          <w:p w14:paraId="2EAE35B6" w14:textId="77777777" w:rsidR="002B6D20" w:rsidRDefault="002B6D20" w:rsidP="004A611D">
            <w:pPr>
              <w:pStyle w:val="NewNormal"/>
              <w:jc w:val="left"/>
              <w:rPr>
                <w:b/>
              </w:rPr>
            </w:pPr>
          </w:p>
          <w:p w14:paraId="0A676C14" w14:textId="7B90F5FB" w:rsidR="002B6D20" w:rsidRDefault="002B6D20" w:rsidP="004A611D">
            <w:pPr>
              <w:pStyle w:val="NewNormal"/>
              <w:jc w:val="left"/>
              <w:rPr>
                <w:b/>
              </w:rPr>
            </w:pPr>
            <w:r>
              <w:rPr>
                <w:b/>
              </w:rPr>
              <w:t>MINISTER OF ENERGY</w:t>
            </w:r>
          </w:p>
          <w:p w14:paraId="033999BF" w14:textId="3235DDBB" w:rsidR="004F6E87" w:rsidRDefault="004F6E87" w:rsidP="004A611D">
            <w:pPr>
              <w:pStyle w:val="NewNormal"/>
              <w:jc w:val="left"/>
              <w:rPr>
                <w:b/>
              </w:rPr>
            </w:pPr>
          </w:p>
          <w:p w14:paraId="6C4F6513" w14:textId="25C31D57" w:rsidR="004F6E87" w:rsidRDefault="004F6E87" w:rsidP="004F6E87">
            <w:pPr>
              <w:pStyle w:val="NewNormal"/>
              <w:jc w:val="left"/>
              <w:rPr>
                <w:b/>
              </w:rPr>
            </w:pPr>
            <w:r>
              <w:rPr>
                <w:b/>
              </w:rPr>
              <w:t>MINIS</w:t>
            </w:r>
            <w:r w:rsidR="006B0256">
              <w:rPr>
                <w:b/>
              </w:rPr>
              <w:t>TER OF FINANCE</w:t>
            </w:r>
          </w:p>
        </w:tc>
        <w:tc>
          <w:tcPr>
            <w:tcW w:w="3119" w:type="dxa"/>
            <w:hideMark/>
          </w:tcPr>
          <w:p w14:paraId="3CE58190" w14:textId="77777777" w:rsidR="002B6D20" w:rsidRDefault="002B6D20" w:rsidP="002B6D20">
            <w:pPr>
              <w:pStyle w:val="NewNormal"/>
              <w:jc w:val="right"/>
            </w:pPr>
          </w:p>
          <w:p w14:paraId="4BA84E4C" w14:textId="77777777" w:rsidR="00A27AE1" w:rsidRDefault="00A27AE1" w:rsidP="002B6D20">
            <w:pPr>
              <w:pStyle w:val="NewNormal"/>
              <w:jc w:val="right"/>
            </w:pPr>
            <w:r>
              <w:t>Third Respondent</w:t>
            </w:r>
          </w:p>
          <w:p w14:paraId="12D0A369" w14:textId="77777777" w:rsidR="002B6D20" w:rsidRDefault="002B6D20" w:rsidP="004A611D">
            <w:pPr>
              <w:pStyle w:val="NewNormal"/>
              <w:jc w:val="right"/>
            </w:pPr>
          </w:p>
          <w:p w14:paraId="6919B8E7" w14:textId="77777777" w:rsidR="002B6D20" w:rsidRDefault="002B6D20" w:rsidP="004A611D">
            <w:pPr>
              <w:pStyle w:val="NewNormal"/>
              <w:jc w:val="right"/>
            </w:pPr>
          </w:p>
          <w:p w14:paraId="1AD753E1" w14:textId="77777777" w:rsidR="002B6D20" w:rsidRDefault="002B6D20" w:rsidP="004A611D">
            <w:pPr>
              <w:pStyle w:val="NewNormal"/>
              <w:jc w:val="right"/>
            </w:pPr>
            <w:r>
              <w:t>Fourth Respondent</w:t>
            </w:r>
          </w:p>
          <w:p w14:paraId="51B9B009" w14:textId="77777777" w:rsidR="002B6D20" w:rsidRDefault="002B6D20" w:rsidP="004A611D">
            <w:pPr>
              <w:pStyle w:val="NewNormal"/>
              <w:jc w:val="right"/>
            </w:pPr>
          </w:p>
          <w:p w14:paraId="5BA3262E" w14:textId="77777777" w:rsidR="002B6D20" w:rsidRDefault="002B6D20" w:rsidP="002B6D20">
            <w:pPr>
              <w:pStyle w:val="NewNormal"/>
              <w:jc w:val="right"/>
            </w:pPr>
            <w:r>
              <w:t>Fifth Respondent</w:t>
            </w:r>
          </w:p>
          <w:p w14:paraId="1CFC958B" w14:textId="77777777" w:rsidR="002B6D20" w:rsidRDefault="002B6D20" w:rsidP="004A611D">
            <w:pPr>
              <w:pStyle w:val="NewNormal"/>
              <w:jc w:val="right"/>
            </w:pPr>
          </w:p>
          <w:p w14:paraId="61C98C6B" w14:textId="77777777" w:rsidR="002B6D20" w:rsidRDefault="002B6D20" w:rsidP="004A611D">
            <w:pPr>
              <w:pStyle w:val="NewNormal"/>
              <w:jc w:val="right"/>
            </w:pPr>
            <w:r>
              <w:t>Sixth Respondent</w:t>
            </w:r>
          </w:p>
          <w:p w14:paraId="772BF76B" w14:textId="77777777" w:rsidR="004F6E87" w:rsidRDefault="004F6E87" w:rsidP="004A611D">
            <w:pPr>
              <w:pStyle w:val="NewNormal"/>
              <w:jc w:val="right"/>
            </w:pPr>
          </w:p>
          <w:p w14:paraId="2101BF61" w14:textId="79E3A83F" w:rsidR="004F6E87" w:rsidRDefault="004F6E87" w:rsidP="004A611D">
            <w:pPr>
              <w:pStyle w:val="NewNormal"/>
              <w:jc w:val="right"/>
            </w:pPr>
            <w:r>
              <w:t>Seventh Respondent</w:t>
            </w:r>
          </w:p>
        </w:tc>
      </w:tr>
      <w:tr w:rsidR="00A27AE1" w14:paraId="6F26FC4F" w14:textId="77777777" w:rsidTr="00F21435">
        <w:tc>
          <w:tcPr>
            <w:tcW w:w="5812" w:type="dxa"/>
          </w:tcPr>
          <w:p w14:paraId="34E6BAB0" w14:textId="77777777" w:rsidR="00A27AE1" w:rsidRDefault="00A27AE1" w:rsidP="004A611D">
            <w:pPr>
              <w:pStyle w:val="NewNormal"/>
              <w:jc w:val="left"/>
              <w:rPr>
                <w:b/>
              </w:rPr>
            </w:pPr>
          </w:p>
        </w:tc>
        <w:tc>
          <w:tcPr>
            <w:tcW w:w="3119" w:type="dxa"/>
          </w:tcPr>
          <w:p w14:paraId="1294BD18" w14:textId="77777777" w:rsidR="00A27AE1" w:rsidRDefault="00A27AE1" w:rsidP="004A611D">
            <w:pPr>
              <w:pStyle w:val="NewNormal"/>
              <w:jc w:val="right"/>
            </w:pPr>
          </w:p>
        </w:tc>
      </w:tr>
      <w:tr w:rsidR="00A27AE1" w14:paraId="34E046D2" w14:textId="77777777" w:rsidTr="00F21435">
        <w:tc>
          <w:tcPr>
            <w:tcW w:w="8931" w:type="dxa"/>
            <w:gridSpan w:val="2"/>
            <w:tcBorders>
              <w:top w:val="nil"/>
              <w:left w:val="nil"/>
              <w:right w:val="nil"/>
            </w:tcBorders>
          </w:tcPr>
          <w:p w14:paraId="45AA648D" w14:textId="77777777" w:rsidR="00A27AE1" w:rsidRDefault="00A27AE1" w:rsidP="004A611D">
            <w:pPr>
              <w:pStyle w:val="NewNormal"/>
              <w:rPr>
                <w:b/>
              </w:rPr>
            </w:pPr>
          </w:p>
        </w:tc>
      </w:tr>
    </w:tbl>
    <w:p w14:paraId="1BB8D09C" w14:textId="77777777" w:rsidR="00C2587F" w:rsidRPr="00A27661" w:rsidRDefault="00C2587F" w:rsidP="00C2587F">
      <w:pPr>
        <w:pBdr>
          <w:bottom w:val="single" w:sz="12" w:space="1" w:color="auto"/>
        </w:pBdr>
        <w:spacing w:after="0"/>
        <w:ind w:left="1440" w:right="-45" w:hanging="1440"/>
        <w:rPr>
          <w:rFonts w:ascii="Times New Roman" w:hAnsi="Times New Roman" w:cs="Times New Roman"/>
          <w:color w:val="000000" w:themeColor="text1"/>
          <w:sz w:val="24"/>
          <w:szCs w:val="24"/>
        </w:rPr>
      </w:pPr>
    </w:p>
    <w:p w14:paraId="1C27C02C" w14:textId="77777777" w:rsidR="00C2587F" w:rsidRPr="00A27661" w:rsidRDefault="00C2587F" w:rsidP="00C2587F">
      <w:pPr>
        <w:spacing w:after="0"/>
        <w:ind w:left="1440" w:right="-45" w:hanging="1440"/>
        <w:rPr>
          <w:rFonts w:ascii="Times New Roman" w:hAnsi="Times New Roman" w:cs="Times New Roman"/>
          <w:color w:val="000000" w:themeColor="text1"/>
          <w:sz w:val="24"/>
          <w:szCs w:val="24"/>
        </w:rPr>
      </w:pPr>
    </w:p>
    <w:p w14:paraId="3C04271C" w14:textId="77777777" w:rsidR="00C2587F" w:rsidRPr="00A27661" w:rsidRDefault="00C2587F" w:rsidP="00C2587F">
      <w:pPr>
        <w:pBdr>
          <w:bottom w:val="single" w:sz="12" w:space="1" w:color="auto"/>
        </w:pBdr>
        <w:spacing w:after="0"/>
        <w:ind w:left="1440" w:right="-45" w:hanging="1440"/>
        <w:jc w:val="center"/>
        <w:rPr>
          <w:rFonts w:ascii="Times New Roman" w:hAnsi="Times New Roman" w:cs="Times New Roman"/>
          <w:b/>
          <w:color w:val="000000" w:themeColor="text1"/>
          <w:sz w:val="24"/>
          <w:szCs w:val="24"/>
        </w:rPr>
      </w:pPr>
      <w:r w:rsidRPr="00A27661">
        <w:rPr>
          <w:rFonts w:ascii="Times New Roman" w:hAnsi="Times New Roman" w:cs="Times New Roman"/>
          <w:b/>
          <w:color w:val="000000" w:themeColor="text1"/>
          <w:sz w:val="24"/>
          <w:szCs w:val="24"/>
        </w:rPr>
        <w:t>ORDER</w:t>
      </w:r>
    </w:p>
    <w:p w14:paraId="065D2FD2" w14:textId="77777777" w:rsidR="00C2587F" w:rsidRPr="00A27661" w:rsidRDefault="00C2587F" w:rsidP="00C2587F">
      <w:pPr>
        <w:pBdr>
          <w:bottom w:val="single" w:sz="12" w:space="1" w:color="auto"/>
        </w:pBdr>
        <w:spacing w:after="0"/>
        <w:ind w:left="1440" w:right="-45" w:hanging="1440"/>
        <w:jc w:val="center"/>
        <w:rPr>
          <w:rFonts w:ascii="Times New Roman" w:hAnsi="Times New Roman" w:cs="Times New Roman"/>
          <w:b/>
          <w:color w:val="000000" w:themeColor="text1"/>
          <w:sz w:val="24"/>
          <w:szCs w:val="24"/>
        </w:rPr>
      </w:pPr>
    </w:p>
    <w:p w14:paraId="58E8D747" w14:textId="77777777" w:rsidR="00F21435" w:rsidRDefault="00F21435" w:rsidP="00F21435">
      <w:pPr>
        <w:pStyle w:val="ListParagraph"/>
        <w:spacing w:after="360" w:line="360" w:lineRule="auto"/>
        <w:jc w:val="both"/>
        <w:rPr>
          <w:rFonts w:ascii="Times New Roman" w:hAnsi="Times New Roman" w:cs="Times New Roman"/>
          <w:iCs/>
          <w:sz w:val="28"/>
          <w:szCs w:val="28"/>
        </w:rPr>
      </w:pPr>
    </w:p>
    <w:p w14:paraId="68B9B767" w14:textId="3372DF2F" w:rsidR="00E76557" w:rsidRPr="00E76557" w:rsidRDefault="00F21435" w:rsidP="00F21435">
      <w:pPr>
        <w:pStyle w:val="ListParagraph"/>
        <w:spacing w:after="360" w:line="360" w:lineRule="auto"/>
        <w:jc w:val="both"/>
        <w:rPr>
          <w:rFonts w:ascii="Times New Roman" w:hAnsi="Times New Roman" w:cs="Times New Roman"/>
          <w:iCs/>
          <w:sz w:val="28"/>
          <w:szCs w:val="28"/>
        </w:rPr>
      </w:pPr>
      <w:r>
        <w:rPr>
          <w:rFonts w:ascii="Times New Roman" w:hAnsi="Times New Roman" w:cs="Times New Roman"/>
          <w:iCs/>
          <w:sz w:val="28"/>
          <w:szCs w:val="28"/>
        </w:rPr>
        <w:t>The application for leave to appeal is refused with costs, such cost to include the costs of multiple and senior counsel, where employed.</w:t>
      </w:r>
    </w:p>
    <w:p w14:paraId="36BEFFC4" w14:textId="77777777" w:rsidR="00C2587F" w:rsidRPr="00FF214C" w:rsidRDefault="00C2587F" w:rsidP="00C2587F">
      <w:pPr>
        <w:spacing w:after="120"/>
        <w:ind w:right="-45"/>
        <w:rPr>
          <w:rFonts w:ascii="Times New Roman" w:hAnsi="Times New Roman" w:cs="Times New Roman"/>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r w:rsidRPr="000C7880">
        <w:rPr>
          <w:rFonts w:ascii="Times New Roman" w:hAnsi="Times New Roman" w:cs="Times New Roman"/>
          <w:b/>
          <w:color w:val="000000" w:themeColor="text1"/>
          <w:sz w:val="28"/>
          <w:szCs w:val="28"/>
        </w:rPr>
        <w:t xml:space="preserve"> </w:t>
      </w:r>
    </w:p>
    <w:p w14:paraId="072826C6" w14:textId="77777777" w:rsidR="00BC7EB5" w:rsidRDefault="00BC7EB5" w:rsidP="00C2587F">
      <w:pPr>
        <w:spacing w:after="120" w:line="240" w:lineRule="auto"/>
        <w:ind w:right="-57"/>
        <w:jc w:val="center"/>
        <w:rPr>
          <w:rFonts w:ascii="Times New Roman" w:hAnsi="Times New Roman" w:cs="Times New Roman"/>
          <w:b/>
          <w:color w:val="000000" w:themeColor="text1"/>
          <w:sz w:val="28"/>
          <w:szCs w:val="28"/>
        </w:rPr>
      </w:pPr>
    </w:p>
    <w:p w14:paraId="5866C8B6" w14:textId="4D258B8E" w:rsidR="00C2587F" w:rsidRDefault="00C2587F" w:rsidP="00C2587F">
      <w:pPr>
        <w:spacing w:after="120" w:line="240" w:lineRule="auto"/>
        <w:ind w:right="-5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 U D G M E N T</w:t>
      </w:r>
      <w:r w:rsidR="00E76557">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p>
    <w:p w14:paraId="1503B170" w14:textId="070261F0" w:rsidR="00E76557" w:rsidRPr="000C7880" w:rsidRDefault="00E76557" w:rsidP="00C2587F">
      <w:pPr>
        <w:spacing w:after="120" w:line="240" w:lineRule="auto"/>
        <w:ind w:right="-5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(In the application for leave to appeal)</w:t>
      </w:r>
    </w:p>
    <w:p w14:paraId="7A2ED07F" w14:textId="77777777" w:rsidR="00C2587F" w:rsidRPr="000C7880" w:rsidRDefault="00C2587F" w:rsidP="00C2587F">
      <w:pPr>
        <w:spacing w:after="240"/>
        <w:ind w:right="-57"/>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p>
    <w:p w14:paraId="710184EE" w14:textId="77777777" w:rsidR="00C2587F" w:rsidRDefault="00C2587F" w:rsidP="00C2587F">
      <w:pPr>
        <w:pStyle w:val="MEMONUMBERED"/>
        <w:numPr>
          <w:ilvl w:val="0"/>
          <w:numId w:val="0"/>
        </w:numPr>
        <w:spacing w:after="360" w:line="360" w:lineRule="auto"/>
        <w:rPr>
          <w:b/>
          <w:color w:val="000000" w:themeColor="text1"/>
          <w:sz w:val="28"/>
          <w:szCs w:val="28"/>
          <w:u w:val="single"/>
        </w:rPr>
      </w:pPr>
      <w:r>
        <w:rPr>
          <w:i/>
          <w:color w:val="000000" w:themeColor="text1"/>
          <w:sz w:val="28"/>
          <w:szCs w:val="28"/>
        </w:rPr>
        <w:t xml:space="preserve">This matter has been heard in open court and is otherwise disposed of in terms of the </w:t>
      </w:r>
      <w:r w:rsidRPr="00CD187A">
        <w:rPr>
          <w:i/>
          <w:color w:val="000000" w:themeColor="text1"/>
          <w:sz w:val="28"/>
          <w:szCs w:val="28"/>
        </w:rPr>
        <w:t>Directives of the Judge President of this Division</w:t>
      </w:r>
      <w:r>
        <w:rPr>
          <w:i/>
          <w:color w:val="000000" w:themeColor="text1"/>
          <w:sz w:val="28"/>
          <w:szCs w:val="28"/>
        </w:rPr>
        <w:t xml:space="preserve">. </w:t>
      </w:r>
      <w:r w:rsidRPr="00CD187A">
        <w:rPr>
          <w:i/>
          <w:color w:val="000000" w:themeColor="text1"/>
          <w:sz w:val="28"/>
          <w:szCs w:val="28"/>
        </w:rPr>
        <w:t xml:space="preserve"> The judgment and order are accordingly published and distributed electronically.</w:t>
      </w:r>
    </w:p>
    <w:p w14:paraId="625594C5" w14:textId="4E422938" w:rsidR="00C2587F" w:rsidRDefault="00431B5C" w:rsidP="00C2587F">
      <w:pPr>
        <w:pStyle w:val="MEMONUMBERED"/>
        <w:numPr>
          <w:ilvl w:val="0"/>
          <w:numId w:val="0"/>
        </w:numPr>
        <w:spacing w:after="360" w:line="240" w:lineRule="auto"/>
        <w:rPr>
          <w:b/>
          <w:color w:val="000000" w:themeColor="text1"/>
          <w:sz w:val="28"/>
          <w:szCs w:val="28"/>
          <w:u w:val="single"/>
        </w:rPr>
      </w:pPr>
      <w:r>
        <w:rPr>
          <w:b/>
          <w:color w:val="000000" w:themeColor="text1"/>
          <w:sz w:val="28"/>
          <w:szCs w:val="28"/>
          <w:u w:val="single"/>
        </w:rPr>
        <w:t xml:space="preserve">DAVIS, </w:t>
      </w:r>
      <w:r w:rsidRPr="000C7880">
        <w:rPr>
          <w:b/>
          <w:color w:val="000000" w:themeColor="text1"/>
          <w:sz w:val="28"/>
          <w:szCs w:val="28"/>
          <w:u w:val="single"/>
        </w:rPr>
        <w:t>J</w:t>
      </w:r>
      <w:r w:rsidR="00E76557">
        <w:rPr>
          <w:b/>
          <w:color w:val="000000" w:themeColor="text1"/>
          <w:sz w:val="28"/>
          <w:szCs w:val="28"/>
          <w:u w:val="single"/>
        </w:rPr>
        <w:t xml:space="preserve"> </w:t>
      </w:r>
      <w:r w:rsidR="00E44141">
        <w:rPr>
          <w:b/>
          <w:color w:val="000000" w:themeColor="text1"/>
          <w:sz w:val="28"/>
          <w:szCs w:val="28"/>
          <w:u w:val="single"/>
        </w:rPr>
        <w:t>(Collis</w:t>
      </w:r>
      <w:r w:rsidR="00E76557">
        <w:rPr>
          <w:b/>
          <w:color w:val="000000" w:themeColor="text1"/>
          <w:sz w:val="28"/>
          <w:szCs w:val="28"/>
          <w:u w:val="single"/>
        </w:rPr>
        <w:t xml:space="preserve"> and Nyathi JJ concurring)</w:t>
      </w:r>
    </w:p>
    <w:p w14:paraId="08394294" w14:textId="77777777" w:rsidR="00C2587F" w:rsidRDefault="00C2587F" w:rsidP="00C2587F">
      <w:pPr>
        <w:pStyle w:val="MEMONUMBERED"/>
        <w:numPr>
          <w:ilvl w:val="0"/>
          <w:numId w:val="0"/>
        </w:numPr>
        <w:spacing w:after="120" w:line="360" w:lineRule="auto"/>
        <w:rPr>
          <w:b/>
          <w:color w:val="000000" w:themeColor="text1"/>
          <w:sz w:val="28"/>
          <w:szCs w:val="28"/>
        </w:rPr>
      </w:pPr>
      <w:r>
        <w:rPr>
          <w:b/>
          <w:color w:val="000000" w:themeColor="text1"/>
          <w:sz w:val="28"/>
          <w:szCs w:val="28"/>
        </w:rPr>
        <w:t xml:space="preserve">Introduction </w:t>
      </w:r>
    </w:p>
    <w:p w14:paraId="17BBE8A8" w14:textId="609169E7" w:rsidR="00810967" w:rsidRDefault="00474CF2" w:rsidP="00474CF2">
      <w:pPr>
        <w:pStyle w:val="MEMONUMBERED"/>
        <w:numPr>
          <w:ilvl w:val="0"/>
          <w:numId w:val="0"/>
        </w:numPr>
        <w:spacing w:after="360" w:line="360" w:lineRule="auto"/>
        <w:rPr>
          <w:color w:val="000000" w:themeColor="text1"/>
          <w:sz w:val="28"/>
          <w:szCs w:val="28"/>
        </w:rPr>
      </w:pPr>
      <w:r>
        <w:rPr>
          <w:color w:val="000000" w:themeColor="text1"/>
          <w:sz w:val="28"/>
          <w:szCs w:val="28"/>
        </w:rPr>
        <w:t>[1]</w:t>
      </w:r>
      <w:r>
        <w:rPr>
          <w:color w:val="000000" w:themeColor="text1"/>
          <w:sz w:val="28"/>
          <w:szCs w:val="28"/>
        </w:rPr>
        <w:tab/>
      </w:r>
      <w:r w:rsidR="00E44141">
        <w:rPr>
          <w:color w:val="000000" w:themeColor="text1"/>
          <w:sz w:val="28"/>
          <w:szCs w:val="28"/>
        </w:rPr>
        <w:t>On 1 December 2023 this court refused an application by the South African Local Government Association (SALGA) to review the approval of a tariff increase for Eskom for the bulk electricity tariffs for the 2023/2024 a</w:t>
      </w:r>
      <w:r w:rsidR="00971D71">
        <w:rPr>
          <w:color w:val="000000" w:themeColor="text1"/>
          <w:sz w:val="28"/>
          <w:szCs w:val="28"/>
        </w:rPr>
        <w:t xml:space="preserve">nd 2024/2025 </w:t>
      </w:r>
      <w:r w:rsidR="00FC133B">
        <w:rPr>
          <w:color w:val="000000" w:themeColor="text1"/>
          <w:sz w:val="28"/>
          <w:szCs w:val="28"/>
        </w:rPr>
        <w:t>financial years</w:t>
      </w:r>
      <w:r w:rsidR="00E44141">
        <w:rPr>
          <w:color w:val="000000" w:themeColor="text1"/>
          <w:sz w:val="28"/>
          <w:szCs w:val="28"/>
        </w:rPr>
        <w:t xml:space="preserve"> by the National Energy Regulation of South Africa (NERSA)</w:t>
      </w:r>
      <w:r w:rsidR="00FC133B">
        <w:rPr>
          <w:color w:val="000000" w:themeColor="text1"/>
          <w:sz w:val="28"/>
          <w:szCs w:val="28"/>
        </w:rPr>
        <w:t xml:space="preserve"> (the tariff determination)</w:t>
      </w:r>
      <w:r w:rsidR="00E44141">
        <w:rPr>
          <w:color w:val="000000" w:themeColor="text1"/>
          <w:sz w:val="28"/>
          <w:szCs w:val="28"/>
        </w:rPr>
        <w:t>.</w:t>
      </w:r>
    </w:p>
    <w:p w14:paraId="1ED9340C" w14:textId="25C0628C" w:rsidR="006B118E" w:rsidRDefault="00474CF2" w:rsidP="00474CF2">
      <w:pPr>
        <w:pStyle w:val="MEMONUMBERED"/>
        <w:numPr>
          <w:ilvl w:val="0"/>
          <w:numId w:val="0"/>
        </w:numPr>
        <w:spacing w:after="360" w:line="360" w:lineRule="auto"/>
        <w:rPr>
          <w:color w:val="000000" w:themeColor="text1"/>
          <w:sz w:val="28"/>
          <w:szCs w:val="28"/>
        </w:rPr>
      </w:pPr>
      <w:r>
        <w:rPr>
          <w:color w:val="000000" w:themeColor="text1"/>
          <w:sz w:val="28"/>
          <w:szCs w:val="28"/>
        </w:rPr>
        <w:t>[2]</w:t>
      </w:r>
      <w:r>
        <w:rPr>
          <w:color w:val="000000" w:themeColor="text1"/>
          <w:sz w:val="28"/>
          <w:szCs w:val="28"/>
        </w:rPr>
        <w:tab/>
      </w:r>
      <w:r w:rsidR="00E44141">
        <w:rPr>
          <w:color w:val="000000" w:themeColor="text1"/>
          <w:sz w:val="28"/>
          <w:szCs w:val="28"/>
        </w:rPr>
        <w:t>SALGA seeks leave to appeal the refusal of its review application.</w:t>
      </w:r>
    </w:p>
    <w:p w14:paraId="0DAE80FC" w14:textId="0ADCB78B" w:rsidR="006B118E" w:rsidRPr="006B118E" w:rsidRDefault="00E44141" w:rsidP="00B133CF">
      <w:pPr>
        <w:pStyle w:val="MEMONUMBERED"/>
        <w:numPr>
          <w:ilvl w:val="0"/>
          <w:numId w:val="0"/>
        </w:numPr>
        <w:spacing w:after="120" w:line="360" w:lineRule="auto"/>
        <w:rPr>
          <w:b/>
          <w:color w:val="000000" w:themeColor="text1"/>
          <w:sz w:val="28"/>
          <w:szCs w:val="28"/>
        </w:rPr>
      </w:pPr>
      <w:r>
        <w:rPr>
          <w:b/>
          <w:color w:val="000000" w:themeColor="text1"/>
          <w:sz w:val="28"/>
          <w:szCs w:val="28"/>
        </w:rPr>
        <w:t>SALGA’s grounds</w:t>
      </w:r>
    </w:p>
    <w:p w14:paraId="7A97081A" w14:textId="13FE81A5" w:rsidR="006B118E" w:rsidRDefault="00474CF2" w:rsidP="00474CF2">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[3]</w:t>
      </w:r>
      <w:r>
        <w:rPr>
          <w:color w:val="000000" w:themeColor="text1"/>
          <w:sz w:val="28"/>
          <w:szCs w:val="28"/>
        </w:rPr>
        <w:tab/>
      </w:r>
      <w:r w:rsidR="00E44141">
        <w:rPr>
          <w:color w:val="000000" w:themeColor="text1"/>
          <w:sz w:val="28"/>
          <w:szCs w:val="28"/>
        </w:rPr>
        <w:t>Although a good many grounds were identified in SALGA’s application for leave to appeal, these culminated in three main points during oral argument.  These were: (1) that NERSA had not considered the impact and costs of corruption, fraud and was</w:t>
      </w:r>
      <w:r w:rsidR="00B133CF">
        <w:rPr>
          <w:color w:val="000000" w:themeColor="text1"/>
          <w:sz w:val="28"/>
          <w:szCs w:val="28"/>
        </w:rPr>
        <w:t>teful expenditure at the first</w:t>
      </w:r>
      <w:r w:rsidR="00FC133B">
        <w:rPr>
          <w:color w:val="000000" w:themeColor="text1"/>
          <w:sz w:val="28"/>
          <w:szCs w:val="28"/>
        </w:rPr>
        <w:t xml:space="preserve"> </w:t>
      </w:r>
      <w:r w:rsidR="00E44141">
        <w:rPr>
          <w:color w:val="000000" w:themeColor="text1"/>
          <w:sz w:val="28"/>
          <w:szCs w:val="28"/>
        </w:rPr>
        <w:t>stage of the determination</w:t>
      </w:r>
      <w:r w:rsidR="00FC133B">
        <w:rPr>
          <w:color w:val="000000" w:themeColor="text1"/>
          <w:sz w:val="28"/>
          <w:szCs w:val="28"/>
        </w:rPr>
        <w:t xml:space="preserve"> (the allowable revenue stage)</w:t>
      </w:r>
      <w:r w:rsidR="00E44141">
        <w:rPr>
          <w:color w:val="000000" w:themeColor="text1"/>
          <w:sz w:val="28"/>
          <w:szCs w:val="28"/>
        </w:rPr>
        <w:t>; (2) NERSA did not properly consider the issue of overstaffing at Eskom and (3) that NERSA had failed to conduct a detailed assessment on the impact of the tariff determination on consumers who purchase electricity from municipalities</w:t>
      </w:r>
      <w:r w:rsidR="005D6888">
        <w:rPr>
          <w:color w:val="000000" w:themeColor="text1"/>
          <w:sz w:val="28"/>
          <w:szCs w:val="28"/>
        </w:rPr>
        <w:t>.</w:t>
      </w:r>
    </w:p>
    <w:p w14:paraId="002F0B14" w14:textId="02EB328A" w:rsidR="005D6888" w:rsidRDefault="00474CF2" w:rsidP="00474CF2">
      <w:pPr>
        <w:pStyle w:val="MEMONUMBERED"/>
        <w:numPr>
          <w:ilvl w:val="0"/>
          <w:numId w:val="0"/>
        </w:numPr>
        <w:spacing w:after="360" w:line="360" w:lineRule="auto"/>
        <w:rPr>
          <w:color w:val="000000" w:themeColor="text1"/>
          <w:sz w:val="28"/>
          <w:szCs w:val="28"/>
        </w:rPr>
      </w:pPr>
      <w:r>
        <w:rPr>
          <w:color w:val="000000" w:themeColor="text1"/>
          <w:sz w:val="28"/>
          <w:szCs w:val="28"/>
        </w:rPr>
        <w:t>[4]</w:t>
      </w:r>
      <w:r>
        <w:rPr>
          <w:color w:val="000000" w:themeColor="text1"/>
          <w:sz w:val="28"/>
          <w:szCs w:val="28"/>
        </w:rPr>
        <w:tab/>
      </w:r>
      <w:r w:rsidR="005D6888">
        <w:rPr>
          <w:color w:val="000000" w:themeColor="text1"/>
          <w:sz w:val="28"/>
          <w:szCs w:val="28"/>
        </w:rPr>
        <w:t xml:space="preserve">I hasten to add, as we did </w:t>
      </w:r>
      <w:r w:rsidR="00B133CF">
        <w:rPr>
          <w:color w:val="000000" w:themeColor="text1"/>
          <w:sz w:val="28"/>
          <w:szCs w:val="28"/>
        </w:rPr>
        <w:t>in the main judgment, that SALGA</w:t>
      </w:r>
      <w:r w:rsidR="005D6888">
        <w:rPr>
          <w:color w:val="000000" w:themeColor="text1"/>
          <w:sz w:val="28"/>
          <w:szCs w:val="28"/>
        </w:rPr>
        <w:t xml:space="preserve">’s complaints were not that the tariffs determined were </w:t>
      </w:r>
      <w:r w:rsidR="00FC133B">
        <w:rPr>
          <w:color w:val="000000" w:themeColor="text1"/>
          <w:sz w:val="28"/>
          <w:szCs w:val="28"/>
        </w:rPr>
        <w:t xml:space="preserve">too high. </w:t>
      </w:r>
      <w:r w:rsidR="005D6888">
        <w:rPr>
          <w:color w:val="000000" w:themeColor="text1"/>
          <w:sz w:val="28"/>
          <w:szCs w:val="28"/>
        </w:rPr>
        <w:t xml:space="preserve"> </w:t>
      </w:r>
      <w:r w:rsidR="00FC133B">
        <w:rPr>
          <w:color w:val="000000" w:themeColor="text1"/>
          <w:sz w:val="28"/>
          <w:szCs w:val="28"/>
        </w:rPr>
        <w:t>I</w:t>
      </w:r>
      <w:r w:rsidR="005D6888">
        <w:rPr>
          <w:color w:val="000000" w:themeColor="text1"/>
          <w:sz w:val="28"/>
          <w:szCs w:val="28"/>
        </w:rPr>
        <w:t>n fact, should provision be made for the inclusion of costs of possible corruption and fraud, the tariffs would probably</w:t>
      </w:r>
      <w:r w:rsidR="00FC133B">
        <w:rPr>
          <w:color w:val="000000" w:themeColor="text1"/>
          <w:sz w:val="28"/>
          <w:szCs w:val="28"/>
        </w:rPr>
        <w:t xml:space="preserve"> have</w:t>
      </w:r>
      <w:r w:rsidR="005D6888">
        <w:rPr>
          <w:color w:val="000000" w:themeColor="text1"/>
          <w:sz w:val="28"/>
          <w:szCs w:val="28"/>
        </w:rPr>
        <w:t xml:space="preserve"> increase</w:t>
      </w:r>
      <w:r w:rsidR="00FC133B">
        <w:rPr>
          <w:color w:val="000000" w:themeColor="text1"/>
          <w:sz w:val="28"/>
          <w:szCs w:val="28"/>
        </w:rPr>
        <w:t>d</w:t>
      </w:r>
      <w:r w:rsidR="005D6888">
        <w:rPr>
          <w:color w:val="000000" w:themeColor="text1"/>
          <w:sz w:val="28"/>
          <w:szCs w:val="28"/>
        </w:rPr>
        <w:t>.</w:t>
      </w:r>
    </w:p>
    <w:p w14:paraId="59DE7D30" w14:textId="3EAF3B3A" w:rsidR="009E6C31" w:rsidRPr="009E6C31" w:rsidRDefault="005D6888" w:rsidP="00B133CF">
      <w:pPr>
        <w:spacing w:after="120" w:line="360" w:lineRule="auto"/>
        <w:ind w:right="-45"/>
        <w:jc w:val="both"/>
        <w:rPr>
          <w:rFonts w:ascii="Times New Roman" w:hAnsi="Times New Roman" w:cs="Times New Roman"/>
          <w:b/>
          <w:color w:val="000000" w:themeColor="text1"/>
          <w:sz w:val="28"/>
          <w:szCs w:val="28"/>
        </w:rPr>
      </w:pPr>
      <w:proofErr w:type="spellStart"/>
      <w:r>
        <w:rPr>
          <w:rFonts w:ascii="Times New Roman" w:hAnsi="Times New Roman" w:cs="Times New Roman"/>
          <w:b/>
          <w:color w:val="000000" w:themeColor="text1"/>
          <w:sz w:val="28"/>
          <w:szCs w:val="28"/>
        </w:rPr>
        <w:t>Ad</w:t>
      </w:r>
      <w:proofErr w:type="spellEnd"/>
      <w:r>
        <w:rPr>
          <w:rFonts w:ascii="Times New Roman" w:hAnsi="Times New Roman" w:cs="Times New Roman"/>
          <w:b/>
          <w:color w:val="000000" w:themeColor="text1"/>
          <w:sz w:val="28"/>
          <w:szCs w:val="28"/>
        </w:rPr>
        <w:t xml:space="preserve"> the provision for corruption, </w:t>
      </w:r>
      <w:proofErr w:type="gramStart"/>
      <w:r>
        <w:rPr>
          <w:rFonts w:ascii="Times New Roman" w:hAnsi="Times New Roman" w:cs="Times New Roman"/>
          <w:b/>
          <w:color w:val="000000" w:themeColor="text1"/>
          <w:sz w:val="28"/>
          <w:szCs w:val="28"/>
        </w:rPr>
        <w:t>fraud</w:t>
      </w:r>
      <w:proofErr w:type="gramEnd"/>
      <w:r>
        <w:rPr>
          <w:rFonts w:ascii="Times New Roman" w:hAnsi="Times New Roman" w:cs="Times New Roman"/>
          <w:b/>
          <w:color w:val="000000" w:themeColor="text1"/>
          <w:sz w:val="28"/>
          <w:szCs w:val="28"/>
        </w:rPr>
        <w:t xml:space="preserve"> and wasteful expenses</w:t>
      </w:r>
    </w:p>
    <w:p w14:paraId="5C4C5C15" w14:textId="38DFF5F3" w:rsidR="005D6888" w:rsidRPr="00474CF2" w:rsidRDefault="00474CF2" w:rsidP="00474CF2">
      <w:pPr>
        <w:spacing w:after="360" w:line="360" w:lineRule="auto"/>
        <w:ind w:right="-4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ab/>
      </w:r>
      <w:r w:rsidR="00B133CF" w:rsidRPr="00474CF2">
        <w:rPr>
          <w:rFonts w:ascii="Times New Roman" w:hAnsi="Times New Roman" w:cs="Times New Roman"/>
          <w:color w:val="000000" w:themeColor="text1"/>
          <w:sz w:val="28"/>
          <w:szCs w:val="28"/>
        </w:rPr>
        <w:t>SALGA</w:t>
      </w:r>
      <w:r w:rsidR="005D6888" w:rsidRPr="00474CF2">
        <w:rPr>
          <w:rFonts w:ascii="Times New Roman" w:hAnsi="Times New Roman" w:cs="Times New Roman"/>
          <w:color w:val="000000" w:themeColor="text1"/>
          <w:sz w:val="28"/>
          <w:szCs w:val="28"/>
        </w:rPr>
        <w:t>’s argument commenced with a reference to the objects of the Electricity Regulation Act</w:t>
      </w:r>
      <w:r w:rsidR="005D6888">
        <w:rPr>
          <w:rStyle w:val="FootnoteReference"/>
          <w:rFonts w:ascii="Times New Roman" w:hAnsi="Times New Roman" w:cs="Times New Roman"/>
          <w:color w:val="000000" w:themeColor="text1"/>
          <w:sz w:val="28"/>
          <w:szCs w:val="28"/>
        </w:rPr>
        <w:footnoteReference w:id="1"/>
      </w:r>
      <w:r w:rsidR="005D6888" w:rsidRPr="00474CF2">
        <w:rPr>
          <w:rFonts w:ascii="Times New Roman" w:hAnsi="Times New Roman" w:cs="Times New Roman"/>
          <w:color w:val="000000" w:themeColor="text1"/>
          <w:sz w:val="28"/>
          <w:szCs w:val="28"/>
        </w:rPr>
        <w:t xml:space="preserve"> and </w:t>
      </w:r>
      <w:proofErr w:type="gramStart"/>
      <w:r w:rsidR="005D6888" w:rsidRPr="00474CF2">
        <w:rPr>
          <w:rFonts w:ascii="Times New Roman" w:hAnsi="Times New Roman" w:cs="Times New Roman"/>
          <w:color w:val="000000" w:themeColor="text1"/>
          <w:sz w:val="28"/>
          <w:szCs w:val="28"/>
        </w:rPr>
        <w:t>in particular that</w:t>
      </w:r>
      <w:proofErr w:type="gramEnd"/>
      <w:r w:rsidR="005D6888" w:rsidRPr="00474CF2">
        <w:rPr>
          <w:rFonts w:ascii="Times New Roman" w:hAnsi="Times New Roman" w:cs="Times New Roman"/>
          <w:color w:val="000000" w:themeColor="text1"/>
          <w:sz w:val="28"/>
          <w:szCs w:val="28"/>
        </w:rPr>
        <w:t xml:space="preserve"> contained in section 2(b) of that Act.  That subsection provides that one of the objects of the Act is to “</w:t>
      </w:r>
      <w:r w:rsidR="005D6888" w:rsidRPr="00474CF2">
        <w:rPr>
          <w:rFonts w:ascii="Times New Roman" w:hAnsi="Times New Roman" w:cs="Times New Roman"/>
          <w:i/>
          <w:color w:val="000000" w:themeColor="text1"/>
          <w:sz w:val="28"/>
          <w:szCs w:val="28"/>
        </w:rPr>
        <w:t>ensure that the interests and needs of present and future electricity customers and end users are safeguarded and met</w:t>
      </w:r>
      <w:r w:rsidR="005D6888" w:rsidRPr="00474CF2">
        <w:rPr>
          <w:rFonts w:ascii="Times New Roman" w:hAnsi="Times New Roman" w:cs="Times New Roman"/>
          <w:color w:val="000000" w:themeColor="text1"/>
          <w:sz w:val="28"/>
          <w:szCs w:val="28"/>
        </w:rPr>
        <w:t>”.  SALGA argued that, to ignore the effects of corruption and fraud, would fall foul of this objective.</w:t>
      </w:r>
    </w:p>
    <w:p w14:paraId="043EE853" w14:textId="77777777" w:rsidR="009E6C31" w:rsidRDefault="009E6C31" w:rsidP="009E6C31">
      <w:pPr>
        <w:pStyle w:val="ListParagraph"/>
        <w:spacing w:after="360" w:line="360" w:lineRule="auto"/>
        <w:ind w:left="0" w:right="-45"/>
        <w:jc w:val="both"/>
        <w:rPr>
          <w:rFonts w:ascii="Times New Roman" w:hAnsi="Times New Roman" w:cs="Times New Roman"/>
          <w:color w:val="000000" w:themeColor="text1"/>
          <w:sz w:val="28"/>
          <w:szCs w:val="28"/>
        </w:rPr>
      </w:pPr>
    </w:p>
    <w:p w14:paraId="0E1C060B" w14:textId="79670E7C" w:rsidR="00395B09" w:rsidRPr="00474CF2" w:rsidRDefault="00474CF2" w:rsidP="00474CF2">
      <w:pPr>
        <w:spacing w:after="360" w:line="360" w:lineRule="auto"/>
        <w:ind w:right="-45"/>
        <w:jc w:val="both"/>
        <w:rPr>
          <w:rFonts w:ascii="Times New Roman" w:hAnsi="Times New Roman" w:cs="Times New Roman"/>
          <w:i/>
          <w:color w:val="000000" w:themeColor="text1"/>
          <w:sz w:val="28"/>
          <w:szCs w:val="28"/>
        </w:rPr>
      </w:pPr>
      <w:r w:rsidRPr="00A106E0">
        <w:rPr>
          <w:rFonts w:ascii="Times New Roman" w:hAnsi="Times New Roman" w:cs="Times New Roman"/>
          <w:color w:val="000000" w:themeColor="text1"/>
          <w:sz w:val="28"/>
          <w:szCs w:val="28"/>
        </w:rPr>
        <w:t>[6]</w:t>
      </w:r>
      <w:r w:rsidRPr="00A106E0">
        <w:rPr>
          <w:rFonts w:ascii="Times New Roman" w:hAnsi="Times New Roman" w:cs="Times New Roman"/>
          <w:color w:val="000000" w:themeColor="text1"/>
          <w:sz w:val="28"/>
          <w:szCs w:val="28"/>
        </w:rPr>
        <w:tab/>
      </w:r>
      <w:r w:rsidR="00395B09" w:rsidRPr="00474CF2">
        <w:rPr>
          <w:rFonts w:ascii="Times New Roman" w:hAnsi="Times New Roman" w:cs="Times New Roman"/>
          <w:color w:val="000000" w:themeColor="text1"/>
          <w:sz w:val="28"/>
          <w:szCs w:val="28"/>
        </w:rPr>
        <w:t xml:space="preserve">On </w:t>
      </w:r>
      <w:r w:rsidR="005D6888" w:rsidRPr="00474CF2">
        <w:rPr>
          <w:rFonts w:ascii="Times New Roman" w:hAnsi="Times New Roman" w:cs="Times New Roman"/>
          <w:color w:val="000000" w:themeColor="text1"/>
          <w:sz w:val="28"/>
          <w:szCs w:val="28"/>
        </w:rPr>
        <w:t>behalf of NERSA</w:t>
      </w:r>
      <w:r w:rsidR="00B133CF" w:rsidRPr="00474CF2">
        <w:rPr>
          <w:rFonts w:ascii="Times New Roman" w:hAnsi="Times New Roman" w:cs="Times New Roman"/>
          <w:color w:val="000000" w:themeColor="text1"/>
          <w:sz w:val="28"/>
          <w:szCs w:val="28"/>
        </w:rPr>
        <w:t xml:space="preserve"> Adv Maenetje SC argued that NER</w:t>
      </w:r>
      <w:r w:rsidR="005D6888" w:rsidRPr="00474CF2">
        <w:rPr>
          <w:rFonts w:ascii="Times New Roman" w:hAnsi="Times New Roman" w:cs="Times New Roman"/>
          <w:color w:val="000000" w:themeColor="text1"/>
          <w:sz w:val="28"/>
          <w:szCs w:val="28"/>
        </w:rPr>
        <w:t xml:space="preserve">SA had indeed considered the impact of corruption and fraud but had determined that the impact of such impropriety can best be catered for at the RCA stage. There are many reasons for this, but the most obvious is that it would be almost impossible to forecast what </w:t>
      </w:r>
      <w:r w:rsidR="005D6888" w:rsidRPr="00474CF2">
        <w:rPr>
          <w:rFonts w:ascii="Times New Roman" w:hAnsi="Times New Roman" w:cs="Times New Roman"/>
          <w:color w:val="000000" w:themeColor="text1"/>
          <w:sz w:val="28"/>
          <w:szCs w:val="28"/>
        </w:rPr>
        <w:lastRenderedPageBreak/>
        <w:t>the costs of these factors would be, particularly when active steps are taken to prevent corru</w:t>
      </w:r>
      <w:r w:rsidR="00262E02" w:rsidRPr="00474CF2">
        <w:rPr>
          <w:rFonts w:ascii="Times New Roman" w:hAnsi="Times New Roman" w:cs="Times New Roman"/>
          <w:color w:val="000000" w:themeColor="text1"/>
          <w:sz w:val="28"/>
          <w:szCs w:val="28"/>
        </w:rPr>
        <w:t>ption and fraud.  It is almost as if NERSA is required</w:t>
      </w:r>
      <w:r w:rsidR="00FC133B" w:rsidRPr="00474CF2">
        <w:rPr>
          <w:rFonts w:ascii="Times New Roman" w:hAnsi="Times New Roman" w:cs="Times New Roman"/>
          <w:color w:val="000000" w:themeColor="text1"/>
          <w:sz w:val="28"/>
          <w:szCs w:val="28"/>
        </w:rPr>
        <w:t xml:space="preserve"> by SALGA</w:t>
      </w:r>
      <w:r w:rsidR="00262E02" w:rsidRPr="00474CF2">
        <w:rPr>
          <w:rFonts w:ascii="Times New Roman" w:hAnsi="Times New Roman" w:cs="Times New Roman"/>
          <w:color w:val="000000" w:themeColor="text1"/>
          <w:sz w:val="28"/>
          <w:szCs w:val="28"/>
        </w:rPr>
        <w:t xml:space="preserve"> to allow Eskom to “budget” for an amount of theft to take place, rather than to prevent it.  </w:t>
      </w:r>
      <w:r w:rsidR="00B133CF" w:rsidRPr="00474CF2">
        <w:rPr>
          <w:rFonts w:ascii="Times New Roman" w:hAnsi="Times New Roman" w:cs="Times New Roman"/>
          <w:color w:val="000000" w:themeColor="text1"/>
          <w:sz w:val="28"/>
          <w:szCs w:val="28"/>
        </w:rPr>
        <w:t>There is also an amount of “clawback</w:t>
      </w:r>
      <w:r w:rsidR="00262E02" w:rsidRPr="00474CF2">
        <w:rPr>
          <w:rFonts w:ascii="Times New Roman" w:hAnsi="Times New Roman" w:cs="Times New Roman"/>
          <w:color w:val="000000" w:themeColor="text1"/>
          <w:sz w:val="28"/>
          <w:szCs w:val="28"/>
        </w:rPr>
        <w:t xml:space="preserve">” taking place in </w:t>
      </w:r>
      <w:r w:rsidR="00FC133B" w:rsidRPr="00474CF2">
        <w:rPr>
          <w:rFonts w:ascii="Times New Roman" w:hAnsi="Times New Roman" w:cs="Times New Roman"/>
          <w:color w:val="000000" w:themeColor="text1"/>
          <w:sz w:val="28"/>
          <w:szCs w:val="28"/>
        </w:rPr>
        <w:t>respect of previously corrupt</w:t>
      </w:r>
      <w:r w:rsidR="00262E02" w:rsidRPr="00474CF2">
        <w:rPr>
          <w:rFonts w:ascii="Times New Roman" w:hAnsi="Times New Roman" w:cs="Times New Roman"/>
          <w:color w:val="000000" w:themeColor="text1"/>
          <w:sz w:val="28"/>
          <w:szCs w:val="28"/>
        </w:rPr>
        <w:t xml:space="preserve"> dealings which are also difficult, if not impossible</w:t>
      </w:r>
      <w:r w:rsidR="00FC133B" w:rsidRPr="00474CF2">
        <w:rPr>
          <w:rFonts w:ascii="Times New Roman" w:hAnsi="Times New Roman" w:cs="Times New Roman"/>
          <w:color w:val="000000" w:themeColor="text1"/>
          <w:sz w:val="28"/>
          <w:szCs w:val="28"/>
        </w:rPr>
        <w:t>,</w:t>
      </w:r>
      <w:r w:rsidR="00262E02" w:rsidRPr="00474CF2">
        <w:rPr>
          <w:rFonts w:ascii="Times New Roman" w:hAnsi="Times New Roman" w:cs="Times New Roman"/>
          <w:color w:val="000000" w:themeColor="text1"/>
          <w:sz w:val="28"/>
          <w:szCs w:val="28"/>
        </w:rPr>
        <w:t xml:space="preserve"> to predetermine.  To allow for both the aspects of losses due to corruption and fraud and the g</w:t>
      </w:r>
      <w:r w:rsidR="00911671" w:rsidRPr="00474CF2">
        <w:rPr>
          <w:rFonts w:ascii="Times New Roman" w:hAnsi="Times New Roman" w:cs="Times New Roman"/>
          <w:color w:val="000000" w:themeColor="text1"/>
          <w:sz w:val="28"/>
          <w:szCs w:val="28"/>
        </w:rPr>
        <w:t>ains of recovery at the RCA stag</w:t>
      </w:r>
      <w:r w:rsidR="00262E02" w:rsidRPr="00474CF2">
        <w:rPr>
          <w:rFonts w:ascii="Times New Roman" w:hAnsi="Times New Roman" w:cs="Times New Roman"/>
          <w:color w:val="000000" w:themeColor="text1"/>
          <w:sz w:val="28"/>
          <w:szCs w:val="28"/>
        </w:rPr>
        <w:t xml:space="preserve">e by way of actual figures would result in a more precise </w:t>
      </w:r>
      <w:r w:rsidR="00FC133B" w:rsidRPr="00474CF2">
        <w:rPr>
          <w:rFonts w:ascii="Times New Roman" w:hAnsi="Times New Roman" w:cs="Times New Roman"/>
          <w:color w:val="000000" w:themeColor="text1"/>
          <w:sz w:val="28"/>
          <w:szCs w:val="28"/>
        </w:rPr>
        <w:t xml:space="preserve">accounting rather than </w:t>
      </w:r>
      <w:r w:rsidR="00262E02" w:rsidRPr="00474CF2">
        <w:rPr>
          <w:rFonts w:ascii="Times New Roman" w:hAnsi="Times New Roman" w:cs="Times New Roman"/>
          <w:color w:val="000000" w:themeColor="text1"/>
          <w:sz w:val="28"/>
          <w:szCs w:val="28"/>
        </w:rPr>
        <w:t>an unknown or indeterminate amount being included as an “allowable” revenue.  In any event, the RCA stage was “</w:t>
      </w:r>
      <w:r w:rsidR="00262E02" w:rsidRPr="00474CF2">
        <w:rPr>
          <w:rFonts w:ascii="Times New Roman" w:hAnsi="Times New Roman" w:cs="Times New Roman"/>
          <w:i/>
          <w:color w:val="000000" w:themeColor="text1"/>
          <w:sz w:val="28"/>
          <w:szCs w:val="28"/>
        </w:rPr>
        <w:t>a crucial component in the methodology for determining Eskom tariffs</w:t>
      </w:r>
      <w:r w:rsidR="00262E02" w:rsidRPr="00474CF2">
        <w:rPr>
          <w:rFonts w:ascii="Times New Roman" w:hAnsi="Times New Roman" w:cs="Times New Roman"/>
          <w:color w:val="000000" w:themeColor="text1"/>
          <w:sz w:val="28"/>
          <w:szCs w:val="28"/>
        </w:rPr>
        <w:t>”.</w:t>
      </w:r>
      <w:r w:rsidR="00262E02">
        <w:rPr>
          <w:rStyle w:val="FootnoteReference"/>
          <w:rFonts w:ascii="Times New Roman" w:hAnsi="Times New Roman" w:cs="Times New Roman"/>
          <w:color w:val="000000" w:themeColor="text1"/>
          <w:sz w:val="28"/>
          <w:szCs w:val="28"/>
        </w:rPr>
        <w:footnoteReference w:id="2"/>
      </w:r>
      <w:r w:rsidR="00262E02" w:rsidRPr="00474CF2">
        <w:rPr>
          <w:rFonts w:ascii="Times New Roman" w:hAnsi="Times New Roman" w:cs="Times New Roman"/>
          <w:color w:val="000000" w:themeColor="text1"/>
          <w:sz w:val="28"/>
          <w:szCs w:val="28"/>
        </w:rPr>
        <w:t xml:space="preserve"> </w:t>
      </w:r>
    </w:p>
    <w:p w14:paraId="66B046F5" w14:textId="77777777" w:rsidR="00262E02" w:rsidRPr="00262E02" w:rsidRDefault="00262E02" w:rsidP="00262E02">
      <w:pPr>
        <w:pStyle w:val="ListParagraph"/>
        <w:rPr>
          <w:rFonts w:ascii="Times New Roman" w:hAnsi="Times New Roman" w:cs="Times New Roman"/>
          <w:i/>
          <w:color w:val="000000" w:themeColor="text1"/>
          <w:sz w:val="28"/>
          <w:szCs w:val="28"/>
        </w:rPr>
      </w:pPr>
    </w:p>
    <w:p w14:paraId="6E8FC912" w14:textId="40A6137C" w:rsidR="00A106E0" w:rsidRPr="00474CF2" w:rsidRDefault="00474CF2" w:rsidP="00474CF2">
      <w:pPr>
        <w:spacing w:after="360" w:line="360" w:lineRule="auto"/>
        <w:ind w:right="-45"/>
        <w:jc w:val="both"/>
        <w:rPr>
          <w:rFonts w:ascii="Times New Roman" w:hAnsi="Times New Roman" w:cs="Times New Roman"/>
          <w:i/>
          <w:color w:val="000000" w:themeColor="text1"/>
          <w:sz w:val="28"/>
          <w:szCs w:val="28"/>
        </w:rPr>
      </w:pPr>
      <w:r w:rsidRPr="00A106E0">
        <w:rPr>
          <w:rFonts w:ascii="Times New Roman" w:hAnsi="Times New Roman" w:cs="Times New Roman"/>
          <w:color w:val="000000" w:themeColor="text1"/>
          <w:sz w:val="28"/>
          <w:szCs w:val="28"/>
        </w:rPr>
        <w:t>[7]</w:t>
      </w:r>
      <w:r w:rsidRPr="00A106E0">
        <w:rPr>
          <w:rFonts w:ascii="Times New Roman" w:hAnsi="Times New Roman" w:cs="Times New Roman"/>
          <w:color w:val="000000" w:themeColor="text1"/>
          <w:sz w:val="28"/>
          <w:szCs w:val="28"/>
        </w:rPr>
        <w:tab/>
      </w:r>
      <w:r w:rsidR="00A106E0" w:rsidRPr="00474CF2">
        <w:rPr>
          <w:rFonts w:ascii="Times New Roman" w:hAnsi="Times New Roman" w:cs="Times New Roman"/>
          <w:color w:val="000000" w:themeColor="text1"/>
          <w:sz w:val="28"/>
          <w:szCs w:val="28"/>
        </w:rPr>
        <w:t>Eskom also opposed the application for leave to appeal and similarly argued that the fact that provision for corruption and fraud not havi</w:t>
      </w:r>
      <w:r w:rsidR="00FC133B" w:rsidRPr="00474CF2">
        <w:rPr>
          <w:rFonts w:ascii="Times New Roman" w:hAnsi="Times New Roman" w:cs="Times New Roman"/>
          <w:color w:val="000000" w:themeColor="text1"/>
          <w:sz w:val="28"/>
          <w:szCs w:val="28"/>
        </w:rPr>
        <w:t>ng been included in the allowabl</w:t>
      </w:r>
      <w:r w:rsidR="00A106E0" w:rsidRPr="00474CF2">
        <w:rPr>
          <w:rFonts w:ascii="Times New Roman" w:hAnsi="Times New Roman" w:cs="Times New Roman"/>
          <w:color w:val="000000" w:themeColor="text1"/>
          <w:sz w:val="28"/>
          <w:szCs w:val="28"/>
        </w:rPr>
        <w:t>e revenue determination stage did not mean that its impact had not been considered.  It simply meant that it was decided that it should be catered for at the RCA stage in similar fashion as adjustments had been made over the past seven years.</w:t>
      </w:r>
    </w:p>
    <w:p w14:paraId="6307ECE5" w14:textId="77777777" w:rsidR="00A106E0" w:rsidRPr="00A106E0" w:rsidRDefault="00A106E0" w:rsidP="00A106E0">
      <w:pPr>
        <w:pStyle w:val="ListParagraph"/>
        <w:rPr>
          <w:rFonts w:ascii="Times New Roman" w:hAnsi="Times New Roman" w:cs="Times New Roman"/>
          <w:color w:val="000000" w:themeColor="text1"/>
          <w:sz w:val="28"/>
          <w:szCs w:val="28"/>
        </w:rPr>
      </w:pPr>
    </w:p>
    <w:p w14:paraId="355980FB" w14:textId="43648FC3" w:rsidR="00A106E0" w:rsidRPr="00474CF2" w:rsidRDefault="00474CF2" w:rsidP="00474CF2">
      <w:pPr>
        <w:spacing w:after="360" w:line="360" w:lineRule="auto"/>
        <w:ind w:right="-45"/>
        <w:jc w:val="both"/>
        <w:rPr>
          <w:rFonts w:ascii="Times New Roman" w:hAnsi="Times New Roman" w:cs="Times New Roman"/>
          <w:i/>
          <w:color w:val="000000" w:themeColor="text1"/>
          <w:sz w:val="28"/>
          <w:szCs w:val="28"/>
        </w:rPr>
      </w:pPr>
      <w:r w:rsidRPr="00A106E0">
        <w:rPr>
          <w:rFonts w:ascii="Times New Roman" w:hAnsi="Times New Roman" w:cs="Times New Roman"/>
          <w:color w:val="000000" w:themeColor="text1"/>
          <w:sz w:val="28"/>
          <w:szCs w:val="28"/>
        </w:rPr>
        <w:t>[8]</w:t>
      </w:r>
      <w:r w:rsidRPr="00A106E0">
        <w:rPr>
          <w:rFonts w:ascii="Times New Roman" w:hAnsi="Times New Roman" w:cs="Times New Roman"/>
          <w:color w:val="000000" w:themeColor="text1"/>
          <w:sz w:val="28"/>
          <w:szCs w:val="28"/>
        </w:rPr>
        <w:tab/>
      </w:r>
      <w:r w:rsidR="00A106E0" w:rsidRPr="00474CF2">
        <w:rPr>
          <w:rFonts w:ascii="Times New Roman" w:hAnsi="Times New Roman" w:cs="Times New Roman"/>
          <w:color w:val="000000" w:themeColor="text1"/>
          <w:sz w:val="28"/>
          <w:szCs w:val="28"/>
        </w:rPr>
        <w:t>In addition to its initial argument, Adv Labuschagne SC on behalf of SALGA argued that NERSA should have “incentivised” Eskom to fight corruption and fraud and that conditio</w:t>
      </w:r>
      <w:r w:rsidR="00911671" w:rsidRPr="00474CF2">
        <w:rPr>
          <w:rFonts w:ascii="Times New Roman" w:hAnsi="Times New Roman" w:cs="Times New Roman"/>
          <w:color w:val="000000" w:themeColor="text1"/>
          <w:sz w:val="28"/>
          <w:szCs w:val="28"/>
        </w:rPr>
        <w:t>ns should be added to its licenc</w:t>
      </w:r>
      <w:r w:rsidR="00A106E0" w:rsidRPr="00474CF2">
        <w:rPr>
          <w:rFonts w:ascii="Times New Roman" w:hAnsi="Times New Roman" w:cs="Times New Roman"/>
          <w:color w:val="000000" w:themeColor="text1"/>
          <w:sz w:val="28"/>
          <w:szCs w:val="28"/>
        </w:rPr>
        <w:t>e to ensure that this takes place.  This was no</w:t>
      </w:r>
      <w:r w:rsidR="00911671" w:rsidRPr="00474CF2">
        <w:rPr>
          <w:rFonts w:ascii="Times New Roman" w:hAnsi="Times New Roman" w:cs="Times New Roman"/>
          <w:color w:val="000000" w:themeColor="text1"/>
          <w:sz w:val="28"/>
          <w:szCs w:val="28"/>
        </w:rPr>
        <w:t>t</w:t>
      </w:r>
      <w:r w:rsidR="00A106E0" w:rsidRPr="00474CF2">
        <w:rPr>
          <w:rFonts w:ascii="Times New Roman" w:hAnsi="Times New Roman" w:cs="Times New Roman"/>
          <w:color w:val="000000" w:themeColor="text1"/>
          <w:sz w:val="28"/>
          <w:szCs w:val="28"/>
        </w:rPr>
        <w:t xml:space="preserve"> SALGA’s case in the main application and cannot now become its case on appeal in the absence of having allowed the respondents the opportunity to deal with it in evidence.</w:t>
      </w:r>
    </w:p>
    <w:p w14:paraId="63ED4B7D" w14:textId="77777777" w:rsidR="00A106E0" w:rsidRPr="00A106E0" w:rsidRDefault="00A106E0" w:rsidP="00A106E0">
      <w:pPr>
        <w:pStyle w:val="ListParagraph"/>
        <w:rPr>
          <w:rFonts w:ascii="Times New Roman" w:hAnsi="Times New Roman" w:cs="Times New Roman"/>
          <w:color w:val="000000" w:themeColor="text1"/>
          <w:sz w:val="28"/>
          <w:szCs w:val="28"/>
        </w:rPr>
      </w:pPr>
    </w:p>
    <w:p w14:paraId="0EF6C43E" w14:textId="7AA69F70" w:rsidR="002F4118" w:rsidRPr="00474CF2" w:rsidRDefault="00474CF2" w:rsidP="00474CF2">
      <w:pPr>
        <w:spacing w:after="360" w:line="360" w:lineRule="auto"/>
        <w:ind w:right="-45"/>
        <w:jc w:val="both"/>
        <w:rPr>
          <w:rFonts w:ascii="Times New Roman" w:hAnsi="Times New Roman" w:cs="Times New Roman"/>
          <w:i/>
          <w:color w:val="000000" w:themeColor="text1"/>
          <w:sz w:val="28"/>
          <w:szCs w:val="28"/>
        </w:rPr>
      </w:pPr>
      <w:r w:rsidRPr="00A106E0">
        <w:rPr>
          <w:rFonts w:ascii="Times New Roman" w:hAnsi="Times New Roman" w:cs="Times New Roman"/>
          <w:color w:val="000000" w:themeColor="text1"/>
          <w:sz w:val="28"/>
          <w:szCs w:val="28"/>
        </w:rPr>
        <w:lastRenderedPageBreak/>
        <w:t>[9]</w:t>
      </w:r>
      <w:r w:rsidRPr="00A106E0">
        <w:rPr>
          <w:rFonts w:ascii="Times New Roman" w:hAnsi="Times New Roman" w:cs="Times New Roman"/>
          <w:color w:val="000000" w:themeColor="text1"/>
          <w:sz w:val="28"/>
          <w:szCs w:val="28"/>
        </w:rPr>
        <w:tab/>
      </w:r>
      <w:r w:rsidR="00A106E0" w:rsidRPr="00474CF2">
        <w:rPr>
          <w:rFonts w:ascii="Times New Roman" w:hAnsi="Times New Roman" w:cs="Times New Roman"/>
          <w:color w:val="000000" w:themeColor="text1"/>
          <w:sz w:val="28"/>
          <w:szCs w:val="28"/>
        </w:rPr>
        <w:t>On a conspectus of all the arguments, we find no reasonable prospects of success on appeal on the first ground.</w:t>
      </w:r>
    </w:p>
    <w:p w14:paraId="60D5D44C" w14:textId="468D4D34" w:rsidR="002F4118" w:rsidRPr="002F4118" w:rsidRDefault="00A106E0" w:rsidP="00911671">
      <w:pPr>
        <w:spacing w:after="120" w:line="36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Ad overstaffing</w:t>
      </w:r>
    </w:p>
    <w:p w14:paraId="063E62A5" w14:textId="4B5AB84F" w:rsidR="00C90DD9" w:rsidRPr="00474CF2" w:rsidRDefault="00474CF2" w:rsidP="00474CF2">
      <w:pPr>
        <w:spacing w:after="360" w:line="360" w:lineRule="auto"/>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A106E0" w:rsidRPr="00474CF2">
        <w:rPr>
          <w:rFonts w:ascii="Times New Roman" w:hAnsi="Times New Roman" w:cs="Times New Roman"/>
          <w:sz w:val="28"/>
          <w:szCs w:val="28"/>
        </w:rPr>
        <w:t>SALGA argued that NERSA had not properly considered the issue of overstaffing and that this court has conflated the issue of costs of staffing with overstaffing.</w:t>
      </w:r>
    </w:p>
    <w:p w14:paraId="7DB62C56" w14:textId="77777777" w:rsidR="00A106E0" w:rsidRDefault="00A106E0" w:rsidP="00A106E0">
      <w:pPr>
        <w:pStyle w:val="ListParagraph"/>
        <w:spacing w:after="360" w:line="360" w:lineRule="auto"/>
        <w:ind w:left="0"/>
        <w:jc w:val="both"/>
        <w:rPr>
          <w:rFonts w:ascii="Times New Roman" w:hAnsi="Times New Roman" w:cs="Times New Roman"/>
          <w:sz w:val="28"/>
          <w:szCs w:val="28"/>
        </w:rPr>
      </w:pPr>
    </w:p>
    <w:p w14:paraId="005DEE1E" w14:textId="6EAE548F" w:rsidR="00A106E0" w:rsidRPr="00474CF2" w:rsidRDefault="00474CF2" w:rsidP="00474CF2">
      <w:pPr>
        <w:spacing w:after="360" w:line="360" w:lineRule="auto"/>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A106E0" w:rsidRPr="00474CF2">
        <w:rPr>
          <w:rFonts w:ascii="Times New Roman" w:hAnsi="Times New Roman" w:cs="Times New Roman"/>
          <w:sz w:val="28"/>
          <w:szCs w:val="28"/>
        </w:rPr>
        <w:t>Overstaffing results in that costs component of Eskom</w:t>
      </w:r>
      <w:r w:rsidR="00FC133B" w:rsidRPr="00474CF2">
        <w:rPr>
          <w:rFonts w:ascii="Times New Roman" w:hAnsi="Times New Roman" w:cs="Times New Roman"/>
          <w:sz w:val="28"/>
          <w:szCs w:val="28"/>
        </w:rPr>
        <w:t>’</w:t>
      </w:r>
      <w:r w:rsidR="00911671" w:rsidRPr="00474CF2">
        <w:rPr>
          <w:rFonts w:ascii="Times New Roman" w:hAnsi="Times New Roman" w:cs="Times New Roman"/>
          <w:sz w:val="28"/>
          <w:szCs w:val="28"/>
        </w:rPr>
        <w:t>s</w:t>
      </w:r>
      <w:r w:rsidR="00A106E0" w:rsidRPr="00474CF2">
        <w:rPr>
          <w:rFonts w:ascii="Times New Roman" w:hAnsi="Times New Roman" w:cs="Times New Roman"/>
          <w:sz w:val="28"/>
          <w:szCs w:val="28"/>
        </w:rPr>
        <w:t xml:space="preserve"> expenditure being imprudently high.  NERSA is obliged</w:t>
      </w:r>
      <w:r w:rsidR="00FC133B" w:rsidRPr="00474CF2">
        <w:rPr>
          <w:rFonts w:ascii="Times New Roman" w:hAnsi="Times New Roman" w:cs="Times New Roman"/>
          <w:sz w:val="28"/>
          <w:szCs w:val="28"/>
        </w:rPr>
        <w:t>,</w:t>
      </w:r>
      <w:r w:rsidR="00A106E0" w:rsidRPr="00474CF2">
        <w:rPr>
          <w:rFonts w:ascii="Times New Roman" w:hAnsi="Times New Roman" w:cs="Times New Roman"/>
          <w:sz w:val="28"/>
          <w:szCs w:val="28"/>
        </w:rPr>
        <w:t xml:space="preserve"> in conducting its prudence evaluation</w:t>
      </w:r>
      <w:r w:rsidR="00FC133B" w:rsidRPr="00474CF2">
        <w:rPr>
          <w:rFonts w:ascii="Times New Roman" w:hAnsi="Times New Roman" w:cs="Times New Roman"/>
          <w:sz w:val="28"/>
          <w:szCs w:val="28"/>
        </w:rPr>
        <w:t>,</w:t>
      </w:r>
      <w:r w:rsidR="00A106E0" w:rsidRPr="00474CF2">
        <w:rPr>
          <w:rFonts w:ascii="Times New Roman" w:hAnsi="Times New Roman" w:cs="Times New Roman"/>
          <w:sz w:val="28"/>
          <w:szCs w:val="28"/>
        </w:rPr>
        <w:t xml:space="preserve"> to exercise reasonable judgment on what costs to allow in respect of staffing costs.</w:t>
      </w:r>
      <w:r w:rsidR="00C136B3" w:rsidRPr="00474CF2">
        <w:rPr>
          <w:rFonts w:ascii="Times New Roman" w:hAnsi="Times New Roman" w:cs="Times New Roman"/>
          <w:sz w:val="28"/>
          <w:szCs w:val="28"/>
        </w:rPr>
        <w:t xml:space="preserve">  It did so in the following analysis: “</w:t>
      </w:r>
      <w:r w:rsidR="00C136B3" w:rsidRPr="00474CF2">
        <w:rPr>
          <w:rFonts w:ascii="Times New Roman" w:hAnsi="Times New Roman" w:cs="Times New Roman"/>
          <w:i/>
          <w:sz w:val="28"/>
          <w:szCs w:val="28"/>
        </w:rPr>
        <w:t>It was further stated by the Minerals Co</w:t>
      </w:r>
      <w:r w:rsidR="00911671" w:rsidRPr="00474CF2">
        <w:rPr>
          <w:rFonts w:ascii="Times New Roman" w:hAnsi="Times New Roman" w:cs="Times New Roman"/>
          <w:i/>
          <w:sz w:val="28"/>
          <w:szCs w:val="28"/>
        </w:rPr>
        <w:t>uncil that Eskom is overstaffed</w:t>
      </w:r>
      <w:r w:rsidR="00C136B3" w:rsidRPr="00474CF2">
        <w:rPr>
          <w:rFonts w:ascii="Times New Roman" w:hAnsi="Times New Roman" w:cs="Times New Roman"/>
          <w:i/>
          <w:sz w:val="28"/>
          <w:szCs w:val="28"/>
        </w:rPr>
        <w:t xml:space="preserve"> by 6 000 employees </w:t>
      </w:r>
      <w:r w:rsidR="00FC133B" w:rsidRPr="00474CF2">
        <w:rPr>
          <w:rFonts w:ascii="Times New Roman" w:hAnsi="Times New Roman" w:cs="Times New Roman"/>
          <w:i/>
          <w:sz w:val="28"/>
          <w:szCs w:val="28"/>
        </w:rPr>
        <w:t>…</w:t>
      </w:r>
      <w:r w:rsidR="00C136B3" w:rsidRPr="00474CF2">
        <w:rPr>
          <w:rFonts w:ascii="Times New Roman" w:hAnsi="Times New Roman" w:cs="Times New Roman"/>
          <w:i/>
          <w:sz w:val="28"/>
          <w:szCs w:val="28"/>
        </w:rPr>
        <w:t>.  Eskom’s CEO stated that Eskom could operate efficiently with a staff of 38 000 instead of 44 000.  Eskom is currently using natural attrition and voluntary severance package</w:t>
      </w:r>
      <w:r w:rsidR="00B80550" w:rsidRPr="00474CF2">
        <w:rPr>
          <w:rFonts w:ascii="Times New Roman" w:hAnsi="Times New Roman" w:cs="Times New Roman"/>
          <w:i/>
          <w:sz w:val="28"/>
          <w:szCs w:val="28"/>
        </w:rPr>
        <w:t>s to lower the staff complement</w:t>
      </w:r>
      <w:r w:rsidR="00C136B3" w:rsidRPr="00474CF2">
        <w:rPr>
          <w:rFonts w:ascii="Times New Roman" w:hAnsi="Times New Roman" w:cs="Times New Roman"/>
          <w:i/>
          <w:sz w:val="28"/>
          <w:szCs w:val="28"/>
        </w:rPr>
        <w:t>, which is slow to get to a sustainable labour force.  Esk</w:t>
      </w:r>
      <w:r w:rsidR="00B80550" w:rsidRPr="00474CF2">
        <w:rPr>
          <w:rFonts w:ascii="Times New Roman" w:hAnsi="Times New Roman" w:cs="Times New Roman"/>
          <w:i/>
          <w:sz w:val="28"/>
          <w:szCs w:val="28"/>
        </w:rPr>
        <w:t>om has not reduced staff to match</w:t>
      </w:r>
      <w:r w:rsidR="00C136B3" w:rsidRPr="00474CF2">
        <w:rPr>
          <w:rFonts w:ascii="Times New Roman" w:hAnsi="Times New Roman" w:cs="Times New Roman"/>
          <w:i/>
          <w:sz w:val="28"/>
          <w:szCs w:val="28"/>
        </w:rPr>
        <w:t xml:space="preserve"> the current installed capacity.  NERSA has the discretion not to allow Eskom insufficient labour costs</w:t>
      </w:r>
      <w:r w:rsidR="00C136B3" w:rsidRPr="00474CF2">
        <w:rPr>
          <w:rFonts w:ascii="Times New Roman" w:hAnsi="Times New Roman" w:cs="Times New Roman"/>
          <w:sz w:val="28"/>
          <w:szCs w:val="28"/>
        </w:rPr>
        <w:t>”.</w:t>
      </w:r>
    </w:p>
    <w:p w14:paraId="322B7922" w14:textId="77777777" w:rsidR="00C136B3" w:rsidRPr="00C136B3" w:rsidRDefault="00C136B3" w:rsidP="00C136B3">
      <w:pPr>
        <w:pStyle w:val="ListParagraph"/>
        <w:rPr>
          <w:rFonts w:ascii="Times New Roman" w:hAnsi="Times New Roman" w:cs="Times New Roman"/>
          <w:sz w:val="28"/>
          <w:szCs w:val="28"/>
        </w:rPr>
      </w:pPr>
    </w:p>
    <w:p w14:paraId="0C8AA935" w14:textId="2BACCFB8" w:rsidR="00C136B3" w:rsidRPr="00474CF2" w:rsidRDefault="00474CF2" w:rsidP="00474CF2">
      <w:pPr>
        <w:spacing w:after="360" w:line="360" w:lineRule="auto"/>
        <w:jc w:val="both"/>
        <w:rPr>
          <w:rFonts w:ascii="Times New Roman" w:hAnsi="Times New Roman" w:cs="Times New Roman"/>
          <w:sz w:val="28"/>
          <w:szCs w:val="28"/>
        </w:rPr>
      </w:pPr>
      <w:r w:rsidRPr="002F4118">
        <w:rPr>
          <w:rFonts w:ascii="Times New Roman" w:hAnsi="Times New Roman" w:cs="Times New Roman"/>
          <w:sz w:val="28"/>
          <w:szCs w:val="28"/>
        </w:rPr>
        <w:t>[12]</w:t>
      </w:r>
      <w:r w:rsidRPr="002F4118">
        <w:rPr>
          <w:rFonts w:ascii="Times New Roman" w:hAnsi="Times New Roman" w:cs="Times New Roman"/>
          <w:sz w:val="28"/>
          <w:szCs w:val="28"/>
        </w:rPr>
        <w:tab/>
      </w:r>
      <w:r w:rsidR="00C136B3" w:rsidRPr="00474CF2">
        <w:rPr>
          <w:rFonts w:ascii="Times New Roman" w:hAnsi="Times New Roman" w:cs="Times New Roman"/>
          <w:sz w:val="28"/>
          <w:szCs w:val="28"/>
        </w:rPr>
        <w:t>As a consequence NERSA made an adjustment to the allowable revenue demanded by</w:t>
      </w:r>
      <w:r w:rsidR="00FC133B" w:rsidRPr="00474CF2">
        <w:rPr>
          <w:rFonts w:ascii="Times New Roman" w:hAnsi="Times New Roman" w:cs="Times New Roman"/>
          <w:sz w:val="28"/>
          <w:szCs w:val="28"/>
        </w:rPr>
        <w:t xml:space="preserve"> Eskom.  Logic</w:t>
      </w:r>
      <w:r w:rsidR="00C136B3" w:rsidRPr="00474CF2">
        <w:rPr>
          <w:rFonts w:ascii="Times New Roman" w:hAnsi="Times New Roman" w:cs="Times New Roman"/>
          <w:sz w:val="28"/>
          <w:szCs w:val="28"/>
        </w:rPr>
        <w:t xml:space="preserve"> dictates that overstaffing results in a higher cost to Eskom.  To reduce the amount allowed for this costs item would force Eskom to conduct its business more prudently and efficiently i.e by reducing the number of staff.  The argument of conflation is therefore </w:t>
      </w:r>
      <w:proofErr w:type="gramStart"/>
      <w:r w:rsidR="00C136B3" w:rsidRPr="00474CF2">
        <w:rPr>
          <w:rFonts w:ascii="Times New Roman" w:hAnsi="Times New Roman" w:cs="Times New Roman"/>
          <w:sz w:val="28"/>
          <w:szCs w:val="28"/>
        </w:rPr>
        <w:t>flawed</w:t>
      </w:r>
      <w:proofErr w:type="gramEnd"/>
      <w:r w:rsidR="00C136B3" w:rsidRPr="00474CF2">
        <w:rPr>
          <w:rFonts w:ascii="Times New Roman" w:hAnsi="Times New Roman" w:cs="Times New Roman"/>
          <w:sz w:val="28"/>
          <w:szCs w:val="28"/>
        </w:rPr>
        <w:t xml:space="preserve"> and we find no reasonable prospect that a court of appeal would find that NERSA had failed to consider the aspect of overstaffing properly</w:t>
      </w:r>
      <w:r w:rsidR="005132BE" w:rsidRPr="00474CF2">
        <w:rPr>
          <w:rFonts w:ascii="Times New Roman" w:hAnsi="Times New Roman" w:cs="Times New Roman"/>
          <w:sz w:val="28"/>
          <w:szCs w:val="28"/>
        </w:rPr>
        <w:t xml:space="preserve"> or at all</w:t>
      </w:r>
      <w:r w:rsidR="00C136B3" w:rsidRPr="00474CF2">
        <w:rPr>
          <w:rFonts w:ascii="Times New Roman" w:hAnsi="Times New Roman" w:cs="Times New Roman"/>
          <w:sz w:val="28"/>
          <w:szCs w:val="28"/>
        </w:rPr>
        <w:t xml:space="preserve">. </w:t>
      </w:r>
    </w:p>
    <w:p w14:paraId="1B275647" w14:textId="0F94BCC1" w:rsidR="00704CB7" w:rsidRDefault="00C136B3" w:rsidP="00337A13">
      <w:pPr>
        <w:spacing w:after="12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Ad failure to consider the</w:t>
      </w:r>
      <w:r w:rsidR="005132BE">
        <w:rPr>
          <w:rFonts w:ascii="Times New Roman" w:hAnsi="Times New Roman" w:cs="Times New Roman"/>
          <w:b/>
          <w:sz w:val="28"/>
          <w:szCs w:val="28"/>
        </w:rPr>
        <w:t xml:space="preserve"> impact of the tariff determination on</w:t>
      </w:r>
      <w:r w:rsidR="007D0B0E">
        <w:rPr>
          <w:rFonts w:ascii="Times New Roman" w:hAnsi="Times New Roman" w:cs="Times New Roman"/>
          <w:b/>
          <w:sz w:val="28"/>
          <w:szCs w:val="28"/>
        </w:rPr>
        <w:t xml:space="preserve"> consumers who purchase </w:t>
      </w:r>
      <w:r w:rsidR="005132BE">
        <w:rPr>
          <w:rFonts w:ascii="Times New Roman" w:hAnsi="Times New Roman" w:cs="Times New Roman"/>
          <w:b/>
          <w:sz w:val="28"/>
          <w:szCs w:val="28"/>
        </w:rPr>
        <w:t xml:space="preserve">electricity </w:t>
      </w:r>
      <w:r w:rsidR="007D0B0E">
        <w:rPr>
          <w:rFonts w:ascii="Times New Roman" w:hAnsi="Times New Roman" w:cs="Times New Roman"/>
          <w:b/>
          <w:sz w:val="28"/>
          <w:szCs w:val="28"/>
        </w:rPr>
        <w:t>f</w:t>
      </w:r>
      <w:r>
        <w:rPr>
          <w:rFonts w:ascii="Times New Roman" w:hAnsi="Times New Roman" w:cs="Times New Roman"/>
          <w:b/>
          <w:sz w:val="28"/>
          <w:szCs w:val="28"/>
        </w:rPr>
        <w:t>r</w:t>
      </w:r>
      <w:r w:rsidR="007D0B0E">
        <w:rPr>
          <w:rFonts w:ascii="Times New Roman" w:hAnsi="Times New Roman" w:cs="Times New Roman"/>
          <w:b/>
          <w:sz w:val="28"/>
          <w:szCs w:val="28"/>
        </w:rPr>
        <w:t>o</w:t>
      </w:r>
      <w:r>
        <w:rPr>
          <w:rFonts w:ascii="Times New Roman" w:hAnsi="Times New Roman" w:cs="Times New Roman"/>
          <w:b/>
          <w:sz w:val="28"/>
          <w:szCs w:val="28"/>
        </w:rPr>
        <w:t xml:space="preserve">m </w:t>
      </w:r>
      <w:proofErr w:type="gramStart"/>
      <w:r>
        <w:rPr>
          <w:rFonts w:ascii="Times New Roman" w:hAnsi="Times New Roman" w:cs="Times New Roman"/>
          <w:b/>
          <w:sz w:val="28"/>
          <w:szCs w:val="28"/>
        </w:rPr>
        <w:t>municipalities</w:t>
      </w:r>
      <w:proofErr w:type="gramEnd"/>
    </w:p>
    <w:p w14:paraId="2681C462" w14:textId="7A2904B0" w:rsidR="00337A13" w:rsidRPr="00474CF2" w:rsidRDefault="00474CF2" w:rsidP="00474CF2">
      <w:pPr>
        <w:spacing w:after="360" w:line="360" w:lineRule="auto"/>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007D0B0E" w:rsidRPr="00474CF2">
        <w:rPr>
          <w:rFonts w:ascii="Times New Roman" w:hAnsi="Times New Roman" w:cs="Times New Roman"/>
          <w:sz w:val="28"/>
          <w:szCs w:val="28"/>
        </w:rPr>
        <w:t>SALGA’s ground of review under this topic was that NERSA had not considered the impact of its tariff determin</w:t>
      </w:r>
      <w:r w:rsidR="00FC133B" w:rsidRPr="00474CF2">
        <w:rPr>
          <w:rFonts w:ascii="Times New Roman" w:hAnsi="Times New Roman" w:cs="Times New Roman"/>
          <w:sz w:val="28"/>
          <w:szCs w:val="28"/>
        </w:rPr>
        <w:t>ation on consumers who purchase</w:t>
      </w:r>
      <w:r w:rsidR="007D0B0E" w:rsidRPr="00474CF2">
        <w:rPr>
          <w:rFonts w:ascii="Times New Roman" w:hAnsi="Times New Roman" w:cs="Times New Roman"/>
          <w:sz w:val="28"/>
          <w:szCs w:val="28"/>
        </w:rPr>
        <w:t xml:space="preserve"> electricity directly from municipalities.</w:t>
      </w:r>
    </w:p>
    <w:p w14:paraId="0B1DE97D" w14:textId="77777777" w:rsidR="007D0B0E" w:rsidRDefault="007D0B0E" w:rsidP="007D0B0E">
      <w:pPr>
        <w:pStyle w:val="ListParagraph"/>
        <w:spacing w:after="360" w:line="360" w:lineRule="auto"/>
        <w:ind w:left="0"/>
        <w:jc w:val="both"/>
        <w:rPr>
          <w:rFonts w:ascii="Times New Roman" w:hAnsi="Times New Roman" w:cs="Times New Roman"/>
          <w:sz w:val="28"/>
          <w:szCs w:val="28"/>
        </w:rPr>
      </w:pPr>
    </w:p>
    <w:p w14:paraId="564AAD92" w14:textId="6FA3476F" w:rsidR="007D0B0E" w:rsidRPr="00474CF2" w:rsidRDefault="00474CF2" w:rsidP="00474CF2">
      <w:pPr>
        <w:spacing w:after="360" w:line="360" w:lineRule="auto"/>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007D0B0E" w:rsidRPr="00474CF2">
        <w:rPr>
          <w:rFonts w:ascii="Times New Roman" w:hAnsi="Times New Roman" w:cs="Times New Roman"/>
          <w:sz w:val="28"/>
          <w:szCs w:val="28"/>
        </w:rPr>
        <w:t xml:space="preserve">The record indicated however that NERSA had conducted an assessment which took into account the impact of the tariff </w:t>
      </w:r>
      <w:proofErr w:type="gramStart"/>
      <w:r w:rsidR="007D0B0E" w:rsidRPr="00474CF2">
        <w:rPr>
          <w:rFonts w:ascii="Times New Roman" w:hAnsi="Times New Roman" w:cs="Times New Roman"/>
          <w:sz w:val="28"/>
          <w:szCs w:val="28"/>
        </w:rPr>
        <w:t>increase</w:t>
      </w:r>
      <w:proofErr w:type="gramEnd"/>
      <w:r w:rsidR="007D0B0E" w:rsidRPr="00474CF2">
        <w:rPr>
          <w:rFonts w:ascii="Times New Roman" w:hAnsi="Times New Roman" w:cs="Times New Roman"/>
          <w:sz w:val="28"/>
          <w:szCs w:val="28"/>
        </w:rPr>
        <w:t xml:space="preserve"> on both households and firms.  This was done when Eskom’s allowable revenue, average tariff and actual tariffs were determined.  It will be remembered that this aspect also included consideration of the cross-</w:t>
      </w:r>
      <w:r w:rsidR="00B80550" w:rsidRPr="00474CF2">
        <w:rPr>
          <w:rFonts w:ascii="Times New Roman" w:hAnsi="Times New Roman" w:cs="Times New Roman"/>
          <w:sz w:val="28"/>
          <w:szCs w:val="28"/>
        </w:rPr>
        <w:t>subsidisation</w:t>
      </w:r>
      <w:r w:rsidR="007D0B0E" w:rsidRPr="00474CF2">
        <w:rPr>
          <w:rFonts w:ascii="Times New Roman" w:hAnsi="Times New Roman" w:cs="Times New Roman"/>
          <w:sz w:val="28"/>
          <w:szCs w:val="28"/>
        </w:rPr>
        <w:t xml:space="preserve"> issue relating to poor and impecunious households.</w:t>
      </w:r>
    </w:p>
    <w:p w14:paraId="2A0780AF" w14:textId="77777777" w:rsidR="007D0B0E" w:rsidRPr="007D0B0E" w:rsidRDefault="007D0B0E" w:rsidP="007D0B0E">
      <w:pPr>
        <w:pStyle w:val="ListParagraph"/>
        <w:rPr>
          <w:rFonts w:ascii="Times New Roman" w:hAnsi="Times New Roman" w:cs="Times New Roman"/>
          <w:sz w:val="28"/>
          <w:szCs w:val="28"/>
        </w:rPr>
      </w:pPr>
    </w:p>
    <w:p w14:paraId="0A04DC9A" w14:textId="4815E058" w:rsidR="007D0B0E" w:rsidRPr="00474CF2" w:rsidRDefault="00474CF2" w:rsidP="00474CF2">
      <w:pPr>
        <w:spacing w:after="360" w:line="360" w:lineRule="auto"/>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r>
      <w:r w:rsidR="007D0B0E" w:rsidRPr="00474CF2">
        <w:rPr>
          <w:rFonts w:ascii="Times New Roman" w:hAnsi="Times New Roman" w:cs="Times New Roman"/>
          <w:sz w:val="28"/>
          <w:szCs w:val="28"/>
        </w:rPr>
        <w:t>The detailed assessment that SALGA complains about, can only be undertaken at the stage when municipal tariffs are determined.  This might also differ from municipality</w:t>
      </w:r>
      <w:r w:rsidR="00B80550" w:rsidRPr="00474CF2">
        <w:rPr>
          <w:rFonts w:ascii="Times New Roman" w:hAnsi="Times New Roman" w:cs="Times New Roman"/>
          <w:sz w:val="28"/>
          <w:szCs w:val="28"/>
        </w:rPr>
        <w:t xml:space="preserve"> to municipality</w:t>
      </w:r>
      <w:r w:rsidR="007D0B0E" w:rsidRPr="00474CF2">
        <w:rPr>
          <w:rFonts w:ascii="Times New Roman" w:hAnsi="Times New Roman" w:cs="Times New Roman"/>
          <w:sz w:val="28"/>
          <w:szCs w:val="28"/>
        </w:rPr>
        <w:t xml:space="preserve"> and would involve a consideration of the additional amounts recovered by municipalities above Eskom tariffs.  Those aspects cannot appropriately be assessed at the time of the determination under consideration in the review application.  This much is clear from the decision of this court in </w:t>
      </w:r>
      <w:r w:rsidR="007D0B0E" w:rsidRPr="00474CF2">
        <w:rPr>
          <w:rFonts w:ascii="Times New Roman" w:hAnsi="Times New Roman" w:cs="Times New Roman"/>
          <w:i/>
          <w:sz w:val="28"/>
          <w:szCs w:val="28"/>
        </w:rPr>
        <w:t>Nelson Mandela Bay Business Chamber</w:t>
      </w:r>
      <w:r w:rsidR="007D0B0E" w:rsidRPr="00474CF2">
        <w:rPr>
          <w:rFonts w:ascii="Times New Roman" w:hAnsi="Times New Roman" w:cs="Times New Roman"/>
          <w:sz w:val="28"/>
          <w:szCs w:val="28"/>
        </w:rPr>
        <w:t>.</w:t>
      </w:r>
      <w:r w:rsidR="007D0B0E">
        <w:rPr>
          <w:rStyle w:val="FootnoteReference"/>
          <w:rFonts w:ascii="Times New Roman" w:hAnsi="Times New Roman" w:cs="Times New Roman"/>
          <w:sz w:val="28"/>
          <w:szCs w:val="28"/>
        </w:rPr>
        <w:footnoteReference w:id="3"/>
      </w:r>
      <w:r w:rsidR="00847884" w:rsidRPr="00474CF2">
        <w:rPr>
          <w:rFonts w:ascii="Times New Roman" w:hAnsi="Times New Roman" w:cs="Times New Roman"/>
          <w:sz w:val="28"/>
          <w:szCs w:val="28"/>
        </w:rPr>
        <w:t xml:space="preserve">  NERSA’s ERTSA decision also stated as </w:t>
      </w:r>
      <w:proofErr w:type="gramStart"/>
      <w:r w:rsidR="00847884" w:rsidRPr="00474CF2">
        <w:rPr>
          <w:rFonts w:ascii="Times New Roman" w:hAnsi="Times New Roman" w:cs="Times New Roman"/>
          <w:sz w:val="28"/>
          <w:szCs w:val="28"/>
        </w:rPr>
        <w:t>much</w:t>
      </w:r>
      <w:proofErr w:type="gramEnd"/>
      <w:r w:rsidR="00847884" w:rsidRPr="00474CF2">
        <w:rPr>
          <w:rFonts w:ascii="Times New Roman" w:hAnsi="Times New Roman" w:cs="Times New Roman"/>
          <w:sz w:val="28"/>
          <w:szCs w:val="28"/>
        </w:rPr>
        <w:t xml:space="preserve"> and </w:t>
      </w:r>
      <w:r w:rsidR="00B80550" w:rsidRPr="00474CF2">
        <w:rPr>
          <w:rFonts w:ascii="Times New Roman" w:hAnsi="Times New Roman" w:cs="Times New Roman"/>
          <w:sz w:val="28"/>
          <w:szCs w:val="28"/>
        </w:rPr>
        <w:t xml:space="preserve">we </w:t>
      </w:r>
      <w:r w:rsidR="00847884" w:rsidRPr="00474CF2">
        <w:rPr>
          <w:rFonts w:ascii="Times New Roman" w:hAnsi="Times New Roman" w:cs="Times New Roman"/>
          <w:sz w:val="28"/>
          <w:szCs w:val="28"/>
        </w:rPr>
        <w:t>do not find a reasonable prospect that a court of appeal would either find that this approach was incorrect o</w:t>
      </w:r>
      <w:r w:rsidR="005132BE" w:rsidRPr="00474CF2">
        <w:rPr>
          <w:rFonts w:ascii="Times New Roman" w:hAnsi="Times New Roman" w:cs="Times New Roman"/>
          <w:sz w:val="28"/>
          <w:szCs w:val="28"/>
        </w:rPr>
        <w:t>r</w:t>
      </w:r>
      <w:r w:rsidR="00847884" w:rsidRPr="00474CF2">
        <w:rPr>
          <w:rFonts w:ascii="Times New Roman" w:hAnsi="Times New Roman" w:cs="Times New Roman"/>
          <w:sz w:val="28"/>
          <w:szCs w:val="28"/>
        </w:rPr>
        <w:t xml:space="preserve"> constituted a material irregularity.</w:t>
      </w:r>
    </w:p>
    <w:p w14:paraId="76914527" w14:textId="77777777" w:rsidR="00847884" w:rsidRPr="00847884" w:rsidRDefault="00847884" w:rsidP="00847884">
      <w:pPr>
        <w:pStyle w:val="ListParagraph"/>
        <w:rPr>
          <w:rFonts w:ascii="Times New Roman" w:hAnsi="Times New Roman" w:cs="Times New Roman"/>
          <w:sz w:val="28"/>
          <w:szCs w:val="28"/>
        </w:rPr>
      </w:pPr>
    </w:p>
    <w:p w14:paraId="5BF6E4A5" w14:textId="56086106" w:rsidR="00847884" w:rsidRPr="00474CF2" w:rsidRDefault="00474CF2" w:rsidP="00474CF2">
      <w:pPr>
        <w:spacing w:after="36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[16]</w:t>
      </w:r>
      <w:r>
        <w:rPr>
          <w:rFonts w:ascii="Times New Roman" w:hAnsi="Times New Roman" w:cs="Times New Roman"/>
          <w:sz w:val="28"/>
          <w:szCs w:val="28"/>
        </w:rPr>
        <w:tab/>
      </w:r>
      <w:r w:rsidR="00847884" w:rsidRPr="00474CF2">
        <w:rPr>
          <w:rFonts w:ascii="Times New Roman" w:hAnsi="Times New Roman" w:cs="Times New Roman"/>
          <w:sz w:val="28"/>
          <w:szCs w:val="28"/>
        </w:rPr>
        <w:t>Finally, SALGA argued that the issues of public interest involved constituted a compelling reason that leave to appeal should be granted as contemplated in section 17(1)(a)(ii) of the Superior Courts Act.</w:t>
      </w:r>
    </w:p>
    <w:p w14:paraId="5B5CDB4A" w14:textId="77777777" w:rsidR="00847884" w:rsidRPr="00847884" w:rsidRDefault="00847884" w:rsidP="00847884">
      <w:pPr>
        <w:pStyle w:val="ListParagraph"/>
        <w:rPr>
          <w:rFonts w:ascii="Times New Roman" w:hAnsi="Times New Roman" w:cs="Times New Roman"/>
          <w:sz w:val="28"/>
          <w:szCs w:val="28"/>
        </w:rPr>
      </w:pPr>
    </w:p>
    <w:p w14:paraId="7DB37895" w14:textId="029D58B4" w:rsidR="00847884" w:rsidRPr="00474CF2" w:rsidRDefault="00474CF2" w:rsidP="00474CF2">
      <w:pPr>
        <w:spacing w:after="360" w:line="360" w:lineRule="auto"/>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r>
      <w:r w:rsidR="00847884" w:rsidRPr="00474CF2">
        <w:rPr>
          <w:rFonts w:ascii="Times New Roman" w:hAnsi="Times New Roman" w:cs="Times New Roman"/>
          <w:sz w:val="28"/>
          <w:szCs w:val="28"/>
        </w:rPr>
        <w:t>All the respondents opposed the granting of relief on this ground, pointing out that the lack of prospects of success remain a relevant consideration, even in respect of this subsection.</w:t>
      </w:r>
      <w:r w:rsidR="00847884">
        <w:rPr>
          <w:rStyle w:val="FootnoteReference"/>
          <w:rFonts w:ascii="Times New Roman" w:hAnsi="Times New Roman" w:cs="Times New Roman"/>
          <w:sz w:val="28"/>
          <w:szCs w:val="28"/>
        </w:rPr>
        <w:footnoteReference w:id="4"/>
      </w:r>
    </w:p>
    <w:p w14:paraId="0382466D" w14:textId="77777777" w:rsidR="002E4361" w:rsidRPr="002E4361" w:rsidRDefault="002E4361" w:rsidP="002E4361">
      <w:pPr>
        <w:pStyle w:val="ListParagraph"/>
        <w:rPr>
          <w:rFonts w:ascii="Times New Roman" w:hAnsi="Times New Roman" w:cs="Times New Roman"/>
          <w:sz w:val="28"/>
          <w:szCs w:val="28"/>
        </w:rPr>
      </w:pPr>
    </w:p>
    <w:p w14:paraId="744191F7" w14:textId="58A290F1" w:rsidR="002E4361" w:rsidRPr="00474CF2" w:rsidRDefault="00474CF2" w:rsidP="00474CF2">
      <w:pPr>
        <w:spacing w:after="360" w:line="360" w:lineRule="auto"/>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r>
      <w:r w:rsidR="002E4361" w:rsidRPr="00474CF2">
        <w:rPr>
          <w:rFonts w:ascii="Times New Roman" w:hAnsi="Times New Roman" w:cs="Times New Roman"/>
          <w:sz w:val="28"/>
          <w:szCs w:val="28"/>
        </w:rPr>
        <w:t xml:space="preserve">Adv Zikalala, on behalf of the Minister of Finance, argued that the issue of finality, not only in respect of judgments in general, but also in respect of the subject matter of this review application, is a relevant factor.  She pointed out that the debt relief programmes afforded to Eskom </w:t>
      </w:r>
      <w:r w:rsidR="00D930F2" w:rsidRPr="00474CF2">
        <w:rPr>
          <w:rFonts w:ascii="Times New Roman" w:hAnsi="Times New Roman" w:cs="Times New Roman"/>
          <w:sz w:val="28"/>
          <w:szCs w:val="28"/>
        </w:rPr>
        <w:t>was based on calculated</w:t>
      </w:r>
      <w:r w:rsidR="002E4361" w:rsidRPr="00474CF2">
        <w:rPr>
          <w:rFonts w:ascii="Times New Roman" w:hAnsi="Times New Roman" w:cs="Times New Roman"/>
          <w:sz w:val="28"/>
          <w:szCs w:val="28"/>
        </w:rPr>
        <w:t xml:space="preserve"> shortfalls and that uncertainty in respect of electricity tariffs would negatively impact on this which would not be in the public interest.</w:t>
      </w:r>
    </w:p>
    <w:p w14:paraId="6375BC56" w14:textId="77777777" w:rsidR="002E4361" w:rsidRPr="002E4361" w:rsidRDefault="002E4361" w:rsidP="002E4361">
      <w:pPr>
        <w:pStyle w:val="ListParagraph"/>
        <w:rPr>
          <w:rFonts w:ascii="Times New Roman" w:hAnsi="Times New Roman" w:cs="Times New Roman"/>
          <w:sz w:val="28"/>
          <w:szCs w:val="28"/>
        </w:rPr>
      </w:pPr>
    </w:p>
    <w:p w14:paraId="35A53166" w14:textId="436D1499" w:rsidR="002E4361" w:rsidRPr="00474CF2" w:rsidRDefault="00474CF2" w:rsidP="00474CF2">
      <w:pPr>
        <w:spacing w:after="360" w:line="360" w:lineRule="auto"/>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r>
      <w:r w:rsidR="002E4361" w:rsidRPr="00474CF2">
        <w:rPr>
          <w:rFonts w:ascii="Times New Roman" w:hAnsi="Times New Roman" w:cs="Times New Roman"/>
          <w:sz w:val="28"/>
          <w:szCs w:val="28"/>
        </w:rPr>
        <w:t>We find that the lack of pr</w:t>
      </w:r>
      <w:r w:rsidR="00FC133B" w:rsidRPr="00474CF2">
        <w:rPr>
          <w:rFonts w:ascii="Times New Roman" w:hAnsi="Times New Roman" w:cs="Times New Roman"/>
          <w:sz w:val="28"/>
          <w:szCs w:val="28"/>
        </w:rPr>
        <w:t>ospects of success so diminish</w:t>
      </w:r>
      <w:r w:rsidR="002E4361" w:rsidRPr="00474CF2">
        <w:rPr>
          <w:rFonts w:ascii="Times New Roman" w:hAnsi="Times New Roman" w:cs="Times New Roman"/>
          <w:sz w:val="28"/>
          <w:szCs w:val="28"/>
        </w:rPr>
        <w:t xml:space="preserve"> the public interest considerations that SALGA raised, that it is outweighed by the public interest considerations of finality.</w:t>
      </w:r>
    </w:p>
    <w:p w14:paraId="2AF86DBF" w14:textId="5BA21831" w:rsidR="002E4361" w:rsidRDefault="002E4361" w:rsidP="002E4361">
      <w:pPr>
        <w:pStyle w:val="ListParagraph"/>
        <w:spacing w:after="360" w:line="360" w:lineRule="auto"/>
        <w:ind w:left="0"/>
        <w:jc w:val="both"/>
        <w:rPr>
          <w:rFonts w:ascii="Times New Roman" w:hAnsi="Times New Roman" w:cs="Times New Roman"/>
          <w:sz w:val="28"/>
          <w:szCs w:val="28"/>
        </w:rPr>
      </w:pPr>
    </w:p>
    <w:p w14:paraId="4F5EB2FA" w14:textId="7334B3D5" w:rsidR="0057664D" w:rsidRPr="002E4361" w:rsidRDefault="002E4361" w:rsidP="00D930F2">
      <w:pPr>
        <w:pStyle w:val="ListParagraph"/>
        <w:spacing w:after="120" w:line="360" w:lineRule="auto"/>
        <w:ind w:left="0"/>
        <w:jc w:val="both"/>
        <w:rPr>
          <w:rFonts w:ascii="Times New Roman" w:hAnsi="Times New Roman" w:cs="Times New Roman"/>
          <w:b/>
          <w:bCs/>
          <w:sz w:val="28"/>
          <w:szCs w:val="28"/>
        </w:rPr>
      </w:pPr>
      <w:r w:rsidRPr="002E4361">
        <w:rPr>
          <w:rFonts w:ascii="Times New Roman" w:hAnsi="Times New Roman" w:cs="Times New Roman"/>
          <w:b/>
          <w:sz w:val="28"/>
          <w:szCs w:val="28"/>
        </w:rPr>
        <w:t>Conclusion</w:t>
      </w:r>
      <w:r>
        <w:rPr>
          <w:rFonts w:ascii="Times New Roman" w:hAnsi="Times New Roman" w:cs="Times New Roman"/>
          <w:b/>
          <w:sz w:val="28"/>
          <w:szCs w:val="28"/>
        </w:rPr>
        <w:t xml:space="preserve"> </w:t>
      </w:r>
    </w:p>
    <w:p w14:paraId="72E0AF73" w14:textId="0ABE5AA8" w:rsidR="00C61C3F" w:rsidRPr="00474CF2" w:rsidRDefault="00474CF2" w:rsidP="00474CF2">
      <w:pPr>
        <w:spacing w:after="360" w:line="360" w:lineRule="auto"/>
        <w:jc w:val="both"/>
        <w:rPr>
          <w:rFonts w:ascii="Times New Roman" w:hAnsi="Times New Roman" w:cs="Times New Roman"/>
          <w:sz w:val="28"/>
          <w:szCs w:val="28"/>
        </w:rPr>
      </w:pPr>
      <w:r w:rsidRPr="002E4361">
        <w:rPr>
          <w:rFonts w:ascii="Times New Roman" w:hAnsi="Times New Roman" w:cs="Times New Roman"/>
          <w:sz w:val="28"/>
          <w:szCs w:val="28"/>
        </w:rPr>
        <w:t>[20]</w:t>
      </w:r>
      <w:r w:rsidRPr="002E4361">
        <w:rPr>
          <w:rFonts w:ascii="Times New Roman" w:hAnsi="Times New Roman" w:cs="Times New Roman"/>
          <w:sz w:val="28"/>
          <w:szCs w:val="28"/>
        </w:rPr>
        <w:tab/>
      </w:r>
      <w:r w:rsidR="002E4361" w:rsidRPr="00474CF2">
        <w:rPr>
          <w:rFonts w:ascii="Times New Roman" w:hAnsi="Times New Roman" w:cs="Times New Roman"/>
          <w:sz w:val="28"/>
          <w:szCs w:val="28"/>
        </w:rPr>
        <w:t>We therefore find that leave to appeal should be refused.  Having reached this conclusion, we find no cogent reason why costs should not follow this result.</w:t>
      </w:r>
    </w:p>
    <w:p w14:paraId="46DD2CAE" w14:textId="595D7F12" w:rsidR="00C61C3F" w:rsidRPr="00F51149" w:rsidRDefault="00C61C3F" w:rsidP="00C61C3F">
      <w:pPr>
        <w:pStyle w:val="MEMONUMBERED"/>
        <w:numPr>
          <w:ilvl w:val="0"/>
          <w:numId w:val="0"/>
        </w:numPr>
        <w:spacing w:after="120" w:line="360" w:lineRule="auto"/>
        <w:rPr>
          <w:b/>
          <w:color w:val="000000" w:themeColor="text1"/>
          <w:sz w:val="28"/>
          <w:szCs w:val="28"/>
          <w:lang w:val="en-ZA"/>
        </w:rPr>
      </w:pPr>
      <w:r w:rsidRPr="00F51149">
        <w:rPr>
          <w:b/>
          <w:color w:val="000000" w:themeColor="text1"/>
          <w:sz w:val="28"/>
          <w:szCs w:val="28"/>
          <w:lang w:val="en-ZA"/>
        </w:rPr>
        <w:lastRenderedPageBreak/>
        <w:t>Order</w:t>
      </w:r>
    </w:p>
    <w:p w14:paraId="1F78A7C6" w14:textId="738C565D" w:rsidR="00F51149" w:rsidRPr="00C61C3F" w:rsidRDefault="00474CF2" w:rsidP="00474CF2">
      <w:pPr>
        <w:pStyle w:val="MEMONUMBERED"/>
        <w:numPr>
          <w:ilvl w:val="0"/>
          <w:numId w:val="0"/>
        </w:numPr>
        <w:spacing w:after="360" w:line="360" w:lineRule="auto"/>
        <w:rPr>
          <w:i/>
          <w:color w:val="000000" w:themeColor="text1"/>
          <w:sz w:val="28"/>
          <w:szCs w:val="28"/>
          <w:lang w:val="en-ZA"/>
        </w:rPr>
      </w:pPr>
      <w:r w:rsidRPr="00C61C3F">
        <w:rPr>
          <w:color w:val="000000" w:themeColor="text1"/>
          <w:sz w:val="28"/>
          <w:szCs w:val="28"/>
          <w:lang w:val="en-ZA"/>
        </w:rPr>
        <w:t>[21]</w:t>
      </w:r>
      <w:r w:rsidRPr="00C61C3F">
        <w:rPr>
          <w:color w:val="000000" w:themeColor="text1"/>
          <w:sz w:val="28"/>
          <w:szCs w:val="28"/>
          <w:lang w:val="en-ZA"/>
        </w:rPr>
        <w:tab/>
      </w:r>
      <w:r w:rsidR="00080152" w:rsidRPr="00C61C3F">
        <w:rPr>
          <w:color w:val="000000" w:themeColor="text1"/>
          <w:sz w:val="28"/>
          <w:szCs w:val="28"/>
        </w:rPr>
        <w:t>The following order is made:</w:t>
      </w:r>
      <w:r w:rsidR="00F51149" w:rsidRPr="00C61C3F">
        <w:rPr>
          <w:iCs/>
          <w:sz w:val="28"/>
          <w:szCs w:val="28"/>
        </w:rPr>
        <w:t xml:space="preserve"> </w:t>
      </w:r>
    </w:p>
    <w:p w14:paraId="34BDC4E7" w14:textId="3A203B7B" w:rsidR="0032698D" w:rsidRDefault="002E4361" w:rsidP="002E4361">
      <w:pPr>
        <w:spacing w:after="360" w:line="360" w:lineRule="auto"/>
        <w:ind w:left="720"/>
        <w:jc w:val="both"/>
        <w:rPr>
          <w:rFonts w:ascii="Times New Roman" w:hAnsi="Times New Roman" w:cs="Times New Roman"/>
          <w:sz w:val="28"/>
          <w:szCs w:val="28"/>
        </w:rPr>
      </w:pPr>
      <w:r>
        <w:rPr>
          <w:rFonts w:ascii="Times New Roman" w:hAnsi="Times New Roman" w:cs="Times New Roman"/>
          <w:sz w:val="28"/>
          <w:szCs w:val="28"/>
        </w:rPr>
        <w:t>The application for leave to appeal is refused with costs, such costs to include the costs of multiple and senior counsel, where employed.</w:t>
      </w:r>
    </w:p>
    <w:p w14:paraId="10D72C5F" w14:textId="1A4C1395" w:rsidR="0032698D" w:rsidRDefault="0032698D" w:rsidP="00023096">
      <w:pPr>
        <w:spacing w:after="360" w:line="360" w:lineRule="auto"/>
        <w:ind w:firstLine="720"/>
        <w:jc w:val="both"/>
        <w:rPr>
          <w:rFonts w:ascii="Times New Roman" w:hAnsi="Times New Roman" w:cs="Times New Roman"/>
          <w:sz w:val="28"/>
          <w:szCs w:val="28"/>
        </w:rPr>
      </w:pPr>
    </w:p>
    <w:p w14:paraId="7397F785" w14:textId="77777777" w:rsidR="00D930F2" w:rsidRDefault="00D930F2" w:rsidP="00023096">
      <w:pPr>
        <w:spacing w:after="360" w:line="360" w:lineRule="auto"/>
        <w:ind w:firstLine="720"/>
        <w:jc w:val="both"/>
        <w:rPr>
          <w:rFonts w:ascii="Times New Roman" w:hAnsi="Times New Roman" w:cs="Times New Roman"/>
          <w:sz w:val="28"/>
          <w:szCs w:val="28"/>
        </w:rPr>
      </w:pPr>
    </w:p>
    <w:p w14:paraId="6CC86A12" w14:textId="77777777" w:rsidR="004A611D" w:rsidRDefault="004A611D" w:rsidP="004A611D">
      <w:pPr>
        <w:pStyle w:val="MEMONUMBERED"/>
        <w:numPr>
          <w:ilvl w:val="0"/>
          <w:numId w:val="0"/>
        </w:numPr>
        <w:spacing w:line="240" w:lineRule="auto"/>
        <w:jc w:val="right"/>
      </w:pPr>
    </w:p>
    <w:p w14:paraId="5F9A2827" w14:textId="77777777" w:rsidR="0020545B" w:rsidRPr="007332AE" w:rsidRDefault="0020545B" w:rsidP="0020545B">
      <w:pPr>
        <w:pStyle w:val="MEMONUMBERED"/>
        <w:numPr>
          <w:ilvl w:val="0"/>
          <w:numId w:val="0"/>
        </w:numPr>
        <w:spacing w:line="240" w:lineRule="auto"/>
        <w:jc w:val="right"/>
        <w:rPr>
          <w:sz w:val="28"/>
          <w:szCs w:val="28"/>
        </w:rPr>
      </w:pPr>
      <w:r w:rsidRPr="007332AE">
        <w:rPr>
          <w:sz w:val="28"/>
          <w:szCs w:val="28"/>
        </w:rPr>
        <w:t>____________________</w:t>
      </w:r>
      <w:r>
        <w:rPr>
          <w:sz w:val="28"/>
          <w:szCs w:val="28"/>
        </w:rPr>
        <w:t>___</w:t>
      </w:r>
    </w:p>
    <w:p w14:paraId="3803447F" w14:textId="77777777" w:rsidR="0020545B" w:rsidRPr="007D5375" w:rsidRDefault="0020545B" w:rsidP="0020545B">
      <w:pPr>
        <w:pStyle w:val="MEMONUMBERED"/>
        <w:numPr>
          <w:ilvl w:val="0"/>
          <w:numId w:val="0"/>
        </w:numPr>
        <w:spacing w:line="240" w:lineRule="auto"/>
        <w:rPr>
          <w:b/>
          <w:sz w:val="28"/>
          <w:szCs w:val="28"/>
        </w:rPr>
      </w:pPr>
      <w:r w:rsidRPr="007332AE">
        <w:rPr>
          <w:sz w:val="28"/>
          <w:szCs w:val="28"/>
        </w:rPr>
        <w:t xml:space="preserve">                                                          </w:t>
      </w:r>
      <w:r>
        <w:rPr>
          <w:sz w:val="28"/>
          <w:szCs w:val="28"/>
        </w:rPr>
        <w:t xml:space="preserve">                                        </w:t>
      </w:r>
      <w:r>
        <w:rPr>
          <w:b/>
          <w:sz w:val="28"/>
          <w:szCs w:val="28"/>
        </w:rPr>
        <w:t>N DAVIS</w:t>
      </w:r>
    </w:p>
    <w:p w14:paraId="70679E4A" w14:textId="77777777" w:rsidR="0020545B" w:rsidRDefault="0020545B" w:rsidP="0020545B">
      <w:pPr>
        <w:pStyle w:val="MEMONUMBERED"/>
        <w:numPr>
          <w:ilvl w:val="0"/>
          <w:numId w:val="0"/>
        </w:numPr>
        <w:spacing w:line="240" w:lineRule="auto"/>
        <w:jc w:val="center"/>
        <w:rPr>
          <w:sz w:val="28"/>
          <w:szCs w:val="28"/>
        </w:rPr>
      </w:pPr>
      <w:r w:rsidRPr="007332AE">
        <w:rPr>
          <w:sz w:val="28"/>
          <w:szCs w:val="28"/>
        </w:rPr>
        <w:t xml:space="preserve">                                                                            </w:t>
      </w:r>
      <w:r>
        <w:rPr>
          <w:sz w:val="28"/>
          <w:szCs w:val="28"/>
        </w:rPr>
        <w:t xml:space="preserve">       </w:t>
      </w:r>
      <w:r w:rsidRPr="007332AE">
        <w:rPr>
          <w:sz w:val="28"/>
          <w:szCs w:val="28"/>
        </w:rPr>
        <w:t>Judge of the High Court</w:t>
      </w:r>
    </w:p>
    <w:p w14:paraId="52307B23" w14:textId="77777777" w:rsidR="0020545B" w:rsidRDefault="0020545B" w:rsidP="0020545B">
      <w:pPr>
        <w:pStyle w:val="MEMONUMBERED"/>
        <w:numPr>
          <w:ilvl w:val="0"/>
          <w:numId w:val="0"/>
        </w:numPr>
        <w:spacing w:line="24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Gauteng Division, Pretoria</w:t>
      </w:r>
    </w:p>
    <w:p w14:paraId="50F4B844" w14:textId="284A3446" w:rsidR="004A611D" w:rsidRDefault="004A611D" w:rsidP="00D930F2">
      <w:pPr>
        <w:pStyle w:val="MEMONUMBERED"/>
        <w:numPr>
          <w:ilvl w:val="0"/>
          <w:numId w:val="0"/>
        </w:numPr>
        <w:spacing w:line="240" w:lineRule="auto"/>
        <w:rPr>
          <w:sz w:val="28"/>
          <w:szCs w:val="28"/>
        </w:rPr>
      </w:pPr>
      <w:r>
        <w:t xml:space="preserve">                                                            </w:t>
      </w:r>
      <w:r w:rsidR="0020545B">
        <w:t xml:space="preserve">                               </w:t>
      </w:r>
    </w:p>
    <w:p w14:paraId="574DF62C" w14:textId="77777777" w:rsidR="004A611D" w:rsidRDefault="004A611D" w:rsidP="004A611D">
      <w:pPr>
        <w:pStyle w:val="MEMONUMBERED"/>
        <w:numPr>
          <w:ilvl w:val="0"/>
          <w:numId w:val="0"/>
        </w:numPr>
        <w:spacing w:line="240" w:lineRule="auto"/>
        <w:jc w:val="left"/>
        <w:rPr>
          <w:sz w:val="28"/>
          <w:szCs w:val="28"/>
        </w:rPr>
      </w:pPr>
      <w:r>
        <w:rPr>
          <w:sz w:val="28"/>
          <w:szCs w:val="28"/>
        </w:rPr>
        <w:t>I agree.</w:t>
      </w:r>
    </w:p>
    <w:p w14:paraId="64E9DE48" w14:textId="63851EC5" w:rsidR="004A611D" w:rsidRDefault="004A611D" w:rsidP="004A611D">
      <w:pPr>
        <w:pStyle w:val="MEMONUMBERED"/>
        <w:numPr>
          <w:ilvl w:val="0"/>
          <w:numId w:val="0"/>
        </w:numPr>
        <w:spacing w:line="240" w:lineRule="auto"/>
        <w:jc w:val="left"/>
        <w:rPr>
          <w:sz w:val="28"/>
          <w:szCs w:val="28"/>
        </w:rPr>
      </w:pPr>
    </w:p>
    <w:p w14:paraId="04FA5871" w14:textId="3EE77FBA" w:rsidR="00D930F2" w:rsidRDefault="00D930F2" w:rsidP="004A611D">
      <w:pPr>
        <w:pStyle w:val="MEMONUMBERED"/>
        <w:numPr>
          <w:ilvl w:val="0"/>
          <w:numId w:val="0"/>
        </w:numPr>
        <w:spacing w:line="240" w:lineRule="auto"/>
        <w:jc w:val="left"/>
        <w:rPr>
          <w:sz w:val="28"/>
          <w:szCs w:val="28"/>
        </w:rPr>
      </w:pPr>
    </w:p>
    <w:p w14:paraId="521BD344" w14:textId="055428A5" w:rsidR="00D930F2" w:rsidRDefault="00D930F2" w:rsidP="004A611D">
      <w:pPr>
        <w:pStyle w:val="MEMONUMBERED"/>
        <w:numPr>
          <w:ilvl w:val="0"/>
          <w:numId w:val="0"/>
        </w:numPr>
        <w:spacing w:line="240" w:lineRule="auto"/>
        <w:jc w:val="left"/>
        <w:rPr>
          <w:sz w:val="28"/>
          <w:szCs w:val="28"/>
        </w:rPr>
      </w:pPr>
    </w:p>
    <w:p w14:paraId="08A802D5" w14:textId="77777777" w:rsidR="00D930F2" w:rsidRDefault="00D930F2" w:rsidP="004A611D">
      <w:pPr>
        <w:pStyle w:val="MEMONUMBERED"/>
        <w:numPr>
          <w:ilvl w:val="0"/>
          <w:numId w:val="0"/>
        </w:numPr>
        <w:spacing w:line="240" w:lineRule="auto"/>
        <w:jc w:val="left"/>
        <w:rPr>
          <w:sz w:val="28"/>
          <w:szCs w:val="28"/>
        </w:rPr>
      </w:pPr>
    </w:p>
    <w:p w14:paraId="7B016A5C" w14:textId="77777777" w:rsidR="004A611D" w:rsidRPr="00D930F2" w:rsidRDefault="004A611D" w:rsidP="004A611D">
      <w:pPr>
        <w:pStyle w:val="MEMONUMBERED"/>
        <w:numPr>
          <w:ilvl w:val="0"/>
          <w:numId w:val="0"/>
        </w:numPr>
        <w:spacing w:line="240" w:lineRule="auto"/>
        <w:jc w:val="right"/>
        <w:rPr>
          <w:sz w:val="28"/>
          <w:szCs w:val="28"/>
        </w:rPr>
      </w:pPr>
    </w:p>
    <w:p w14:paraId="005A5572" w14:textId="1242A11A" w:rsidR="0020545B" w:rsidRPr="00D930F2" w:rsidRDefault="0020545B" w:rsidP="0020545B">
      <w:pPr>
        <w:pStyle w:val="MEMONUMBERED"/>
        <w:numPr>
          <w:ilvl w:val="0"/>
          <w:numId w:val="0"/>
        </w:numPr>
        <w:spacing w:line="240" w:lineRule="auto"/>
        <w:jc w:val="right"/>
        <w:rPr>
          <w:sz w:val="28"/>
          <w:szCs w:val="28"/>
        </w:rPr>
      </w:pPr>
      <w:r w:rsidRPr="00D930F2">
        <w:rPr>
          <w:sz w:val="28"/>
          <w:szCs w:val="28"/>
        </w:rPr>
        <w:t>______________________</w:t>
      </w:r>
    </w:p>
    <w:p w14:paraId="248C9A02" w14:textId="77777777" w:rsidR="0020545B" w:rsidRPr="007D5375" w:rsidRDefault="0020545B" w:rsidP="0020545B">
      <w:pPr>
        <w:pStyle w:val="MEMONUMBERED"/>
        <w:numPr>
          <w:ilvl w:val="0"/>
          <w:numId w:val="0"/>
        </w:numPr>
        <w:spacing w:line="240" w:lineRule="auto"/>
        <w:rPr>
          <w:b/>
          <w:sz w:val="28"/>
          <w:szCs w:val="28"/>
        </w:rPr>
      </w:pPr>
      <w:r w:rsidRPr="004150F5">
        <w:rPr>
          <w:b/>
          <w:sz w:val="28"/>
          <w:szCs w:val="28"/>
        </w:rPr>
        <w:t xml:space="preserve">                                                                 </w:t>
      </w:r>
      <w:r>
        <w:rPr>
          <w:b/>
          <w:sz w:val="28"/>
          <w:szCs w:val="28"/>
        </w:rPr>
        <w:t xml:space="preserve">                                   C COLLIS</w:t>
      </w:r>
    </w:p>
    <w:p w14:paraId="40FCFCEB" w14:textId="77777777" w:rsidR="0020545B" w:rsidRDefault="0020545B" w:rsidP="0020545B">
      <w:pPr>
        <w:pStyle w:val="MEMONUMBERED"/>
        <w:numPr>
          <w:ilvl w:val="0"/>
          <w:numId w:val="0"/>
        </w:numPr>
        <w:spacing w:line="240" w:lineRule="auto"/>
        <w:jc w:val="center"/>
        <w:rPr>
          <w:sz w:val="28"/>
          <w:szCs w:val="28"/>
        </w:rPr>
      </w:pPr>
      <w:r w:rsidRPr="007332AE">
        <w:rPr>
          <w:sz w:val="28"/>
          <w:szCs w:val="28"/>
        </w:rPr>
        <w:t xml:space="preserve">                                                                            </w:t>
      </w:r>
      <w:r>
        <w:rPr>
          <w:sz w:val="28"/>
          <w:szCs w:val="28"/>
        </w:rPr>
        <w:t xml:space="preserve">       </w:t>
      </w:r>
      <w:r w:rsidRPr="007332AE">
        <w:rPr>
          <w:sz w:val="28"/>
          <w:szCs w:val="28"/>
        </w:rPr>
        <w:t>Judge of the High Court</w:t>
      </w:r>
    </w:p>
    <w:p w14:paraId="447FA275" w14:textId="77777777" w:rsidR="0020545B" w:rsidRDefault="0020545B" w:rsidP="0020545B">
      <w:pPr>
        <w:pStyle w:val="MEMONUMBERED"/>
        <w:numPr>
          <w:ilvl w:val="0"/>
          <w:numId w:val="0"/>
        </w:numPr>
        <w:spacing w:line="24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Gauteng Division, Pretoria</w:t>
      </w:r>
    </w:p>
    <w:p w14:paraId="61DD6BEC" w14:textId="70870F17" w:rsidR="004A611D" w:rsidRDefault="004A611D" w:rsidP="00D930F2">
      <w:pPr>
        <w:pStyle w:val="MEMONUMBERED"/>
        <w:numPr>
          <w:ilvl w:val="0"/>
          <w:numId w:val="0"/>
        </w:numPr>
        <w:spacing w:line="240" w:lineRule="auto"/>
        <w:rPr>
          <w:sz w:val="28"/>
          <w:szCs w:val="28"/>
        </w:rPr>
      </w:pPr>
    </w:p>
    <w:p w14:paraId="0682257D" w14:textId="636B2E75" w:rsidR="0020545B" w:rsidRDefault="004A611D" w:rsidP="004A611D">
      <w:pPr>
        <w:pStyle w:val="MEMONUMBERED"/>
        <w:numPr>
          <w:ilvl w:val="0"/>
          <w:numId w:val="0"/>
        </w:numPr>
        <w:spacing w:line="240" w:lineRule="auto"/>
        <w:jc w:val="left"/>
        <w:rPr>
          <w:sz w:val="28"/>
          <w:szCs w:val="28"/>
        </w:rPr>
      </w:pPr>
      <w:r>
        <w:rPr>
          <w:sz w:val="28"/>
          <w:szCs w:val="28"/>
        </w:rPr>
        <w:t>I agree.</w:t>
      </w:r>
    </w:p>
    <w:p w14:paraId="21E23172" w14:textId="762D95ED" w:rsidR="00D930F2" w:rsidRDefault="00D930F2" w:rsidP="004A611D">
      <w:pPr>
        <w:pStyle w:val="MEMONUMBERED"/>
        <w:numPr>
          <w:ilvl w:val="0"/>
          <w:numId w:val="0"/>
        </w:numPr>
        <w:spacing w:line="240" w:lineRule="auto"/>
        <w:jc w:val="left"/>
        <w:rPr>
          <w:sz w:val="28"/>
          <w:szCs w:val="28"/>
        </w:rPr>
      </w:pPr>
    </w:p>
    <w:p w14:paraId="4DDDA500" w14:textId="14EFC297" w:rsidR="00D930F2" w:rsidRDefault="00D930F2" w:rsidP="004A611D">
      <w:pPr>
        <w:pStyle w:val="MEMONUMBERED"/>
        <w:numPr>
          <w:ilvl w:val="0"/>
          <w:numId w:val="0"/>
        </w:numPr>
        <w:spacing w:line="240" w:lineRule="auto"/>
        <w:jc w:val="left"/>
        <w:rPr>
          <w:sz w:val="28"/>
          <w:szCs w:val="28"/>
        </w:rPr>
      </w:pPr>
    </w:p>
    <w:p w14:paraId="4D08CFE7" w14:textId="142F7968" w:rsidR="00D930F2" w:rsidRDefault="00D930F2" w:rsidP="004A611D">
      <w:pPr>
        <w:pStyle w:val="MEMONUMBERED"/>
        <w:numPr>
          <w:ilvl w:val="0"/>
          <w:numId w:val="0"/>
        </w:numPr>
        <w:spacing w:line="240" w:lineRule="auto"/>
        <w:jc w:val="left"/>
        <w:rPr>
          <w:sz w:val="28"/>
          <w:szCs w:val="28"/>
        </w:rPr>
      </w:pPr>
    </w:p>
    <w:p w14:paraId="7C513DA7" w14:textId="77777777" w:rsidR="00D930F2" w:rsidRDefault="00D930F2" w:rsidP="004A611D">
      <w:pPr>
        <w:pStyle w:val="MEMONUMBERED"/>
        <w:numPr>
          <w:ilvl w:val="0"/>
          <w:numId w:val="0"/>
        </w:numPr>
        <w:spacing w:line="240" w:lineRule="auto"/>
        <w:jc w:val="left"/>
        <w:rPr>
          <w:sz w:val="28"/>
          <w:szCs w:val="28"/>
        </w:rPr>
      </w:pPr>
    </w:p>
    <w:p w14:paraId="49E4DD57" w14:textId="77777777" w:rsidR="004A611D" w:rsidRDefault="004A611D" w:rsidP="004A611D">
      <w:pPr>
        <w:pStyle w:val="MEMONUMBERED"/>
        <w:numPr>
          <w:ilvl w:val="0"/>
          <w:numId w:val="0"/>
        </w:numPr>
        <w:spacing w:line="240" w:lineRule="auto"/>
        <w:jc w:val="left"/>
        <w:rPr>
          <w:sz w:val="28"/>
          <w:szCs w:val="28"/>
        </w:rPr>
      </w:pPr>
    </w:p>
    <w:p w14:paraId="6C0C1D88" w14:textId="77777777" w:rsidR="0020545B" w:rsidRPr="007332AE" w:rsidRDefault="0020545B" w:rsidP="0020545B">
      <w:pPr>
        <w:pStyle w:val="MEMONUMBERED"/>
        <w:numPr>
          <w:ilvl w:val="0"/>
          <w:numId w:val="0"/>
        </w:numPr>
        <w:spacing w:line="240" w:lineRule="auto"/>
        <w:jc w:val="right"/>
        <w:rPr>
          <w:sz w:val="28"/>
          <w:szCs w:val="28"/>
        </w:rPr>
      </w:pPr>
      <w:r w:rsidRPr="007332AE">
        <w:rPr>
          <w:sz w:val="28"/>
          <w:szCs w:val="28"/>
        </w:rPr>
        <w:t>____________________</w:t>
      </w:r>
      <w:r>
        <w:rPr>
          <w:sz w:val="28"/>
          <w:szCs w:val="28"/>
        </w:rPr>
        <w:t>___</w:t>
      </w:r>
    </w:p>
    <w:p w14:paraId="27D5DCD3" w14:textId="77777777" w:rsidR="0020545B" w:rsidRPr="007D5375" w:rsidRDefault="0020545B" w:rsidP="0020545B">
      <w:pPr>
        <w:pStyle w:val="MEMONUMBERED"/>
        <w:numPr>
          <w:ilvl w:val="0"/>
          <w:numId w:val="0"/>
        </w:numPr>
        <w:spacing w:line="240" w:lineRule="auto"/>
        <w:rPr>
          <w:b/>
          <w:sz w:val="28"/>
          <w:szCs w:val="28"/>
        </w:rPr>
      </w:pPr>
      <w:r w:rsidRPr="007332AE">
        <w:rPr>
          <w:sz w:val="28"/>
          <w:szCs w:val="28"/>
        </w:rPr>
        <w:t xml:space="preserve">                                                          </w:t>
      </w:r>
      <w:r>
        <w:rPr>
          <w:sz w:val="28"/>
          <w:szCs w:val="28"/>
        </w:rPr>
        <w:t xml:space="preserve">                                       </w:t>
      </w:r>
      <w:r>
        <w:rPr>
          <w:b/>
          <w:sz w:val="28"/>
          <w:szCs w:val="28"/>
        </w:rPr>
        <w:t xml:space="preserve">J </w:t>
      </w:r>
      <w:r w:rsidRPr="007D5375">
        <w:rPr>
          <w:b/>
          <w:sz w:val="28"/>
          <w:szCs w:val="28"/>
        </w:rPr>
        <w:t>S</w:t>
      </w:r>
      <w:r>
        <w:rPr>
          <w:b/>
          <w:sz w:val="28"/>
          <w:szCs w:val="28"/>
        </w:rPr>
        <w:t xml:space="preserve"> NYATHI</w:t>
      </w:r>
    </w:p>
    <w:p w14:paraId="52854C37" w14:textId="77777777" w:rsidR="0020545B" w:rsidRDefault="0020545B" w:rsidP="0020545B">
      <w:pPr>
        <w:pStyle w:val="MEMONUMBERED"/>
        <w:numPr>
          <w:ilvl w:val="0"/>
          <w:numId w:val="0"/>
        </w:numPr>
        <w:spacing w:line="240" w:lineRule="auto"/>
        <w:jc w:val="center"/>
        <w:rPr>
          <w:sz w:val="28"/>
          <w:szCs w:val="28"/>
        </w:rPr>
      </w:pPr>
      <w:r w:rsidRPr="007332AE">
        <w:rPr>
          <w:sz w:val="28"/>
          <w:szCs w:val="28"/>
        </w:rPr>
        <w:t xml:space="preserve">                                                                            </w:t>
      </w:r>
      <w:r>
        <w:rPr>
          <w:sz w:val="28"/>
          <w:szCs w:val="28"/>
        </w:rPr>
        <w:t xml:space="preserve">       </w:t>
      </w:r>
      <w:r w:rsidRPr="007332AE">
        <w:rPr>
          <w:sz w:val="28"/>
          <w:szCs w:val="28"/>
        </w:rPr>
        <w:t>Judge of the High Court</w:t>
      </w:r>
    </w:p>
    <w:p w14:paraId="5EC9B158" w14:textId="77777777" w:rsidR="0020545B" w:rsidRDefault="0020545B" w:rsidP="0020545B">
      <w:pPr>
        <w:pStyle w:val="MEMONUMBERED"/>
        <w:numPr>
          <w:ilvl w:val="0"/>
          <w:numId w:val="0"/>
        </w:numPr>
        <w:spacing w:line="24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Gauteng Division, Pretoria</w:t>
      </w:r>
    </w:p>
    <w:p w14:paraId="62DDD7F7" w14:textId="32D390D9" w:rsidR="004A611D" w:rsidRDefault="004A611D" w:rsidP="004A611D">
      <w:pPr>
        <w:pStyle w:val="MEMONUMBERED"/>
        <w:numPr>
          <w:ilvl w:val="0"/>
          <w:numId w:val="0"/>
        </w:numPr>
        <w:rPr>
          <w:sz w:val="28"/>
          <w:szCs w:val="28"/>
        </w:rPr>
      </w:pPr>
    </w:p>
    <w:p w14:paraId="2741BE7C" w14:textId="77777777" w:rsidR="00D930F2" w:rsidRDefault="00D930F2" w:rsidP="004A611D">
      <w:pPr>
        <w:pStyle w:val="MEMONUMBERED"/>
        <w:numPr>
          <w:ilvl w:val="0"/>
          <w:numId w:val="0"/>
        </w:numPr>
        <w:spacing w:after="120" w:line="360" w:lineRule="auto"/>
        <w:rPr>
          <w:sz w:val="28"/>
          <w:szCs w:val="28"/>
        </w:rPr>
      </w:pPr>
    </w:p>
    <w:p w14:paraId="73B30681" w14:textId="54F4E7B4" w:rsidR="004A611D" w:rsidRDefault="004A611D" w:rsidP="004A611D">
      <w:pPr>
        <w:pStyle w:val="MEMONUMBERED"/>
        <w:numPr>
          <w:ilvl w:val="0"/>
          <w:numId w:val="0"/>
        </w:numPr>
        <w:spacing w:after="120" w:line="360" w:lineRule="auto"/>
        <w:rPr>
          <w:sz w:val="28"/>
          <w:szCs w:val="28"/>
        </w:rPr>
      </w:pPr>
      <w:r>
        <w:rPr>
          <w:sz w:val="28"/>
          <w:szCs w:val="28"/>
        </w:rPr>
        <w:t>Date of Hearing</w:t>
      </w:r>
      <w:r w:rsidR="002E4361">
        <w:rPr>
          <w:sz w:val="28"/>
          <w:szCs w:val="28"/>
        </w:rPr>
        <w:t xml:space="preserve">: </w:t>
      </w:r>
      <w:r w:rsidR="006F1708">
        <w:rPr>
          <w:sz w:val="28"/>
          <w:szCs w:val="28"/>
        </w:rPr>
        <w:t>7 March</w:t>
      </w:r>
      <w:r w:rsidR="002E4361">
        <w:rPr>
          <w:sz w:val="28"/>
          <w:szCs w:val="28"/>
        </w:rPr>
        <w:t xml:space="preserve"> 2024</w:t>
      </w:r>
    </w:p>
    <w:p w14:paraId="360D72A8" w14:textId="76AB45FA" w:rsidR="004A611D" w:rsidRDefault="004A611D" w:rsidP="004A611D">
      <w:pPr>
        <w:pStyle w:val="MEMONUMBERED"/>
        <w:numPr>
          <w:ilvl w:val="0"/>
          <w:numId w:val="0"/>
        </w:numPr>
        <w:spacing w:after="120" w:line="360" w:lineRule="auto"/>
        <w:rPr>
          <w:sz w:val="28"/>
          <w:szCs w:val="28"/>
        </w:rPr>
      </w:pPr>
      <w:r>
        <w:rPr>
          <w:sz w:val="28"/>
          <w:szCs w:val="28"/>
        </w:rPr>
        <w:t xml:space="preserve">Date of Judgment: </w:t>
      </w:r>
      <w:r w:rsidR="006F1708">
        <w:rPr>
          <w:sz w:val="28"/>
          <w:szCs w:val="28"/>
        </w:rPr>
        <w:t>4 April</w:t>
      </w:r>
      <w:r w:rsidR="002E4361">
        <w:rPr>
          <w:sz w:val="28"/>
          <w:szCs w:val="28"/>
        </w:rPr>
        <w:t xml:space="preserve"> 2024</w:t>
      </w:r>
    </w:p>
    <w:p w14:paraId="4831DF5A" w14:textId="6C2AA7DC" w:rsidR="00FA3DAF" w:rsidRDefault="00FA3DAF" w:rsidP="004A611D">
      <w:pPr>
        <w:pStyle w:val="MEMONUMBERED"/>
        <w:numPr>
          <w:ilvl w:val="0"/>
          <w:numId w:val="0"/>
        </w:numPr>
        <w:rPr>
          <w:sz w:val="28"/>
          <w:szCs w:val="28"/>
        </w:rPr>
      </w:pPr>
    </w:p>
    <w:p w14:paraId="08A66C2C" w14:textId="77777777" w:rsidR="001A6188" w:rsidRDefault="004A611D" w:rsidP="004A611D">
      <w:pPr>
        <w:pStyle w:val="MEMONUMBERED"/>
        <w:numPr>
          <w:ilvl w:val="0"/>
          <w:numId w:val="0"/>
        </w:numPr>
        <w:rPr>
          <w:sz w:val="28"/>
          <w:szCs w:val="28"/>
        </w:rPr>
      </w:pPr>
      <w:r w:rsidRPr="003E4489">
        <w:rPr>
          <w:sz w:val="28"/>
          <w:szCs w:val="28"/>
        </w:rPr>
        <w:t>APPEARANCES</w:t>
      </w:r>
      <w:r>
        <w:rPr>
          <w:sz w:val="28"/>
          <w:szCs w:val="28"/>
        </w:rPr>
        <w:t xml:space="preserve"> </w:t>
      </w:r>
    </w:p>
    <w:p w14:paraId="4FAC89AA" w14:textId="77777777" w:rsidR="00537F11" w:rsidRDefault="00537F11" w:rsidP="00537F11">
      <w:pPr>
        <w:spacing w:after="120" w:line="360" w:lineRule="auto"/>
        <w:rPr>
          <w:rFonts w:ascii="Times New Roman" w:hAnsi="Times New Roman" w:cs="Times New Roman"/>
          <w:sz w:val="28"/>
          <w:szCs w:val="28"/>
        </w:rPr>
      </w:pPr>
      <w:r w:rsidRPr="001A6188">
        <w:rPr>
          <w:rFonts w:ascii="Times New Roman" w:hAnsi="Times New Roman" w:cs="Times New Roman"/>
          <w:sz w:val="28"/>
          <w:szCs w:val="28"/>
          <w:u w:val="single"/>
        </w:rPr>
        <w:t>I</w:t>
      </w:r>
      <w:r>
        <w:rPr>
          <w:rFonts w:ascii="Times New Roman" w:hAnsi="Times New Roman" w:cs="Times New Roman"/>
          <w:sz w:val="28"/>
          <w:szCs w:val="28"/>
          <w:u w:val="single"/>
        </w:rPr>
        <w:t>n Case no: 022464</w:t>
      </w:r>
      <w:r w:rsidRPr="001A6188">
        <w:rPr>
          <w:rFonts w:ascii="Times New Roman" w:hAnsi="Times New Roman" w:cs="Times New Roman"/>
          <w:sz w:val="28"/>
          <w:szCs w:val="28"/>
          <w:u w:val="single"/>
        </w:rPr>
        <w:t>/2023</w:t>
      </w:r>
      <w:r w:rsidRPr="001A6188">
        <w:rPr>
          <w:rFonts w:ascii="Times New Roman" w:hAnsi="Times New Roman" w:cs="Times New Roman"/>
          <w:sz w:val="28"/>
          <w:szCs w:val="28"/>
        </w:rPr>
        <w:t>:</w:t>
      </w:r>
    </w:p>
    <w:p w14:paraId="292A1560" w14:textId="0C535127" w:rsidR="00537F11" w:rsidRDefault="00537F11" w:rsidP="00E754C8">
      <w:pPr>
        <w:spacing w:after="120" w:line="360" w:lineRule="auto"/>
        <w:ind w:left="5760" w:hanging="5760"/>
        <w:rPr>
          <w:rFonts w:ascii="Times New Roman" w:hAnsi="Times New Roman" w:cs="Times New Roman"/>
          <w:sz w:val="28"/>
          <w:szCs w:val="28"/>
        </w:rPr>
      </w:pPr>
      <w:r>
        <w:rPr>
          <w:rFonts w:ascii="Times New Roman" w:hAnsi="Times New Roman" w:cs="Times New Roman"/>
          <w:sz w:val="28"/>
          <w:szCs w:val="28"/>
        </w:rPr>
        <w:t>For the Applicant:</w:t>
      </w:r>
      <w:r>
        <w:rPr>
          <w:rFonts w:ascii="Times New Roman" w:hAnsi="Times New Roman" w:cs="Times New Roman"/>
          <w:sz w:val="28"/>
          <w:szCs w:val="28"/>
        </w:rPr>
        <w:tab/>
      </w:r>
      <w:r w:rsidR="006B0256">
        <w:rPr>
          <w:rFonts w:ascii="Times New Roman" w:hAnsi="Times New Roman" w:cs="Times New Roman"/>
          <w:sz w:val="28"/>
          <w:szCs w:val="28"/>
        </w:rPr>
        <w:t>A</w:t>
      </w:r>
      <w:r>
        <w:rPr>
          <w:rFonts w:ascii="Times New Roman" w:hAnsi="Times New Roman" w:cs="Times New Roman"/>
          <w:sz w:val="28"/>
          <w:szCs w:val="28"/>
        </w:rPr>
        <w:t>dv</w:t>
      </w:r>
      <w:r w:rsidR="00FA3DAF">
        <w:rPr>
          <w:rFonts w:ascii="Times New Roman" w:hAnsi="Times New Roman" w:cs="Times New Roman"/>
          <w:sz w:val="28"/>
          <w:szCs w:val="28"/>
        </w:rPr>
        <w:t xml:space="preserve"> E C La</w:t>
      </w:r>
      <w:r w:rsidR="00E754C8">
        <w:rPr>
          <w:rFonts w:ascii="Times New Roman" w:hAnsi="Times New Roman" w:cs="Times New Roman"/>
          <w:sz w:val="28"/>
          <w:szCs w:val="28"/>
        </w:rPr>
        <w:t>buschagne SC together with Adv V Mabuza</w:t>
      </w:r>
      <w:r>
        <w:rPr>
          <w:rFonts w:ascii="Times New Roman" w:hAnsi="Times New Roman" w:cs="Times New Roman"/>
          <w:sz w:val="28"/>
          <w:szCs w:val="28"/>
        </w:rPr>
        <w:t xml:space="preserve"> </w:t>
      </w:r>
    </w:p>
    <w:p w14:paraId="0D5E08B5" w14:textId="355D4A47" w:rsidR="00537F11" w:rsidRDefault="00537F11" w:rsidP="00537F11">
      <w:pPr>
        <w:spacing w:after="120" w:line="360" w:lineRule="auto"/>
        <w:rPr>
          <w:rFonts w:ascii="Times New Roman" w:hAnsi="Times New Roman" w:cs="Times New Roman"/>
          <w:sz w:val="28"/>
          <w:szCs w:val="28"/>
        </w:rPr>
      </w:pPr>
      <w:r>
        <w:rPr>
          <w:rFonts w:ascii="Times New Roman" w:hAnsi="Times New Roman" w:cs="Times New Roman"/>
          <w:sz w:val="28"/>
          <w:szCs w:val="28"/>
        </w:rPr>
        <w:t>Attorneys for the Applicant:</w:t>
      </w:r>
      <w:r>
        <w:rPr>
          <w:rFonts w:ascii="Times New Roman" w:hAnsi="Times New Roman" w:cs="Times New Roman"/>
          <w:sz w:val="28"/>
          <w:szCs w:val="28"/>
        </w:rPr>
        <w:tab/>
      </w:r>
      <w:r w:rsidR="006B0256">
        <w:rPr>
          <w:rFonts w:ascii="Times New Roman" w:hAnsi="Times New Roman" w:cs="Times New Roman"/>
          <w:sz w:val="28"/>
          <w:szCs w:val="28"/>
        </w:rPr>
        <w:tab/>
      </w:r>
      <w:r w:rsidR="006B0256">
        <w:rPr>
          <w:rFonts w:ascii="Times New Roman" w:hAnsi="Times New Roman" w:cs="Times New Roman"/>
          <w:sz w:val="28"/>
          <w:szCs w:val="28"/>
        </w:rPr>
        <w:tab/>
      </w:r>
      <w:r w:rsidR="006B0256">
        <w:rPr>
          <w:rFonts w:ascii="Times New Roman" w:hAnsi="Times New Roman" w:cs="Times New Roman"/>
          <w:sz w:val="28"/>
          <w:szCs w:val="28"/>
        </w:rPr>
        <w:tab/>
      </w:r>
      <w:proofErr w:type="spellStart"/>
      <w:r w:rsidR="006B0256">
        <w:rPr>
          <w:rFonts w:ascii="Times New Roman" w:hAnsi="Times New Roman" w:cs="Times New Roman"/>
          <w:sz w:val="28"/>
          <w:szCs w:val="28"/>
        </w:rPr>
        <w:t>Lawtons</w:t>
      </w:r>
      <w:proofErr w:type="spellEnd"/>
      <w:r w:rsidR="006B0256">
        <w:rPr>
          <w:rFonts w:ascii="Times New Roman" w:hAnsi="Times New Roman" w:cs="Times New Roman"/>
          <w:sz w:val="28"/>
          <w:szCs w:val="28"/>
        </w:rPr>
        <w:t xml:space="preserve"> Africa attorneys, </w:t>
      </w:r>
      <w:r w:rsidR="006B0256">
        <w:rPr>
          <w:rFonts w:ascii="Times New Roman" w:hAnsi="Times New Roman" w:cs="Times New Roman"/>
          <w:sz w:val="28"/>
          <w:szCs w:val="28"/>
        </w:rPr>
        <w:tab/>
      </w:r>
      <w:r w:rsidR="006B0256">
        <w:rPr>
          <w:rFonts w:ascii="Times New Roman" w:hAnsi="Times New Roman" w:cs="Times New Roman"/>
          <w:sz w:val="28"/>
          <w:szCs w:val="28"/>
        </w:rPr>
        <w:tab/>
      </w:r>
      <w:r w:rsidR="006B0256">
        <w:rPr>
          <w:rFonts w:ascii="Times New Roman" w:hAnsi="Times New Roman" w:cs="Times New Roman"/>
          <w:sz w:val="28"/>
          <w:szCs w:val="28"/>
        </w:rPr>
        <w:tab/>
      </w:r>
    </w:p>
    <w:p w14:paraId="6B80C5DE" w14:textId="578D14A1" w:rsidR="00537F11" w:rsidRDefault="00537F11" w:rsidP="006B0256">
      <w:pPr>
        <w:spacing w:after="120" w:line="360" w:lineRule="auto"/>
        <w:ind w:left="5760" w:hanging="5760"/>
        <w:rPr>
          <w:rFonts w:ascii="Times New Roman" w:hAnsi="Times New Roman" w:cs="Times New Roman"/>
          <w:sz w:val="28"/>
          <w:szCs w:val="28"/>
        </w:rPr>
      </w:pPr>
      <w:r>
        <w:rPr>
          <w:rFonts w:ascii="Times New Roman" w:hAnsi="Times New Roman" w:cs="Times New Roman"/>
          <w:sz w:val="28"/>
          <w:szCs w:val="28"/>
        </w:rPr>
        <w:t xml:space="preserve">For the </w:t>
      </w:r>
      <w:r w:rsidR="006B0256">
        <w:rPr>
          <w:rFonts w:ascii="Times New Roman" w:hAnsi="Times New Roman" w:cs="Times New Roman"/>
          <w:sz w:val="28"/>
          <w:szCs w:val="28"/>
        </w:rPr>
        <w:t>1</w:t>
      </w:r>
      <w:r w:rsidR="006B0256">
        <w:rPr>
          <w:rFonts w:ascii="Times New Roman" w:hAnsi="Times New Roman" w:cs="Times New Roman"/>
          <w:sz w:val="28"/>
          <w:szCs w:val="28"/>
          <w:vertAlign w:val="superscript"/>
        </w:rPr>
        <w:t xml:space="preserve">st </w:t>
      </w:r>
      <w:r>
        <w:rPr>
          <w:rFonts w:ascii="Times New Roman" w:hAnsi="Times New Roman" w:cs="Times New Roman"/>
          <w:sz w:val="28"/>
          <w:szCs w:val="28"/>
        </w:rPr>
        <w:t>Respondents:</w:t>
      </w:r>
      <w:r>
        <w:rPr>
          <w:rFonts w:ascii="Times New Roman" w:hAnsi="Times New Roman" w:cs="Times New Roman"/>
          <w:sz w:val="28"/>
          <w:szCs w:val="28"/>
        </w:rPr>
        <w:tab/>
        <w:t>Adv</w:t>
      </w:r>
      <w:r w:rsidR="006B0256">
        <w:rPr>
          <w:rFonts w:ascii="Times New Roman" w:hAnsi="Times New Roman" w:cs="Times New Roman"/>
          <w:sz w:val="28"/>
          <w:szCs w:val="28"/>
        </w:rPr>
        <w:t xml:space="preserve"> N Maenetje SC together with Adv R Tshetlo and Adv P </w:t>
      </w:r>
      <w:proofErr w:type="spellStart"/>
      <w:r w:rsidR="006B0256">
        <w:rPr>
          <w:rFonts w:ascii="Times New Roman" w:hAnsi="Times New Roman" w:cs="Times New Roman"/>
          <w:sz w:val="28"/>
          <w:szCs w:val="28"/>
        </w:rPr>
        <w:t>Sokhele</w:t>
      </w:r>
      <w:proofErr w:type="spellEnd"/>
    </w:p>
    <w:p w14:paraId="4633C5BE" w14:textId="46C2A852" w:rsidR="00537F11" w:rsidRPr="001A6188" w:rsidRDefault="00537F11" w:rsidP="00537F11">
      <w:pPr>
        <w:spacing w:after="120" w:line="360" w:lineRule="auto"/>
        <w:rPr>
          <w:rFonts w:ascii="Times New Roman" w:hAnsi="Times New Roman" w:cs="Times New Roman"/>
          <w:sz w:val="28"/>
          <w:szCs w:val="28"/>
          <w:u w:val="single"/>
        </w:rPr>
      </w:pPr>
      <w:r>
        <w:rPr>
          <w:rFonts w:ascii="Times New Roman" w:hAnsi="Times New Roman" w:cs="Times New Roman"/>
          <w:sz w:val="28"/>
          <w:szCs w:val="28"/>
        </w:rPr>
        <w:t>Attorneys for the</w:t>
      </w:r>
      <w:r w:rsidR="006B0256">
        <w:rPr>
          <w:rFonts w:ascii="Times New Roman" w:hAnsi="Times New Roman" w:cs="Times New Roman"/>
          <w:sz w:val="28"/>
          <w:szCs w:val="28"/>
        </w:rPr>
        <w:t xml:space="preserve"> 1</w:t>
      </w:r>
      <w:r w:rsidR="006B0256" w:rsidRPr="006B0256">
        <w:rPr>
          <w:rFonts w:ascii="Times New Roman" w:hAnsi="Times New Roman" w:cs="Times New Roman"/>
          <w:sz w:val="28"/>
          <w:szCs w:val="28"/>
          <w:vertAlign w:val="superscript"/>
        </w:rPr>
        <w:t>st</w:t>
      </w:r>
      <w:r w:rsidR="006B0256">
        <w:rPr>
          <w:rFonts w:ascii="Times New Roman" w:hAnsi="Times New Roman" w:cs="Times New Roman"/>
          <w:sz w:val="28"/>
          <w:szCs w:val="28"/>
        </w:rPr>
        <w:t xml:space="preserve"> </w:t>
      </w:r>
      <w:r>
        <w:rPr>
          <w:rFonts w:ascii="Times New Roman" w:hAnsi="Times New Roman" w:cs="Times New Roman"/>
          <w:sz w:val="28"/>
          <w:szCs w:val="28"/>
        </w:rPr>
        <w:t>Respondents:</w:t>
      </w:r>
      <w:r w:rsidR="006B0256">
        <w:rPr>
          <w:rFonts w:ascii="Times New Roman" w:hAnsi="Times New Roman" w:cs="Times New Roman"/>
          <w:sz w:val="28"/>
          <w:szCs w:val="28"/>
        </w:rPr>
        <w:tab/>
      </w:r>
      <w:r w:rsidR="006B0256">
        <w:rPr>
          <w:rFonts w:ascii="Times New Roman" w:hAnsi="Times New Roman" w:cs="Times New Roman"/>
          <w:sz w:val="28"/>
          <w:szCs w:val="28"/>
        </w:rPr>
        <w:tab/>
      </w:r>
      <w:r w:rsidR="006B0256">
        <w:rPr>
          <w:rFonts w:ascii="Times New Roman" w:hAnsi="Times New Roman" w:cs="Times New Roman"/>
          <w:sz w:val="28"/>
          <w:szCs w:val="28"/>
        </w:rPr>
        <w:tab/>
        <w:t>Prince Mudau &amp; Associates,</w:t>
      </w:r>
    </w:p>
    <w:p w14:paraId="52DB6A6A" w14:textId="77777777" w:rsidR="006B0256" w:rsidRDefault="006B0256" w:rsidP="00244AF7">
      <w:pPr>
        <w:spacing w:after="120" w:line="360" w:lineRule="auto"/>
        <w:rPr>
          <w:rFonts w:ascii="Times New Roman" w:hAnsi="Times New Roman" w:cs="Times New Roman"/>
          <w:sz w:val="28"/>
          <w:szCs w:val="28"/>
        </w:rPr>
      </w:pPr>
    </w:p>
    <w:p w14:paraId="1C32BE75" w14:textId="4E6E5FE1" w:rsidR="006B0256" w:rsidRDefault="006B0256" w:rsidP="006B0256">
      <w:pPr>
        <w:spacing w:after="120" w:line="360" w:lineRule="auto"/>
        <w:ind w:left="5760" w:hanging="5760"/>
        <w:rPr>
          <w:rFonts w:ascii="Times New Roman" w:hAnsi="Times New Roman" w:cs="Times New Roman"/>
          <w:sz w:val="28"/>
          <w:szCs w:val="28"/>
        </w:rPr>
      </w:pPr>
      <w:r>
        <w:rPr>
          <w:rFonts w:ascii="Times New Roman" w:hAnsi="Times New Roman" w:cs="Times New Roman"/>
          <w:sz w:val="28"/>
          <w:szCs w:val="28"/>
        </w:rPr>
        <w:t>For the 2</w:t>
      </w:r>
      <w:r w:rsidRPr="006B0256">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w:t>
      </w:r>
      <w:r>
        <w:rPr>
          <w:rFonts w:ascii="Times New Roman" w:hAnsi="Times New Roman" w:cs="Times New Roman"/>
          <w:sz w:val="28"/>
          <w:szCs w:val="28"/>
        </w:rPr>
        <w:tab/>
        <w:t xml:space="preserve">Adv </w:t>
      </w:r>
      <w:r w:rsidR="00FA3DAF">
        <w:rPr>
          <w:rFonts w:ascii="Times New Roman" w:hAnsi="Times New Roman" w:cs="Times New Roman"/>
          <w:sz w:val="28"/>
          <w:szCs w:val="28"/>
        </w:rPr>
        <w:t>M Chaskalson</w:t>
      </w:r>
      <w:r>
        <w:rPr>
          <w:rFonts w:ascii="Times New Roman" w:hAnsi="Times New Roman" w:cs="Times New Roman"/>
          <w:sz w:val="28"/>
          <w:szCs w:val="28"/>
        </w:rPr>
        <w:t xml:space="preserve"> SC together with Adv</w:t>
      </w:r>
      <w:r w:rsidR="00FA3DAF">
        <w:rPr>
          <w:rFonts w:ascii="Times New Roman" w:hAnsi="Times New Roman" w:cs="Times New Roman"/>
          <w:sz w:val="28"/>
          <w:szCs w:val="28"/>
        </w:rPr>
        <w:t xml:space="preserve"> </w:t>
      </w:r>
      <w:proofErr w:type="gramStart"/>
      <w:r w:rsidR="00FA3DAF">
        <w:rPr>
          <w:rFonts w:ascii="Times New Roman" w:hAnsi="Times New Roman" w:cs="Times New Roman"/>
          <w:sz w:val="28"/>
          <w:szCs w:val="28"/>
        </w:rPr>
        <w:t>A</w:t>
      </w:r>
      <w:proofErr w:type="gramEnd"/>
      <w:r w:rsidR="00FA3DAF">
        <w:rPr>
          <w:rFonts w:ascii="Times New Roman" w:hAnsi="Times New Roman" w:cs="Times New Roman"/>
          <w:sz w:val="28"/>
          <w:szCs w:val="28"/>
        </w:rPr>
        <w:t xml:space="preserve"> Friedman</w:t>
      </w:r>
      <w:r>
        <w:rPr>
          <w:rFonts w:ascii="Times New Roman" w:hAnsi="Times New Roman" w:cs="Times New Roman"/>
          <w:sz w:val="28"/>
          <w:szCs w:val="28"/>
        </w:rPr>
        <w:t xml:space="preserve"> </w:t>
      </w:r>
    </w:p>
    <w:p w14:paraId="17C64894" w14:textId="77777777" w:rsidR="006B0256" w:rsidRDefault="006B0256" w:rsidP="006B0256">
      <w:pPr>
        <w:spacing w:after="120" w:line="360" w:lineRule="auto"/>
        <w:ind w:left="5760" w:hanging="5760"/>
        <w:rPr>
          <w:rFonts w:ascii="Times New Roman" w:hAnsi="Times New Roman" w:cs="Times New Roman"/>
          <w:sz w:val="28"/>
          <w:szCs w:val="28"/>
        </w:rPr>
      </w:pPr>
      <w:r>
        <w:rPr>
          <w:rFonts w:ascii="Times New Roman" w:hAnsi="Times New Roman" w:cs="Times New Roman"/>
          <w:sz w:val="28"/>
          <w:szCs w:val="28"/>
        </w:rPr>
        <w:t>Attorney for the 2</w:t>
      </w:r>
      <w:r w:rsidRPr="006B0256">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Respondents: </w:t>
      </w:r>
      <w:r>
        <w:rPr>
          <w:rFonts w:ascii="Times New Roman" w:hAnsi="Times New Roman" w:cs="Times New Roman"/>
          <w:sz w:val="28"/>
          <w:szCs w:val="28"/>
        </w:rPr>
        <w:tab/>
        <w:t xml:space="preserve">GMI Attorneys, Pretoria </w:t>
      </w:r>
    </w:p>
    <w:p w14:paraId="1D945966" w14:textId="401243F8" w:rsidR="006B0256" w:rsidRDefault="006B0256" w:rsidP="006B0256">
      <w:pPr>
        <w:spacing w:after="120" w:line="360" w:lineRule="auto"/>
        <w:ind w:left="5760" w:hanging="5760"/>
        <w:rPr>
          <w:rFonts w:ascii="Times New Roman" w:hAnsi="Times New Roman" w:cs="Times New Roman"/>
          <w:sz w:val="28"/>
          <w:szCs w:val="28"/>
        </w:rPr>
      </w:pPr>
      <w:r>
        <w:rPr>
          <w:rFonts w:ascii="Times New Roman" w:hAnsi="Times New Roman" w:cs="Times New Roman"/>
          <w:sz w:val="28"/>
          <w:szCs w:val="28"/>
        </w:rPr>
        <w:t xml:space="preserve"> </w:t>
      </w:r>
    </w:p>
    <w:p w14:paraId="24E541D2" w14:textId="4C612820" w:rsidR="00244AF7" w:rsidRDefault="00244AF7" w:rsidP="00D930F2">
      <w:pPr>
        <w:spacing w:after="120" w:line="360" w:lineRule="auto"/>
        <w:rPr>
          <w:rFonts w:ascii="Times New Roman" w:hAnsi="Times New Roman" w:cs="Times New Roman"/>
          <w:sz w:val="28"/>
          <w:szCs w:val="28"/>
        </w:rPr>
      </w:pPr>
      <w:r>
        <w:rPr>
          <w:rFonts w:ascii="Times New Roman" w:hAnsi="Times New Roman" w:cs="Times New Roman"/>
          <w:sz w:val="28"/>
          <w:szCs w:val="28"/>
        </w:rPr>
        <w:t>For the 7</w:t>
      </w:r>
      <w:r w:rsidRPr="001A6188">
        <w:rPr>
          <w:rFonts w:ascii="Times New Roman" w:hAnsi="Times New Roman" w:cs="Times New Roman"/>
          <w:sz w:val="28"/>
          <w:szCs w:val="28"/>
          <w:vertAlign w:val="superscript"/>
        </w:rPr>
        <w:t>th</w:t>
      </w:r>
      <w:r w:rsidR="00D930F2">
        <w:rPr>
          <w:rFonts w:ascii="Times New Roman" w:hAnsi="Times New Roman" w:cs="Times New Roman"/>
          <w:sz w:val="28"/>
          <w:szCs w:val="28"/>
        </w:rPr>
        <w:t xml:space="preserve"> Respondent:</w:t>
      </w:r>
      <w:r w:rsidR="00D930F2">
        <w:rPr>
          <w:rFonts w:ascii="Times New Roman" w:hAnsi="Times New Roman" w:cs="Times New Roman"/>
          <w:sz w:val="28"/>
          <w:szCs w:val="28"/>
        </w:rPr>
        <w:tab/>
      </w:r>
      <w:r w:rsidR="00D930F2">
        <w:rPr>
          <w:rFonts w:ascii="Times New Roman" w:hAnsi="Times New Roman" w:cs="Times New Roman"/>
          <w:sz w:val="28"/>
          <w:szCs w:val="28"/>
        </w:rPr>
        <w:tab/>
      </w:r>
      <w:r w:rsidR="00D930F2">
        <w:rPr>
          <w:rFonts w:ascii="Times New Roman" w:hAnsi="Times New Roman" w:cs="Times New Roman"/>
          <w:sz w:val="28"/>
          <w:szCs w:val="28"/>
        </w:rPr>
        <w:tab/>
      </w:r>
      <w:r w:rsidR="00D930F2">
        <w:rPr>
          <w:rFonts w:ascii="Times New Roman" w:hAnsi="Times New Roman" w:cs="Times New Roman"/>
          <w:sz w:val="28"/>
          <w:szCs w:val="28"/>
        </w:rPr>
        <w:tab/>
      </w:r>
      <w:r w:rsidR="00D930F2">
        <w:rPr>
          <w:rFonts w:ascii="Times New Roman" w:hAnsi="Times New Roman" w:cs="Times New Roman"/>
          <w:sz w:val="28"/>
          <w:szCs w:val="28"/>
        </w:rPr>
        <w:tab/>
      </w:r>
      <w:r>
        <w:rPr>
          <w:rFonts w:ascii="Times New Roman" w:hAnsi="Times New Roman" w:cs="Times New Roman"/>
          <w:sz w:val="28"/>
          <w:szCs w:val="28"/>
        </w:rPr>
        <w:t xml:space="preserve">Adv </w:t>
      </w:r>
      <w:r w:rsidR="005008B8">
        <w:rPr>
          <w:rFonts w:ascii="Times New Roman" w:hAnsi="Times New Roman" w:cs="Times New Roman"/>
          <w:sz w:val="28"/>
          <w:szCs w:val="28"/>
        </w:rPr>
        <w:t>L Zikalala</w:t>
      </w:r>
    </w:p>
    <w:p w14:paraId="6B511406" w14:textId="08CDC1CD" w:rsidR="004E519A" w:rsidRPr="00810967" w:rsidRDefault="00244AF7" w:rsidP="009A79D1">
      <w:pPr>
        <w:spacing w:after="120" w:line="360" w:lineRule="auto"/>
        <w:rPr>
          <w:color w:val="000000" w:themeColor="text1"/>
          <w:sz w:val="28"/>
          <w:szCs w:val="28"/>
        </w:rPr>
      </w:pPr>
      <w:r>
        <w:rPr>
          <w:rFonts w:ascii="Times New Roman" w:hAnsi="Times New Roman" w:cs="Times New Roman"/>
          <w:sz w:val="28"/>
          <w:szCs w:val="28"/>
        </w:rPr>
        <w:t>Attorneys for the 7</w:t>
      </w:r>
      <w:r w:rsidRPr="001A6188">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Malatji &amp; Co Attorneys,</w:t>
      </w:r>
      <w:r w:rsidR="004F5A1A" w:rsidRPr="00810967">
        <w:rPr>
          <w:rFonts w:ascii="Times New Roman" w:hAnsi="Times New Roman" w:cs="Times New Roman"/>
          <w:color w:val="000000" w:themeColor="text1"/>
          <w:sz w:val="28"/>
          <w:szCs w:val="28"/>
        </w:rPr>
        <w:t xml:space="preserve">  </w:t>
      </w:r>
      <w:r w:rsidR="004F5A1A" w:rsidRPr="00810967">
        <w:rPr>
          <w:rFonts w:ascii="Times New Roman" w:hAnsi="Times New Roman" w:cs="Times New Roman"/>
          <w:color w:val="000000" w:themeColor="text1"/>
          <w:sz w:val="28"/>
          <w:szCs w:val="28"/>
        </w:rPr>
        <w:tab/>
      </w:r>
      <w:r w:rsidR="004F5A1A" w:rsidRPr="00810967">
        <w:rPr>
          <w:rFonts w:ascii="Times New Roman" w:hAnsi="Times New Roman" w:cs="Times New Roman"/>
          <w:color w:val="000000" w:themeColor="text1"/>
          <w:sz w:val="28"/>
          <w:szCs w:val="28"/>
        </w:rPr>
        <w:tab/>
      </w:r>
    </w:p>
    <w:sectPr w:rsidR="004E519A" w:rsidRPr="00810967" w:rsidSect="00490036">
      <w:headerReference w:type="default" r:id="rId9"/>
      <w:pgSz w:w="11906" w:h="16838"/>
      <w:pgMar w:top="1440" w:right="1133"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F08EF2" w14:textId="77777777" w:rsidR="00490036" w:rsidRDefault="00490036" w:rsidP="001D0BCA">
      <w:pPr>
        <w:spacing w:after="0" w:line="240" w:lineRule="auto"/>
      </w:pPr>
      <w:r>
        <w:separator/>
      </w:r>
    </w:p>
  </w:endnote>
  <w:endnote w:type="continuationSeparator" w:id="0">
    <w:p w14:paraId="4CE1984C" w14:textId="77777777" w:rsidR="00490036" w:rsidRDefault="00490036" w:rsidP="001D0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107536" w14:textId="77777777" w:rsidR="00490036" w:rsidRDefault="00490036" w:rsidP="001D0BCA">
      <w:pPr>
        <w:spacing w:after="0" w:line="240" w:lineRule="auto"/>
      </w:pPr>
      <w:r>
        <w:separator/>
      </w:r>
    </w:p>
  </w:footnote>
  <w:footnote w:type="continuationSeparator" w:id="0">
    <w:p w14:paraId="3B064FFA" w14:textId="77777777" w:rsidR="00490036" w:rsidRDefault="00490036" w:rsidP="001D0BCA">
      <w:pPr>
        <w:spacing w:after="0" w:line="240" w:lineRule="auto"/>
      </w:pPr>
      <w:r>
        <w:continuationSeparator/>
      </w:r>
    </w:p>
  </w:footnote>
  <w:footnote w:id="1">
    <w:p w14:paraId="3B9E006E" w14:textId="117627F7" w:rsidR="005D6888" w:rsidRDefault="005D6888">
      <w:pPr>
        <w:pStyle w:val="FootnoteText"/>
      </w:pPr>
      <w:r>
        <w:rPr>
          <w:rStyle w:val="FootnoteReference"/>
        </w:rPr>
        <w:footnoteRef/>
      </w:r>
      <w:r>
        <w:t xml:space="preserve"> 4 of 2006.</w:t>
      </w:r>
    </w:p>
  </w:footnote>
  <w:footnote w:id="2">
    <w:p w14:paraId="0CCA0F29" w14:textId="21BC54A8" w:rsidR="00262E02" w:rsidRDefault="00262E02">
      <w:pPr>
        <w:pStyle w:val="FootnoteText"/>
      </w:pPr>
      <w:r>
        <w:rPr>
          <w:rStyle w:val="FootnoteReference"/>
        </w:rPr>
        <w:footnoteRef/>
      </w:r>
      <w:r>
        <w:t xml:space="preserve"> </w:t>
      </w:r>
      <w:r w:rsidRPr="00A106E0">
        <w:rPr>
          <w:i/>
        </w:rPr>
        <w:t>Eskom v N</w:t>
      </w:r>
      <w:r w:rsidR="00D56B03">
        <w:rPr>
          <w:i/>
        </w:rPr>
        <w:t xml:space="preserve">ERSA </w:t>
      </w:r>
      <w:r>
        <w:t xml:space="preserve"> (74870/2019) [2020] ZAGPJHC 168 (28 July 2020</w:t>
      </w:r>
      <w:r w:rsidR="00A106E0">
        <w:t>) per Kollapen J</w:t>
      </w:r>
    </w:p>
  </w:footnote>
  <w:footnote w:id="3">
    <w:p w14:paraId="1676A57F" w14:textId="2D8AA252" w:rsidR="007D0B0E" w:rsidRDefault="007D0B0E">
      <w:pPr>
        <w:pStyle w:val="FootnoteText"/>
      </w:pPr>
      <w:r>
        <w:rPr>
          <w:rStyle w:val="FootnoteReference"/>
        </w:rPr>
        <w:footnoteRef/>
      </w:r>
      <w:r>
        <w:t xml:space="preserve"> </w:t>
      </w:r>
      <w:r w:rsidRPr="007D0B0E">
        <w:rPr>
          <w:i/>
        </w:rPr>
        <w:t>Nels</w:t>
      </w:r>
      <w:r w:rsidR="00FC133B">
        <w:rPr>
          <w:i/>
        </w:rPr>
        <w:t>on Mandela Bay Business Chamber</w:t>
      </w:r>
      <w:r w:rsidRPr="007D0B0E">
        <w:rPr>
          <w:i/>
        </w:rPr>
        <w:t xml:space="preserve"> NPC &amp; Others v NERSA and Others</w:t>
      </w:r>
      <w:r>
        <w:t xml:space="preserve"> (63393/20221) [2020] ZAGPPHC (20 October 2022).</w:t>
      </w:r>
    </w:p>
  </w:footnote>
  <w:footnote w:id="4">
    <w:p w14:paraId="565829F4" w14:textId="640551D4" w:rsidR="00847884" w:rsidRDefault="00847884">
      <w:pPr>
        <w:pStyle w:val="FootnoteText"/>
      </w:pPr>
      <w:r>
        <w:rPr>
          <w:rStyle w:val="FootnoteReference"/>
        </w:rPr>
        <w:footnoteRef/>
      </w:r>
      <w:r>
        <w:t xml:space="preserve"> </w:t>
      </w:r>
      <w:r w:rsidRPr="00847884">
        <w:rPr>
          <w:i/>
        </w:rPr>
        <w:t>Minister of Justice and Constitutional Development v Southern Africa Litig</w:t>
      </w:r>
      <w:r>
        <w:rPr>
          <w:i/>
        </w:rPr>
        <w:t>ation C</w:t>
      </w:r>
      <w:r w:rsidRPr="00847884">
        <w:rPr>
          <w:i/>
        </w:rPr>
        <w:t>entre</w:t>
      </w:r>
      <w:r>
        <w:t xml:space="preserve"> 2016 (3) SA 317 (SCA) at par [24] and </w:t>
      </w:r>
      <w:proofErr w:type="spellStart"/>
      <w:r w:rsidRPr="002E4361">
        <w:rPr>
          <w:i/>
        </w:rPr>
        <w:t>Caratco</w:t>
      </w:r>
      <w:proofErr w:type="spellEnd"/>
      <w:r w:rsidRPr="002E4361">
        <w:rPr>
          <w:i/>
        </w:rPr>
        <w:t xml:space="preserve"> (Pty) Ltd v Independent Advisory (Pty) Ltd</w:t>
      </w:r>
      <w:r>
        <w:t xml:space="preserve"> 2020 (5) SA 35 (SCA).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41F902" w14:textId="71230202" w:rsidR="005D6888" w:rsidRDefault="00000000">
    <w:pPr>
      <w:pStyle w:val="Header"/>
      <w:jc w:val="center"/>
      <w:rPr>
        <w:noProof/>
      </w:rPr>
    </w:pPr>
    <w:sdt>
      <w:sdtPr>
        <w:id w:val="-102496485"/>
        <w:docPartObj>
          <w:docPartGallery w:val="Page Numbers (Top of Page)"/>
          <w:docPartUnique/>
        </w:docPartObj>
      </w:sdtPr>
      <w:sdtEndPr>
        <w:rPr>
          <w:noProof/>
        </w:rPr>
      </w:sdtEndPr>
      <w:sdtContent>
        <w:r w:rsidR="005D6888">
          <w:t>-</w:t>
        </w:r>
        <w:r w:rsidR="005D6888" w:rsidRPr="004F4E28">
          <w:rPr>
            <w:sz w:val="24"/>
            <w:szCs w:val="24"/>
          </w:rPr>
          <w:fldChar w:fldCharType="begin"/>
        </w:r>
        <w:r w:rsidR="005D6888" w:rsidRPr="004F4E28">
          <w:rPr>
            <w:sz w:val="24"/>
            <w:szCs w:val="24"/>
          </w:rPr>
          <w:instrText xml:space="preserve"> PAGE   \* MERGEFORMAT </w:instrText>
        </w:r>
        <w:r w:rsidR="005D6888" w:rsidRPr="004F4E28">
          <w:rPr>
            <w:sz w:val="24"/>
            <w:szCs w:val="24"/>
          </w:rPr>
          <w:fldChar w:fldCharType="separate"/>
        </w:r>
        <w:r w:rsidR="00FC133B">
          <w:rPr>
            <w:noProof/>
            <w:sz w:val="24"/>
            <w:szCs w:val="24"/>
          </w:rPr>
          <w:t>2</w:t>
        </w:r>
        <w:r w:rsidR="005D6888" w:rsidRPr="004F4E28">
          <w:rPr>
            <w:noProof/>
            <w:sz w:val="24"/>
            <w:szCs w:val="24"/>
          </w:rPr>
          <w:fldChar w:fldCharType="end"/>
        </w:r>
      </w:sdtContent>
    </w:sdt>
    <w:r w:rsidR="005D6888">
      <w:rPr>
        <w:noProof/>
      </w:rPr>
      <w:t>-</w:t>
    </w:r>
  </w:p>
  <w:p w14:paraId="1FFA811E" w14:textId="77777777" w:rsidR="005D6888" w:rsidRDefault="005D6888">
    <w:pPr>
      <w:pStyle w:val="Header"/>
      <w:jc w:val="center"/>
    </w:pPr>
  </w:p>
  <w:p w14:paraId="683828FF" w14:textId="77777777" w:rsidR="005D6888" w:rsidRDefault="005D68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F3F3A"/>
    <w:multiLevelType w:val="multilevel"/>
    <w:tmpl w:val="33A46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FFF62ED"/>
    <w:multiLevelType w:val="hybridMultilevel"/>
    <w:tmpl w:val="1AC2E894"/>
    <w:lvl w:ilvl="0" w:tplc="F4364430">
      <w:start w:val="34"/>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A487E6F"/>
    <w:multiLevelType w:val="hybridMultilevel"/>
    <w:tmpl w:val="7238645C"/>
    <w:lvl w:ilvl="0" w:tplc="D30E7D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F843870"/>
    <w:multiLevelType w:val="multilevel"/>
    <w:tmpl w:val="33A46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C86C8D"/>
    <w:multiLevelType w:val="hybridMultilevel"/>
    <w:tmpl w:val="7F58DFF6"/>
    <w:lvl w:ilvl="0" w:tplc="AAD67B94">
      <w:start w:val="34"/>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296C608F"/>
    <w:multiLevelType w:val="multilevel"/>
    <w:tmpl w:val="5302DA38"/>
    <w:lvl w:ilvl="0">
      <w:start w:val="3"/>
      <w:numFmt w:val="decimal"/>
      <w:lvlText w:val="%1"/>
      <w:lvlJc w:val="left"/>
      <w:pPr>
        <w:ind w:left="360" w:hanging="360"/>
      </w:pPr>
      <w:rPr>
        <w:rFonts w:hint="default"/>
      </w:rPr>
    </w:lvl>
    <w:lvl w:ilvl="1">
      <w:start w:val="1"/>
      <w:numFmt w:val="decimal"/>
      <w:lvlText w:val="%1.%2"/>
      <w:lvlJc w:val="left"/>
      <w:pPr>
        <w:ind w:left="1510" w:hanging="360"/>
      </w:pPr>
      <w:rPr>
        <w:rFonts w:hint="default"/>
      </w:rPr>
    </w:lvl>
    <w:lvl w:ilvl="2">
      <w:start w:val="1"/>
      <w:numFmt w:val="decimal"/>
      <w:lvlText w:val="%1.%2.%3"/>
      <w:lvlJc w:val="left"/>
      <w:pPr>
        <w:ind w:left="3020" w:hanging="720"/>
      </w:pPr>
      <w:rPr>
        <w:rFonts w:hint="default"/>
      </w:rPr>
    </w:lvl>
    <w:lvl w:ilvl="3">
      <w:start w:val="1"/>
      <w:numFmt w:val="decimal"/>
      <w:lvlText w:val="%1.%2.%3.%4"/>
      <w:lvlJc w:val="left"/>
      <w:pPr>
        <w:ind w:left="4530" w:hanging="1080"/>
      </w:pPr>
      <w:rPr>
        <w:rFonts w:hint="default"/>
      </w:rPr>
    </w:lvl>
    <w:lvl w:ilvl="4">
      <w:start w:val="1"/>
      <w:numFmt w:val="decimal"/>
      <w:lvlText w:val="%1.%2.%3.%4.%5"/>
      <w:lvlJc w:val="left"/>
      <w:pPr>
        <w:ind w:left="5680" w:hanging="1080"/>
      </w:pPr>
      <w:rPr>
        <w:rFonts w:hint="default"/>
      </w:rPr>
    </w:lvl>
    <w:lvl w:ilvl="5">
      <w:start w:val="1"/>
      <w:numFmt w:val="decimal"/>
      <w:lvlText w:val="%1.%2.%3.%4.%5.%6"/>
      <w:lvlJc w:val="left"/>
      <w:pPr>
        <w:ind w:left="7190" w:hanging="1440"/>
      </w:pPr>
      <w:rPr>
        <w:rFonts w:hint="default"/>
      </w:rPr>
    </w:lvl>
    <w:lvl w:ilvl="6">
      <w:start w:val="1"/>
      <w:numFmt w:val="decimal"/>
      <w:lvlText w:val="%1.%2.%3.%4.%5.%6.%7"/>
      <w:lvlJc w:val="left"/>
      <w:pPr>
        <w:ind w:left="8340" w:hanging="1440"/>
      </w:pPr>
      <w:rPr>
        <w:rFonts w:hint="default"/>
      </w:rPr>
    </w:lvl>
    <w:lvl w:ilvl="7">
      <w:start w:val="1"/>
      <w:numFmt w:val="decimal"/>
      <w:lvlText w:val="%1.%2.%3.%4.%5.%6.%7.%8"/>
      <w:lvlJc w:val="left"/>
      <w:pPr>
        <w:ind w:left="9850" w:hanging="1800"/>
      </w:pPr>
      <w:rPr>
        <w:rFonts w:hint="default"/>
      </w:rPr>
    </w:lvl>
    <w:lvl w:ilvl="8">
      <w:start w:val="1"/>
      <w:numFmt w:val="decimal"/>
      <w:lvlText w:val="%1.%2.%3.%4.%5.%6.%7.%8.%9"/>
      <w:lvlJc w:val="left"/>
      <w:pPr>
        <w:ind w:left="11360" w:hanging="2160"/>
      </w:pPr>
      <w:rPr>
        <w:rFonts w:hint="default"/>
      </w:rPr>
    </w:lvl>
  </w:abstractNum>
  <w:abstractNum w:abstractNumId="7" w15:restartNumberingAfterBreak="0">
    <w:nsid w:val="2B547C2A"/>
    <w:multiLevelType w:val="hybridMultilevel"/>
    <w:tmpl w:val="70862B40"/>
    <w:lvl w:ilvl="0" w:tplc="D30E7D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C9A3F9A"/>
    <w:multiLevelType w:val="hybridMultilevel"/>
    <w:tmpl w:val="90FCAC46"/>
    <w:lvl w:ilvl="0" w:tplc="1E9469C2">
      <w:start w:val="1"/>
      <w:numFmt w:val="lowerLetter"/>
      <w:lvlText w:val="(%1)"/>
      <w:lvlJc w:val="left"/>
      <w:pPr>
        <w:ind w:left="28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D2801FC"/>
    <w:multiLevelType w:val="multilevel"/>
    <w:tmpl w:val="9FCCFC5A"/>
    <w:lvl w:ilvl="0">
      <w:start w:val="33"/>
      <w:numFmt w:val="decimal"/>
      <w:lvlText w:val="%1"/>
      <w:lvlJc w:val="left"/>
      <w:pPr>
        <w:ind w:left="490" w:hanging="490"/>
      </w:pPr>
      <w:rPr>
        <w:rFonts w:hint="default"/>
      </w:rPr>
    </w:lvl>
    <w:lvl w:ilvl="1">
      <w:start w:val="1"/>
      <w:numFmt w:val="decimal"/>
      <w:lvlText w:val="%1.%2"/>
      <w:lvlJc w:val="left"/>
      <w:pPr>
        <w:ind w:left="2290" w:hanging="49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0" w15:restartNumberingAfterBreak="0">
    <w:nsid w:val="2E6A477C"/>
    <w:multiLevelType w:val="multilevel"/>
    <w:tmpl w:val="59243720"/>
    <w:lvl w:ilvl="0">
      <w:start w:val="2"/>
      <w:numFmt w:val="decimal"/>
      <w:lvlText w:val="%1"/>
      <w:lvlJc w:val="left"/>
      <w:pPr>
        <w:ind w:left="360" w:hanging="360"/>
      </w:pPr>
      <w:rPr>
        <w:rFonts w:hint="default"/>
      </w:rPr>
    </w:lvl>
    <w:lvl w:ilvl="1">
      <w:start w:val="1"/>
      <w:numFmt w:val="decimal"/>
      <w:lvlText w:val="%1.%2"/>
      <w:lvlJc w:val="left"/>
      <w:pPr>
        <w:ind w:left="1510" w:hanging="360"/>
      </w:pPr>
      <w:rPr>
        <w:rFonts w:hint="default"/>
      </w:rPr>
    </w:lvl>
    <w:lvl w:ilvl="2">
      <w:start w:val="1"/>
      <w:numFmt w:val="decimal"/>
      <w:lvlText w:val="%1.%2.%3"/>
      <w:lvlJc w:val="left"/>
      <w:pPr>
        <w:ind w:left="3020" w:hanging="720"/>
      </w:pPr>
      <w:rPr>
        <w:rFonts w:hint="default"/>
      </w:rPr>
    </w:lvl>
    <w:lvl w:ilvl="3">
      <w:start w:val="1"/>
      <w:numFmt w:val="decimal"/>
      <w:lvlText w:val="%1.%2.%3.%4"/>
      <w:lvlJc w:val="left"/>
      <w:pPr>
        <w:ind w:left="4530" w:hanging="1080"/>
      </w:pPr>
      <w:rPr>
        <w:rFonts w:hint="default"/>
      </w:rPr>
    </w:lvl>
    <w:lvl w:ilvl="4">
      <w:start w:val="1"/>
      <w:numFmt w:val="decimal"/>
      <w:lvlText w:val="%1.%2.%3.%4.%5"/>
      <w:lvlJc w:val="left"/>
      <w:pPr>
        <w:ind w:left="5680" w:hanging="1080"/>
      </w:pPr>
      <w:rPr>
        <w:rFonts w:hint="default"/>
      </w:rPr>
    </w:lvl>
    <w:lvl w:ilvl="5">
      <w:start w:val="1"/>
      <w:numFmt w:val="decimal"/>
      <w:lvlText w:val="%1.%2.%3.%4.%5.%6"/>
      <w:lvlJc w:val="left"/>
      <w:pPr>
        <w:ind w:left="7190" w:hanging="1440"/>
      </w:pPr>
      <w:rPr>
        <w:rFonts w:hint="default"/>
      </w:rPr>
    </w:lvl>
    <w:lvl w:ilvl="6">
      <w:start w:val="1"/>
      <w:numFmt w:val="decimal"/>
      <w:lvlText w:val="%1.%2.%3.%4.%5.%6.%7"/>
      <w:lvlJc w:val="left"/>
      <w:pPr>
        <w:ind w:left="8340" w:hanging="1440"/>
      </w:pPr>
      <w:rPr>
        <w:rFonts w:hint="default"/>
      </w:rPr>
    </w:lvl>
    <w:lvl w:ilvl="7">
      <w:start w:val="1"/>
      <w:numFmt w:val="decimal"/>
      <w:lvlText w:val="%1.%2.%3.%4.%5.%6.%7.%8"/>
      <w:lvlJc w:val="left"/>
      <w:pPr>
        <w:ind w:left="9850" w:hanging="1800"/>
      </w:pPr>
      <w:rPr>
        <w:rFonts w:hint="default"/>
      </w:rPr>
    </w:lvl>
    <w:lvl w:ilvl="8">
      <w:start w:val="1"/>
      <w:numFmt w:val="decimal"/>
      <w:lvlText w:val="%1.%2.%3.%4.%5.%6.%7.%8.%9"/>
      <w:lvlJc w:val="left"/>
      <w:pPr>
        <w:ind w:left="11360" w:hanging="2160"/>
      </w:pPr>
      <w:rPr>
        <w:rFonts w:hint="default"/>
      </w:rPr>
    </w:lvl>
  </w:abstractNum>
  <w:abstractNum w:abstractNumId="11" w15:restartNumberingAfterBreak="0">
    <w:nsid w:val="302A71B5"/>
    <w:multiLevelType w:val="multilevel"/>
    <w:tmpl w:val="1DE4FF7A"/>
    <w:lvl w:ilvl="0">
      <w:start w:val="22"/>
      <w:numFmt w:val="decimal"/>
      <w:lvlText w:val="%1"/>
      <w:lvlJc w:val="left"/>
      <w:pPr>
        <w:ind w:left="490" w:hanging="490"/>
      </w:pPr>
      <w:rPr>
        <w:rFonts w:hint="default"/>
      </w:rPr>
    </w:lvl>
    <w:lvl w:ilvl="1">
      <w:start w:val="1"/>
      <w:numFmt w:val="decimal"/>
      <w:lvlText w:val="%1.%2"/>
      <w:lvlJc w:val="left"/>
      <w:pPr>
        <w:ind w:left="1210" w:hanging="4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309D4287"/>
    <w:multiLevelType w:val="hybridMultilevel"/>
    <w:tmpl w:val="D64E151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1A42F4E"/>
    <w:multiLevelType w:val="multilevel"/>
    <w:tmpl w:val="16F8A29A"/>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4" w15:restartNumberingAfterBreak="0">
    <w:nsid w:val="32343E50"/>
    <w:multiLevelType w:val="hybridMultilevel"/>
    <w:tmpl w:val="67B28E8E"/>
    <w:lvl w:ilvl="0" w:tplc="D30E7D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61D2DA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9C0A55"/>
    <w:multiLevelType w:val="hybridMultilevel"/>
    <w:tmpl w:val="E346B31A"/>
    <w:lvl w:ilvl="0" w:tplc="9C3C2EC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A075187"/>
    <w:multiLevelType w:val="multilevel"/>
    <w:tmpl w:val="2222DCDE"/>
    <w:lvl w:ilvl="0">
      <w:start w:val="1"/>
      <w:numFmt w:val="decimal"/>
      <w:lvlText w:val="%1."/>
      <w:lvlJc w:val="left"/>
      <w:pPr>
        <w:ind w:left="720" w:hanging="360"/>
      </w:pPr>
    </w:lvl>
    <w:lvl w:ilvl="1">
      <w:start w:val="1"/>
      <w:numFmt w:val="decimal"/>
      <w:isLgl/>
      <w:lvlText w:val="%1.%2"/>
      <w:lvlJc w:val="left"/>
      <w:pPr>
        <w:ind w:left="1424" w:hanging="780"/>
      </w:pPr>
      <w:rPr>
        <w:rFonts w:hint="default"/>
      </w:rPr>
    </w:lvl>
    <w:lvl w:ilvl="2">
      <w:start w:val="1"/>
      <w:numFmt w:val="decimal"/>
      <w:isLgl/>
      <w:lvlText w:val="%1.%2.%3"/>
      <w:lvlJc w:val="left"/>
      <w:pPr>
        <w:ind w:left="1708" w:hanging="78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3220" w:hanging="144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4148" w:hanging="1800"/>
      </w:pPr>
      <w:rPr>
        <w:rFonts w:hint="default"/>
      </w:rPr>
    </w:lvl>
    <w:lvl w:ilvl="8">
      <w:start w:val="1"/>
      <w:numFmt w:val="decimal"/>
      <w:isLgl/>
      <w:lvlText w:val="%1.%2.%3.%4.%5.%6.%7.%8.%9"/>
      <w:lvlJc w:val="left"/>
      <w:pPr>
        <w:ind w:left="4792" w:hanging="2160"/>
      </w:pPr>
      <w:rPr>
        <w:rFonts w:hint="default"/>
      </w:rPr>
    </w:lvl>
  </w:abstractNum>
  <w:abstractNum w:abstractNumId="18" w15:restartNumberingAfterBreak="0">
    <w:nsid w:val="3D4702FB"/>
    <w:multiLevelType w:val="hybridMultilevel"/>
    <w:tmpl w:val="00A6458A"/>
    <w:lvl w:ilvl="0" w:tplc="D30E7D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A33B55"/>
    <w:multiLevelType w:val="hybridMultilevel"/>
    <w:tmpl w:val="BB1CC39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392AC6"/>
    <w:multiLevelType w:val="hybridMultilevel"/>
    <w:tmpl w:val="620E29EC"/>
    <w:lvl w:ilvl="0" w:tplc="D30E7D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05B2A0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940C55"/>
    <w:multiLevelType w:val="hybridMultilevel"/>
    <w:tmpl w:val="70EEDAF8"/>
    <w:lvl w:ilvl="0" w:tplc="D30E7D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3F9600A"/>
    <w:multiLevelType w:val="hybridMultilevel"/>
    <w:tmpl w:val="46CA36B4"/>
    <w:lvl w:ilvl="0" w:tplc="D30E7D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4356154"/>
    <w:multiLevelType w:val="hybridMultilevel"/>
    <w:tmpl w:val="2C121FEA"/>
    <w:lvl w:ilvl="0" w:tplc="D30E7D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BFC4805"/>
    <w:multiLevelType w:val="hybridMultilevel"/>
    <w:tmpl w:val="52481272"/>
    <w:lvl w:ilvl="0" w:tplc="EDF0A922">
      <w:start w:val="1"/>
      <w:numFmt w:val="decimal"/>
      <w:lvlText w:val="[%1]"/>
      <w:lvlJc w:val="left"/>
      <w:pPr>
        <w:ind w:left="786" w:hanging="360"/>
      </w:pPr>
      <w:rPr>
        <w:rFonts w:hint="default"/>
        <w:i w:val="0"/>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6" w15:restartNumberingAfterBreak="0">
    <w:nsid w:val="4EBB125F"/>
    <w:multiLevelType w:val="hybridMultilevel"/>
    <w:tmpl w:val="2B5A85E0"/>
    <w:lvl w:ilvl="0" w:tplc="C0B6C1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BB2B53"/>
    <w:multiLevelType w:val="hybridMultilevel"/>
    <w:tmpl w:val="81F4DE3A"/>
    <w:lvl w:ilvl="0" w:tplc="D30E7D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96D60C7"/>
    <w:multiLevelType w:val="hybridMultilevel"/>
    <w:tmpl w:val="DC70487A"/>
    <w:lvl w:ilvl="0" w:tplc="D30E7D8C">
      <w:start w:val="1"/>
      <w:numFmt w:val="decimal"/>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9" w15:restartNumberingAfterBreak="0">
    <w:nsid w:val="5BC5607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6E2F57"/>
    <w:multiLevelType w:val="hybridMultilevel"/>
    <w:tmpl w:val="90349644"/>
    <w:lvl w:ilvl="0" w:tplc="EDF0A922">
      <w:start w:val="1"/>
      <w:numFmt w:val="decimal"/>
      <w:lvlText w:val="[%1]"/>
      <w:lvlJc w:val="left"/>
      <w:pPr>
        <w:ind w:left="786"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CC71176"/>
    <w:multiLevelType w:val="hybridMultilevel"/>
    <w:tmpl w:val="34A648AE"/>
    <w:lvl w:ilvl="0" w:tplc="2BC692B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5D706973"/>
    <w:multiLevelType w:val="hybridMultilevel"/>
    <w:tmpl w:val="4F08795E"/>
    <w:lvl w:ilvl="0" w:tplc="1E9469C2">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660D4A1A"/>
    <w:multiLevelType w:val="hybridMultilevel"/>
    <w:tmpl w:val="5A166298"/>
    <w:lvl w:ilvl="0" w:tplc="6CEAEA04">
      <w:start w:val="1"/>
      <w:numFmt w:val="decimal"/>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34" w15:restartNumberingAfterBreak="0">
    <w:nsid w:val="6ED24FFF"/>
    <w:multiLevelType w:val="hybridMultilevel"/>
    <w:tmpl w:val="4F50284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2FA3970"/>
    <w:multiLevelType w:val="hybridMultilevel"/>
    <w:tmpl w:val="99CA4356"/>
    <w:lvl w:ilvl="0" w:tplc="DEE8FD6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759641D8"/>
    <w:multiLevelType w:val="hybridMultilevel"/>
    <w:tmpl w:val="65AAA84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B361CC3"/>
    <w:multiLevelType w:val="hybridMultilevel"/>
    <w:tmpl w:val="681ED9FE"/>
    <w:lvl w:ilvl="0" w:tplc="1C09000F">
      <w:start w:val="1"/>
      <w:numFmt w:val="decimal"/>
      <w:lvlText w:val="%1."/>
      <w:lvlJc w:val="left"/>
      <w:pPr>
        <w:ind w:left="790" w:hanging="360"/>
      </w:pPr>
    </w:lvl>
    <w:lvl w:ilvl="1" w:tplc="1C090019">
      <w:start w:val="1"/>
      <w:numFmt w:val="lowerLetter"/>
      <w:lvlText w:val="%2."/>
      <w:lvlJc w:val="left"/>
      <w:pPr>
        <w:ind w:left="1510" w:hanging="360"/>
      </w:pPr>
    </w:lvl>
    <w:lvl w:ilvl="2" w:tplc="1C09001B" w:tentative="1">
      <w:start w:val="1"/>
      <w:numFmt w:val="lowerRoman"/>
      <w:lvlText w:val="%3."/>
      <w:lvlJc w:val="right"/>
      <w:pPr>
        <w:ind w:left="2230" w:hanging="180"/>
      </w:pPr>
    </w:lvl>
    <w:lvl w:ilvl="3" w:tplc="1C09000F" w:tentative="1">
      <w:start w:val="1"/>
      <w:numFmt w:val="decimal"/>
      <w:lvlText w:val="%4."/>
      <w:lvlJc w:val="left"/>
      <w:pPr>
        <w:ind w:left="2950" w:hanging="360"/>
      </w:pPr>
    </w:lvl>
    <w:lvl w:ilvl="4" w:tplc="1C090019" w:tentative="1">
      <w:start w:val="1"/>
      <w:numFmt w:val="lowerLetter"/>
      <w:lvlText w:val="%5."/>
      <w:lvlJc w:val="left"/>
      <w:pPr>
        <w:ind w:left="3670" w:hanging="360"/>
      </w:pPr>
    </w:lvl>
    <w:lvl w:ilvl="5" w:tplc="1C09001B" w:tentative="1">
      <w:start w:val="1"/>
      <w:numFmt w:val="lowerRoman"/>
      <w:lvlText w:val="%6."/>
      <w:lvlJc w:val="right"/>
      <w:pPr>
        <w:ind w:left="4390" w:hanging="180"/>
      </w:pPr>
    </w:lvl>
    <w:lvl w:ilvl="6" w:tplc="1C09000F" w:tentative="1">
      <w:start w:val="1"/>
      <w:numFmt w:val="decimal"/>
      <w:lvlText w:val="%7."/>
      <w:lvlJc w:val="left"/>
      <w:pPr>
        <w:ind w:left="5110" w:hanging="360"/>
      </w:pPr>
    </w:lvl>
    <w:lvl w:ilvl="7" w:tplc="1C090019" w:tentative="1">
      <w:start w:val="1"/>
      <w:numFmt w:val="lowerLetter"/>
      <w:lvlText w:val="%8."/>
      <w:lvlJc w:val="left"/>
      <w:pPr>
        <w:ind w:left="5830" w:hanging="360"/>
      </w:pPr>
    </w:lvl>
    <w:lvl w:ilvl="8" w:tplc="1C09001B" w:tentative="1">
      <w:start w:val="1"/>
      <w:numFmt w:val="lowerRoman"/>
      <w:lvlText w:val="%9."/>
      <w:lvlJc w:val="right"/>
      <w:pPr>
        <w:ind w:left="6550" w:hanging="180"/>
      </w:pPr>
    </w:lvl>
  </w:abstractNum>
  <w:abstractNum w:abstractNumId="38" w15:restartNumberingAfterBreak="0">
    <w:nsid w:val="7B7D3D2C"/>
    <w:multiLevelType w:val="hybridMultilevel"/>
    <w:tmpl w:val="4F08795E"/>
    <w:lvl w:ilvl="0" w:tplc="1E9469C2">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7CBF7EE3"/>
    <w:multiLevelType w:val="hybridMultilevel"/>
    <w:tmpl w:val="50AA1FA6"/>
    <w:lvl w:ilvl="0" w:tplc="D30E7D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054688219">
    <w:abstractNumId w:val="1"/>
  </w:num>
  <w:num w:numId="2" w16cid:durableId="69890448">
    <w:abstractNumId w:val="28"/>
  </w:num>
  <w:num w:numId="3" w16cid:durableId="1762600646">
    <w:abstractNumId w:val="13"/>
  </w:num>
  <w:num w:numId="4" w16cid:durableId="936642034">
    <w:abstractNumId w:val="25"/>
  </w:num>
  <w:num w:numId="5" w16cid:durableId="644508901">
    <w:abstractNumId w:val="18"/>
  </w:num>
  <w:num w:numId="6" w16cid:durableId="201787411">
    <w:abstractNumId w:val="33"/>
  </w:num>
  <w:num w:numId="7" w16cid:durableId="624585803">
    <w:abstractNumId w:val="24"/>
  </w:num>
  <w:num w:numId="8" w16cid:durableId="1264723299">
    <w:abstractNumId w:val="23"/>
  </w:num>
  <w:num w:numId="9" w16cid:durableId="679819222">
    <w:abstractNumId w:val="3"/>
  </w:num>
  <w:num w:numId="10" w16cid:durableId="460997871">
    <w:abstractNumId w:val="35"/>
  </w:num>
  <w:num w:numId="11" w16cid:durableId="1678461276">
    <w:abstractNumId w:val="29"/>
  </w:num>
  <w:num w:numId="12" w16cid:durableId="467861561">
    <w:abstractNumId w:val="11"/>
  </w:num>
  <w:num w:numId="13" w16cid:durableId="1219054439">
    <w:abstractNumId w:val="16"/>
  </w:num>
  <w:num w:numId="14" w16cid:durableId="63533520">
    <w:abstractNumId w:val="38"/>
  </w:num>
  <w:num w:numId="15" w16cid:durableId="431323869">
    <w:abstractNumId w:val="26"/>
  </w:num>
  <w:num w:numId="16" w16cid:durableId="1736008662">
    <w:abstractNumId w:val="31"/>
  </w:num>
  <w:num w:numId="17" w16cid:durableId="1516916507">
    <w:abstractNumId w:val="21"/>
  </w:num>
  <w:num w:numId="18" w16cid:durableId="1538740432">
    <w:abstractNumId w:val="12"/>
  </w:num>
  <w:num w:numId="19" w16cid:durableId="2103648248">
    <w:abstractNumId w:val="14"/>
  </w:num>
  <w:num w:numId="20" w16cid:durableId="1187402792">
    <w:abstractNumId w:val="27"/>
  </w:num>
  <w:num w:numId="21" w16cid:durableId="73477935">
    <w:abstractNumId w:val="9"/>
  </w:num>
  <w:num w:numId="22" w16cid:durableId="1654331979">
    <w:abstractNumId w:val="20"/>
  </w:num>
  <w:num w:numId="23" w16cid:durableId="1035622181">
    <w:abstractNumId w:val="30"/>
  </w:num>
  <w:num w:numId="24" w16cid:durableId="1133135944">
    <w:abstractNumId w:val="39"/>
  </w:num>
  <w:num w:numId="25" w16cid:durableId="44261539">
    <w:abstractNumId w:val="7"/>
  </w:num>
  <w:num w:numId="26" w16cid:durableId="1301501276">
    <w:abstractNumId w:val="22"/>
  </w:num>
  <w:num w:numId="27" w16cid:durableId="205143839">
    <w:abstractNumId w:val="8"/>
  </w:num>
  <w:num w:numId="28" w16cid:durableId="39675352">
    <w:abstractNumId w:val="32"/>
  </w:num>
  <w:num w:numId="29" w16cid:durableId="1627538934">
    <w:abstractNumId w:val="0"/>
    <w:lvlOverride w:ilvl="0">
      <w:startOverride w:val="34"/>
    </w:lvlOverride>
  </w:num>
  <w:num w:numId="30" w16cid:durableId="1395009380">
    <w:abstractNumId w:val="4"/>
  </w:num>
  <w:num w:numId="31" w16cid:durableId="1875192705">
    <w:abstractNumId w:val="5"/>
  </w:num>
  <w:num w:numId="32" w16cid:durableId="793400636">
    <w:abstractNumId w:val="2"/>
  </w:num>
  <w:num w:numId="33" w16cid:durableId="1558394425">
    <w:abstractNumId w:val="37"/>
  </w:num>
  <w:num w:numId="34" w16cid:durableId="1245534285">
    <w:abstractNumId w:val="10"/>
  </w:num>
  <w:num w:numId="35" w16cid:durableId="281427446">
    <w:abstractNumId w:val="34"/>
  </w:num>
  <w:num w:numId="36" w16cid:durableId="1060329021">
    <w:abstractNumId w:val="17"/>
  </w:num>
  <w:num w:numId="37" w16cid:durableId="842159138">
    <w:abstractNumId w:val="15"/>
  </w:num>
  <w:num w:numId="38" w16cid:durableId="517086953">
    <w:abstractNumId w:val="19"/>
  </w:num>
  <w:num w:numId="39" w16cid:durableId="1892496899">
    <w:abstractNumId w:val="6"/>
  </w:num>
  <w:num w:numId="40" w16cid:durableId="73848142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613"/>
    <w:rsid w:val="00006091"/>
    <w:rsid w:val="00021132"/>
    <w:rsid w:val="00023096"/>
    <w:rsid w:val="00034402"/>
    <w:rsid w:val="00040C67"/>
    <w:rsid w:val="000466C5"/>
    <w:rsid w:val="000615A3"/>
    <w:rsid w:val="00080152"/>
    <w:rsid w:val="000809CB"/>
    <w:rsid w:val="000816AF"/>
    <w:rsid w:val="000B152F"/>
    <w:rsid w:val="000C0B7E"/>
    <w:rsid w:val="00116C52"/>
    <w:rsid w:val="00120EBC"/>
    <w:rsid w:val="00127118"/>
    <w:rsid w:val="001321B0"/>
    <w:rsid w:val="00143613"/>
    <w:rsid w:val="00150932"/>
    <w:rsid w:val="0015665B"/>
    <w:rsid w:val="00156ECA"/>
    <w:rsid w:val="001937CB"/>
    <w:rsid w:val="00194B5C"/>
    <w:rsid w:val="001A6188"/>
    <w:rsid w:val="001C13E2"/>
    <w:rsid w:val="001C1F32"/>
    <w:rsid w:val="001C7A7E"/>
    <w:rsid w:val="001D0BCA"/>
    <w:rsid w:val="001D24CC"/>
    <w:rsid w:val="001E2297"/>
    <w:rsid w:val="0020545B"/>
    <w:rsid w:val="0021223F"/>
    <w:rsid w:val="002265B6"/>
    <w:rsid w:val="0023158E"/>
    <w:rsid w:val="002349E6"/>
    <w:rsid w:val="00243230"/>
    <w:rsid w:val="00244AF7"/>
    <w:rsid w:val="00261CFD"/>
    <w:rsid w:val="0026212F"/>
    <w:rsid w:val="00262E02"/>
    <w:rsid w:val="002B6D20"/>
    <w:rsid w:val="002C2EDF"/>
    <w:rsid w:val="002C579E"/>
    <w:rsid w:val="002D21DC"/>
    <w:rsid w:val="002D7881"/>
    <w:rsid w:val="002E202C"/>
    <w:rsid w:val="002E4361"/>
    <w:rsid w:val="002F4118"/>
    <w:rsid w:val="003040BC"/>
    <w:rsid w:val="003076FD"/>
    <w:rsid w:val="00317788"/>
    <w:rsid w:val="003231CA"/>
    <w:rsid w:val="0032698D"/>
    <w:rsid w:val="0033007C"/>
    <w:rsid w:val="00337A13"/>
    <w:rsid w:val="00344EAE"/>
    <w:rsid w:val="00352AB4"/>
    <w:rsid w:val="00372CE1"/>
    <w:rsid w:val="00381CE8"/>
    <w:rsid w:val="003916C8"/>
    <w:rsid w:val="00395B09"/>
    <w:rsid w:val="003C5619"/>
    <w:rsid w:val="003D74F3"/>
    <w:rsid w:val="003E70E4"/>
    <w:rsid w:val="00402A6E"/>
    <w:rsid w:val="0041482B"/>
    <w:rsid w:val="00422778"/>
    <w:rsid w:val="00422D1A"/>
    <w:rsid w:val="00431B5C"/>
    <w:rsid w:val="00442CF8"/>
    <w:rsid w:val="00453313"/>
    <w:rsid w:val="00474CF2"/>
    <w:rsid w:val="00490036"/>
    <w:rsid w:val="004A611D"/>
    <w:rsid w:val="004C1573"/>
    <w:rsid w:val="004D23FB"/>
    <w:rsid w:val="004D2B06"/>
    <w:rsid w:val="004E12EB"/>
    <w:rsid w:val="004E519A"/>
    <w:rsid w:val="004E54AC"/>
    <w:rsid w:val="004E5A0C"/>
    <w:rsid w:val="004F4E28"/>
    <w:rsid w:val="004F5A1A"/>
    <w:rsid w:val="004F6E87"/>
    <w:rsid w:val="005008B8"/>
    <w:rsid w:val="00506E02"/>
    <w:rsid w:val="005132BE"/>
    <w:rsid w:val="00514FC0"/>
    <w:rsid w:val="00516FB3"/>
    <w:rsid w:val="00526BFE"/>
    <w:rsid w:val="00535D0A"/>
    <w:rsid w:val="00537F11"/>
    <w:rsid w:val="005513F2"/>
    <w:rsid w:val="0057664D"/>
    <w:rsid w:val="005A66C6"/>
    <w:rsid w:val="005B6806"/>
    <w:rsid w:val="005D6888"/>
    <w:rsid w:val="005E32A8"/>
    <w:rsid w:val="005E6893"/>
    <w:rsid w:val="005F086E"/>
    <w:rsid w:val="005F10D6"/>
    <w:rsid w:val="005F7273"/>
    <w:rsid w:val="0060124A"/>
    <w:rsid w:val="006038A0"/>
    <w:rsid w:val="00622EA9"/>
    <w:rsid w:val="0063272D"/>
    <w:rsid w:val="0064146F"/>
    <w:rsid w:val="00644A1B"/>
    <w:rsid w:val="00650BDF"/>
    <w:rsid w:val="006725A7"/>
    <w:rsid w:val="0068518B"/>
    <w:rsid w:val="006B0256"/>
    <w:rsid w:val="006B118E"/>
    <w:rsid w:val="006C45CE"/>
    <w:rsid w:val="006C6273"/>
    <w:rsid w:val="006D42EA"/>
    <w:rsid w:val="006D430B"/>
    <w:rsid w:val="006D60A9"/>
    <w:rsid w:val="006D7FC2"/>
    <w:rsid w:val="006E1071"/>
    <w:rsid w:val="006E30B0"/>
    <w:rsid w:val="006E38FE"/>
    <w:rsid w:val="006F1708"/>
    <w:rsid w:val="006F6FC1"/>
    <w:rsid w:val="00704CB7"/>
    <w:rsid w:val="007400CD"/>
    <w:rsid w:val="007418DB"/>
    <w:rsid w:val="00746210"/>
    <w:rsid w:val="0075255C"/>
    <w:rsid w:val="00754013"/>
    <w:rsid w:val="007565EF"/>
    <w:rsid w:val="00760A41"/>
    <w:rsid w:val="0077769D"/>
    <w:rsid w:val="007874C2"/>
    <w:rsid w:val="007903B2"/>
    <w:rsid w:val="00790CFD"/>
    <w:rsid w:val="00793031"/>
    <w:rsid w:val="007C122D"/>
    <w:rsid w:val="007C6517"/>
    <w:rsid w:val="007D0B0E"/>
    <w:rsid w:val="007E45C2"/>
    <w:rsid w:val="00803516"/>
    <w:rsid w:val="00803FA5"/>
    <w:rsid w:val="00810967"/>
    <w:rsid w:val="00813A14"/>
    <w:rsid w:val="00815398"/>
    <w:rsid w:val="00817401"/>
    <w:rsid w:val="00827F36"/>
    <w:rsid w:val="008474BA"/>
    <w:rsid w:val="00847884"/>
    <w:rsid w:val="00862AF2"/>
    <w:rsid w:val="00864823"/>
    <w:rsid w:val="00864D76"/>
    <w:rsid w:val="00867FD2"/>
    <w:rsid w:val="008707A0"/>
    <w:rsid w:val="008749A3"/>
    <w:rsid w:val="008751EF"/>
    <w:rsid w:val="00881817"/>
    <w:rsid w:val="00886643"/>
    <w:rsid w:val="00891DAD"/>
    <w:rsid w:val="008B2A92"/>
    <w:rsid w:val="008E4C98"/>
    <w:rsid w:val="008F00CE"/>
    <w:rsid w:val="009063AD"/>
    <w:rsid w:val="00911671"/>
    <w:rsid w:val="00932215"/>
    <w:rsid w:val="009350C3"/>
    <w:rsid w:val="00942854"/>
    <w:rsid w:val="0095058D"/>
    <w:rsid w:val="0096123E"/>
    <w:rsid w:val="00971D71"/>
    <w:rsid w:val="0097613D"/>
    <w:rsid w:val="00982525"/>
    <w:rsid w:val="009833C4"/>
    <w:rsid w:val="00996F5A"/>
    <w:rsid w:val="00997648"/>
    <w:rsid w:val="009A79D1"/>
    <w:rsid w:val="009C6A72"/>
    <w:rsid w:val="009E28DD"/>
    <w:rsid w:val="009E458E"/>
    <w:rsid w:val="009E6C31"/>
    <w:rsid w:val="009F024D"/>
    <w:rsid w:val="00A106E0"/>
    <w:rsid w:val="00A15881"/>
    <w:rsid w:val="00A27661"/>
    <w:rsid w:val="00A27AE1"/>
    <w:rsid w:val="00A46056"/>
    <w:rsid w:val="00A501CE"/>
    <w:rsid w:val="00A644B4"/>
    <w:rsid w:val="00A72475"/>
    <w:rsid w:val="00A741F4"/>
    <w:rsid w:val="00A74EA7"/>
    <w:rsid w:val="00A81AD0"/>
    <w:rsid w:val="00A9390B"/>
    <w:rsid w:val="00AA17D0"/>
    <w:rsid w:val="00AA52E4"/>
    <w:rsid w:val="00AB5F3A"/>
    <w:rsid w:val="00AB7A78"/>
    <w:rsid w:val="00AC32A4"/>
    <w:rsid w:val="00AC5400"/>
    <w:rsid w:val="00AD5638"/>
    <w:rsid w:val="00AE13C1"/>
    <w:rsid w:val="00B03EA2"/>
    <w:rsid w:val="00B133CF"/>
    <w:rsid w:val="00B160F9"/>
    <w:rsid w:val="00B44B7E"/>
    <w:rsid w:val="00B5027C"/>
    <w:rsid w:val="00B76DB3"/>
    <w:rsid w:val="00B80550"/>
    <w:rsid w:val="00B844D4"/>
    <w:rsid w:val="00B90809"/>
    <w:rsid w:val="00B92553"/>
    <w:rsid w:val="00B94159"/>
    <w:rsid w:val="00BB180E"/>
    <w:rsid w:val="00BC75B7"/>
    <w:rsid w:val="00BC7EB5"/>
    <w:rsid w:val="00BF3C3B"/>
    <w:rsid w:val="00C04477"/>
    <w:rsid w:val="00C136B3"/>
    <w:rsid w:val="00C2587F"/>
    <w:rsid w:val="00C43FCF"/>
    <w:rsid w:val="00C50810"/>
    <w:rsid w:val="00C61155"/>
    <w:rsid w:val="00C61C3F"/>
    <w:rsid w:val="00C657CF"/>
    <w:rsid w:val="00C90DD9"/>
    <w:rsid w:val="00CA74BD"/>
    <w:rsid w:val="00CC6063"/>
    <w:rsid w:val="00CC7653"/>
    <w:rsid w:val="00CD0CA7"/>
    <w:rsid w:val="00CE133B"/>
    <w:rsid w:val="00D07FCB"/>
    <w:rsid w:val="00D41F6A"/>
    <w:rsid w:val="00D455F2"/>
    <w:rsid w:val="00D47A79"/>
    <w:rsid w:val="00D55C3C"/>
    <w:rsid w:val="00D56B03"/>
    <w:rsid w:val="00D74150"/>
    <w:rsid w:val="00D76294"/>
    <w:rsid w:val="00D85173"/>
    <w:rsid w:val="00D851DE"/>
    <w:rsid w:val="00D930F2"/>
    <w:rsid w:val="00D95A10"/>
    <w:rsid w:val="00DC0503"/>
    <w:rsid w:val="00DC4171"/>
    <w:rsid w:val="00DE5E9A"/>
    <w:rsid w:val="00E35212"/>
    <w:rsid w:val="00E44141"/>
    <w:rsid w:val="00E56716"/>
    <w:rsid w:val="00E6382E"/>
    <w:rsid w:val="00E706E6"/>
    <w:rsid w:val="00E754C8"/>
    <w:rsid w:val="00E7571E"/>
    <w:rsid w:val="00E76557"/>
    <w:rsid w:val="00E84B1D"/>
    <w:rsid w:val="00E85D83"/>
    <w:rsid w:val="00EA0A13"/>
    <w:rsid w:val="00EC3A25"/>
    <w:rsid w:val="00EC4D3D"/>
    <w:rsid w:val="00EE3BE1"/>
    <w:rsid w:val="00F06D9C"/>
    <w:rsid w:val="00F10C4F"/>
    <w:rsid w:val="00F128A4"/>
    <w:rsid w:val="00F21110"/>
    <w:rsid w:val="00F21435"/>
    <w:rsid w:val="00F43803"/>
    <w:rsid w:val="00F51149"/>
    <w:rsid w:val="00F51982"/>
    <w:rsid w:val="00F91EE4"/>
    <w:rsid w:val="00F933D7"/>
    <w:rsid w:val="00FA3DAF"/>
    <w:rsid w:val="00FC133B"/>
    <w:rsid w:val="00FC3755"/>
    <w:rsid w:val="00FE7342"/>
    <w:rsid w:val="00FF2E9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6DF63"/>
  <w15:docId w15:val="{02390F8B-3843-40D0-B884-0DA4059AD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58E"/>
    <w:rPr>
      <w:rFonts w:ascii="Tahoma" w:hAnsi="Tahoma" w:cs="Tahoma"/>
      <w:sz w:val="16"/>
      <w:szCs w:val="16"/>
    </w:rPr>
  </w:style>
  <w:style w:type="paragraph" w:customStyle="1" w:styleId="MEMONUMBERED">
    <w:name w:val="MEMO NUMBERED"/>
    <w:basedOn w:val="Normal"/>
    <w:link w:val="MEMONUMBEREDChar"/>
    <w:qFormat/>
    <w:rsid w:val="00C2587F"/>
    <w:pPr>
      <w:numPr>
        <w:numId w:val="1"/>
      </w:numPr>
      <w:spacing w:after="0" w:line="480" w:lineRule="auto"/>
      <w:jc w:val="both"/>
    </w:pPr>
    <w:rPr>
      <w:rFonts w:ascii="Times New Roman" w:eastAsia="Times New Roman" w:hAnsi="Times New Roman" w:cs="Times New Roman"/>
      <w:sz w:val="24"/>
      <w:szCs w:val="24"/>
      <w:lang w:val="en-US" w:eastAsia="en-ZA"/>
    </w:rPr>
  </w:style>
  <w:style w:type="character" w:customStyle="1" w:styleId="MEMONUMBEREDChar">
    <w:name w:val="MEMO NUMBERED Char"/>
    <w:basedOn w:val="DefaultParagraphFont"/>
    <w:link w:val="MEMONUMBERED"/>
    <w:locked/>
    <w:rsid w:val="00C2587F"/>
    <w:rPr>
      <w:rFonts w:ascii="Times New Roman" w:eastAsia="Times New Roman" w:hAnsi="Times New Roman" w:cs="Times New Roman"/>
      <w:sz w:val="24"/>
      <w:szCs w:val="24"/>
      <w:lang w:val="en-US" w:eastAsia="en-ZA"/>
    </w:rPr>
  </w:style>
  <w:style w:type="paragraph" w:styleId="FootnoteText">
    <w:name w:val="footnote text"/>
    <w:basedOn w:val="Normal"/>
    <w:link w:val="FootnoteTextChar"/>
    <w:uiPriority w:val="99"/>
    <w:unhideWhenUsed/>
    <w:rsid w:val="001D0BCA"/>
    <w:pPr>
      <w:spacing w:after="0" w:line="240" w:lineRule="auto"/>
    </w:pPr>
    <w:rPr>
      <w:sz w:val="20"/>
      <w:szCs w:val="20"/>
    </w:rPr>
  </w:style>
  <w:style w:type="character" w:customStyle="1" w:styleId="FootnoteTextChar">
    <w:name w:val="Footnote Text Char"/>
    <w:basedOn w:val="DefaultParagraphFont"/>
    <w:link w:val="FootnoteText"/>
    <w:uiPriority w:val="99"/>
    <w:rsid w:val="001D0BCA"/>
    <w:rPr>
      <w:sz w:val="20"/>
      <w:szCs w:val="20"/>
    </w:rPr>
  </w:style>
  <w:style w:type="character" w:styleId="FootnoteReference">
    <w:name w:val="footnote reference"/>
    <w:basedOn w:val="DefaultParagraphFont"/>
    <w:uiPriority w:val="99"/>
    <w:semiHidden/>
    <w:unhideWhenUsed/>
    <w:rsid w:val="001D0BCA"/>
    <w:rPr>
      <w:vertAlign w:val="superscript"/>
    </w:rPr>
  </w:style>
  <w:style w:type="paragraph" w:styleId="Header">
    <w:name w:val="header"/>
    <w:basedOn w:val="Normal"/>
    <w:link w:val="HeaderChar"/>
    <w:uiPriority w:val="99"/>
    <w:unhideWhenUsed/>
    <w:rsid w:val="00395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B09"/>
  </w:style>
  <w:style w:type="paragraph" w:styleId="Footer">
    <w:name w:val="footer"/>
    <w:basedOn w:val="Normal"/>
    <w:link w:val="FooterChar"/>
    <w:uiPriority w:val="99"/>
    <w:unhideWhenUsed/>
    <w:rsid w:val="00395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B09"/>
  </w:style>
  <w:style w:type="paragraph" w:styleId="ListParagraph">
    <w:name w:val="List Paragraph"/>
    <w:basedOn w:val="Normal"/>
    <w:uiPriority w:val="34"/>
    <w:qFormat/>
    <w:rsid w:val="00E84B1D"/>
    <w:pPr>
      <w:ind w:left="720"/>
      <w:contextualSpacing/>
    </w:pPr>
  </w:style>
  <w:style w:type="paragraph" w:customStyle="1" w:styleId="NewNormal">
    <w:name w:val="NewNormal"/>
    <w:basedOn w:val="Normal"/>
    <w:rsid w:val="00A27AE1"/>
    <w:pPr>
      <w:spacing w:after="0" w:line="240" w:lineRule="auto"/>
      <w:jc w:val="both"/>
    </w:pPr>
    <w:rPr>
      <w:rFonts w:ascii="Arial" w:eastAsia="Times New Roman" w:hAnsi="Arial" w:cs="Times New Roman"/>
      <w:sz w:val="24"/>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516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372A3-57FB-4ED1-A3EE-82E2A6F45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Rienie</dc:creator>
  <cp:lastModifiedBy>sathish sarshan  mohan</cp:lastModifiedBy>
  <cp:revision>3</cp:revision>
  <cp:lastPrinted>2024-04-03T13:52:00Z</cp:lastPrinted>
  <dcterms:created xsi:type="dcterms:W3CDTF">2024-04-03T13:53:00Z</dcterms:created>
  <dcterms:modified xsi:type="dcterms:W3CDTF">2024-04-06T15:30:00Z</dcterms:modified>
</cp:coreProperties>
</file>