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68" w:lineRule="auto" w:before="74"/>
        <w:ind w:left="3786" w:right="2571" w:hanging="1201"/>
      </w:pPr>
      <w:r>
        <w:rPr/>
        <w:t>IN THE NATIONAL CONSUMER TRIBUNAL HELD IN CENTURION</w:t>
      </w:r>
    </w:p>
    <w:p>
      <w:pPr>
        <w:pStyle w:val="BodyText"/>
        <w:rPr>
          <w:b/>
          <w:sz w:val="26"/>
        </w:rPr>
      </w:pPr>
    </w:p>
    <w:p>
      <w:pPr>
        <w:pStyle w:val="BodyText"/>
        <w:spacing w:before="9"/>
        <w:rPr>
          <w:b/>
          <w:sz w:val="30"/>
        </w:rPr>
      </w:pPr>
    </w:p>
    <w:p>
      <w:pPr>
        <w:spacing w:before="0"/>
        <w:ind w:left="5418" w:right="0" w:firstLine="0"/>
        <w:jc w:val="left"/>
        <w:rPr>
          <w:b/>
          <w:sz w:val="24"/>
        </w:rPr>
      </w:pPr>
      <w:r>
        <w:rPr>
          <w:sz w:val="24"/>
        </w:rPr>
        <w:t>Case number: </w:t>
      </w:r>
      <w:r>
        <w:rPr>
          <w:b/>
          <w:sz w:val="24"/>
        </w:rPr>
        <w:t>NCT/231628/2022/75(1)(b)</w:t>
      </w: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93"/>
        <w:ind w:left="140"/>
      </w:pPr>
      <w:r>
        <w:rPr/>
        <w:t>In the matter between:</w:t>
      </w:r>
    </w:p>
    <w:p>
      <w:pPr>
        <w:pStyle w:val="BodyText"/>
        <w:spacing w:before="8"/>
        <w:rPr>
          <w:sz w:val="32"/>
        </w:rPr>
      </w:pPr>
    </w:p>
    <w:p>
      <w:pPr>
        <w:tabs>
          <w:tab w:pos="8061" w:val="left" w:leader="none"/>
        </w:tabs>
        <w:spacing w:before="0"/>
        <w:ind w:left="140" w:right="0" w:firstLine="0"/>
        <w:jc w:val="left"/>
        <w:rPr>
          <w:sz w:val="24"/>
        </w:rPr>
      </w:pPr>
      <w:r>
        <w:rPr>
          <w:b/>
          <w:sz w:val="24"/>
        </w:rPr>
        <w:t>LIZIWE</w:t>
      </w:r>
      <w:r>
        <w:rPr>
          <w:b/>
          <w:spacing w:val="-1"/>
          <w:sz w:val="24"/>
        </w:rPr>
        <w:t> </w:t>
      </w:r>
      <w:r>
        <w:rPr>
          <w:b/>
          <w:sz w:val="24"/>
        </w:rPr>
        <w:t>PEPETA</w:t>
        <w:tab/>
      </w:r>
      <w:r>
        <w:rPr>
          <w:sz w:val="24"/>
        </w:rPr>
        <w:t>APPLICANT</w:t>
      </w:r>
    </w:p>
    <w:p>
      <w:pPr>
        <w:pStyle w:val="BodyText"/>
        <w:spacing w:before="1"/>
        <w:rPr>
          <w:sz w:val="33"/>
        </w:rPr>
      </w:pPr>
    </w:p>
    <w:p>
      <w:pPr>
        <w:pStyle w:val="BodyText"/>
        <w:ind w:left="140"/>
      </w:pPr>
      <w:r>
        <w:rPr/>
        <w:t>And</w:t>
      </w:r>
    </w:p>
    <w:p>
      <w:pPr>
        <w:pStyle w:val="BodyText"/>
        <w:spacing w:before="8"/>
        <w:rPr>
          <w:sz w:val="32"/>
        </w:rPr>
      </w:pPr>
    </w:p>
    <w:p>
      <w:pPr>
        <w:tabs>
          <w:tab w:pos="8061" w:val="left" w:leader="none"/>
        </w:tabs>
        <w:spacing w:before="1"/>
        <w:ind w:left="140" w:right="0" w:firstLine="0"/>
        <w:jc w:val="left"/>
        <w:rPr>
          <w:sz w:val="24"/>
        </w:rPr>
      </w:pPr>
      <w:r>
        <w:rPr>
          <w:b/>
          <w:sz w:val="24"/>
        </w:rPr>
        <w:t>MITCHELL MUNCK</w:t>
      </w:r>
      <w:r>
        <w:rPr>
          <w:b/>
          <w:spacing w:val="-2"/>
          <w:sz w:val="24"/>
        </w:rPr>
        <w:t> </w:t>
      </w:r>
      <w:r>
        <w:rPr>
          <w:b/>
          <w:sz w:val="24"/>
        </w:rPr>
        <w:t>(PTY) LTD</w:t>
        <w:tab/>
      </w:r>
      <w:r>
        <w:rPr>
          <w:sz w:val="24"/>
        </w:rPr>
        <w:t>RESPONDENT</w:t>
      </w:r>
    </w:p>
    <w:p>
      <w:pPr>
        <w:pStyle w:val="BodyText"/>
        <w:spacing w:before="11"/>
        <w:rPr>
          <w:sz w:val="32"/>
        </w:rPr>
      </w:pPr>
    </w:p>
    <w:p>
      <w:pPr>
        <w:spacing w:before="0"/>
        <w:ind w:left="140" w:right="0" w:firstLine="0"/>
        <w:jc w:val="left"/>
        <w:rPr>
          <w:b/>
          <w:i/>
          <w:sz w:val="24"/>
        </w:rPr>
      </w:pPr>
      <w:r>
        <w:rPr>
          <w:b/>
          <w:i/>
          <w:sz w:val="24"/>
          <w:u w:val="thick"/>
        </w:rPr>
        <w:t>Coram</w:t>
      </w:r>
    </w:p>
    <w:p>
      <w:pPr>
        <w:pStyle w:val="BodyText"/>
        <w:spacing w:before="8"/>
        <w:rPr>
          <w:b/>
          <w:i/>
        </w:rPr>
      </w:pPr>
    </w:p>
    <w:p>
      <w:pPr>
        <w:pStyle w:val="BodyText"/>
        <w:tabs>
          <w:tab w:pos="1647" w:val="left" w:leader="none"/>
        </w:tabs>
        <w:spacing w:before="93"/>
        <w:ind w:left="140"/>
      </w:pPr>
      <w:r>
        <w:rPr/>
        <w:t>Ms</w:t>
      </w:r>
      <w:r>
        <w:rPr>
          <w:spacing w:val="-1"/>
        </w:rPr>
        <w:t> </w:t>
      </w:r>
      <w:r>
        <w:rPr/>
        <w:t>H</w:t>
      </w:r>
      <w:r>
        <w:rPr>
          <w:spacing w:val="-1"/>
        </w:rPr>
        <w:t> </w:t>
      </w:r>
      <w:r>
        <w:rPr/>
        <w:t>Alwar</w:t>
        <w:tab/>
        <w:t>- Presiding Tribunal</w:t>
      </w:r>
      <w:r>
        <w:rPr>
          <w:spacing w:val="2"/>
        </w:rPr>
        <w:t> </w:t>
      </w:r>
      <w:r>
        <w:rPr/>
        <w:t>Member</w:t>
      </w:r>
    </w:p>
    <w:p>
      <w:pPr>
        <w:pStyle w:val="BodyText"/>
        <w:spacing w:before="11"/>
        <w:rPr>
          <w:sz w:val="32"/>
        </w:rPr>
      </w:pPr>
    </w:p>
    <w:p>
      <w:pPr>
        <w:pStyle w:val="BodyText"/>
        <w:tabs>
          <w:tab w:pos="4528" w:val="left" w:leader="none"/>
        </w:tabs>
        <w:spacing w:line="568" w:lineRule="auto"/>
        <w:ind w:left="140" w:right="3799"/>
      </w:pPr>
      <w:r>
        <w:rPr/>
        <w:t>Date of consideration</w:t>
      </w:r>
      <w:r>
        <w:rPr>
          <w:spacing w:val="-4"/>
        </w:rPr>
        <w:t> </w:t>
      </w:r>
      <w:r>
        <w:rPr/>
        <w:t>(in</w:t>
      </w:r>
      <w:r>
        <w:rPr>
          <w:spacing w:val="-2"/>
        </w:rPr>
        <w:t> </w:t>
      </w:r>
      <w:r>
        <w:rPr/>
        <w:t>chambers)</w:t>
        <w:tab/>
        <w:t>- 1 August 2022 Date</w:t>
      </w:r>
      <w:r>
        <w:rPr>
          <w:spacing w:val="-2"/>
        </w:rPr>
        <w:t> </w:t>
      </w:r>
      <w:r>
        <w:rPr/>
        <w:t>of</w:t>
      </w:r>
      <w:r>
        <w:rPr>
          <w:spacing w:val="-1"/>
        </w:rPr>
        <w:t> </w:t>
      </w:r>
      <w:r>
        <w:rPr/>
        <w:t>Judgment</w:t>
        <w:tab/>
        <w:t>- 2 August</w:t>
      </w:r>
      <w:r>
        <w:rPr>
          <w:spacing w:val="-6"/>
        </w:rPr>
        <w:t> </w:t>
      </w:r>
      <w:r>
        <w:rPr/>
        <w:t>2022</w:t>
      </w:r>
    </w:p>
    <w:p>
      <w:pPr>
        <w:pStyle w:val="BodyText"/>
        <w:spacing w:before="5"/>
        <w:rPr>
          <w:sz w:val="18"/>
        </w:rPr>
      </w:pPr>
      <w:r>
        <w:rPr/>
        <w:pict>
          <v:shape style="position:absolute;margin-left:54pt;margin-top:13.123042pt;width:486.65pt;height:.1pt;mso-position-horizontal-relative:page;mso-position-vertical-relative:paragraph;z-index:-251658240;mso-wrap-distance-left:0;mso-wrap-distance-right:0" coordorigin="1080,262" coordsize="9733,0" path="m1080,262l10812,262e" filled="false" stroked="true" strokeweight="1.068pt" strokecolor="#000000">
            <v:path arrowok="t"/>
            <v:stroke dashstyle="solid"/>
            <w10:wrap type="topAndBottom"/>
          </v:shape>
        </w:pict>
      </w:r>
    </w:p>
    <w:p>
      <w:pPr>
        <w:pStyle w:val="BodyText"/>
        <w:spacing w:before="5"/>
        <w:rPr>
          <w:sz w:val="22"/>
        </w:rPr>
      </w:pPr>
    </w:p>
    <w:p>
      <w:pPr>
        <w:pStyle w:val="Heading1"/>
        <w:spacing w:before="93"/>
        <w:ind w:left="2065"/>
      </w:pPr>
      <w:r>
        <w:rPr/>
        <w:t>LEAVE TO REFER JUDGMENT AND REASONS</w:t>
      </w:r>
    </w:p>
    <w:p>
      <w:pPr>
        <w:pStyle w:val="BodyText"/>
        <w:spacing w:before="4"/>
        <w:rPr>
          <w:b/>
          <w:sz w:val="18"/>
        </w:rPr>
      </w:pPr>
      <w:r>
        <w:rPr/>
        <w:pict>
          <v:shape style="position:absolute;margin-left:54pt;margin-top:13.092249pt;width:486.65pt;height:.1pt;mso-position-horizontal-relative:page;mso-position-vertical-relative:paragraph;z-index:-251657216;mso-wrap-distance-left:0;mso-wrap-distance-right:0" coordorigin="1080,262" coordsize="9733,0" path="m1080,262l10812,262e" filled="false" stroked="true" strokeweight="1.068pt" strokecolor="#000000">
            <v:path arrowok="t"/>
            <v:stroke dashstyle="solid"/>
            <w10:wrap type="topAndBottom"/>
          </v:shape>
        </w:pict>
      </w:r>
    </w:p>
    <w:p>
      <w:pPr>
        <w:pStyle w:val="BodyText"/>
        <w:spacing w:before="8"/>
        <w:rPr>
          <w:b/>
          <w:sz w:val="22"/>
        </w:rPr>
      </w:pPr>
    </w:p>
    <w:p>
      <w:pPr>
        <w:spacing w:before="92"/>
        <w:ind w:left="140" w:right="0" w:firstLine="0"/>
        <w:jc w:val="left"/>
        <w:rPr>
          <w:b/>
          <w:sz w:val="24"/>
        </w:rPr>
      </w:pPr>
      <w:r>
        <w:rPr>
          <w:b/>
          <w:sz w:val="24"/>
        </w:rPr>
        <w:t>THE PARTIES</w:t>
      </w:r>
    </w:p>
    <w:p>
      <w:pPr>
        <w:pStyle w:val="BodyText"/>
        <w:spacing w:before="9"/>
        <w:rPr>
          <w:b/>
          <w:sz w:val="32"/>
        </w:rPr>
      </w:pPr>
    </w:p>
    <w:p>
      <w:pPr>
        <w:pStyle w:val="ListParagraph"/>
        <w:numPr>
          <w:ilvl w:val="0"/>
          <w:numId w:val="1"/>
        </w:numPr>
        <w:tabs>
          <w:tab w:pos="706" w:val="left" w:leader="none"/>
          <w:tab w:pos="707" w:val="left" w:leader="none"/>
        </w:tabs>
        <w:spacing w:line="360" w:lineRule="auto" w:before="0" w:after="0"/>
        <w:ind w:left="706" w:right="134" w:hanging="567"/>
        <w:jc w:val="left"/>
        <w:rPr>
          <w:sz w:val="24"/>
        </w:rPr>
      </w:pPr>
      <w:r>
        <w:rPr>
          <w:sz w:val="24"/>
        </w:rPr>
        <w:t>The Applicant in this matter is Ms Liziwe Pepeta, a major female ("Ms Pepeta" or "the Applicant").</w:t>
      </w:r>
    </w:p>
    <w:p>
      <w:pPr>
        <w:pStyle w:val="BodyText"/>
        <w:spacing w:before="10"/>
        <w:rPr>
          <w:sz w:val="20"/>
        </w:rPr>
      </w:pPr>
    </w:p>
    <w:p>
      <w:pPr>
        <w:pStyle w:val="ListParagraph"/>
        <w:numPr>
          <w:ilvl w:val="0"/>
          <w:numId w:val="1"/>
        </w:numPr>
        <w:tabs>
          <w:tab w:pos="706" w:val="left" w:leader="none"/>
          <w:tab w:pos="707" w:val="left" w:leader="none"/>
        </w:tabs>
        <w:spacing w:line="240" w:lineRule="auto" w:before="1" w:after="0"/>
        <w:ind w:left="706" w:right="0" w:hanging="567"/>
        <w:jc w:val="left"/>
        <w:rPr>
          <w:sz w:val="24"/>
        </w:rPr>
      </w:pPr>
      <w:r>
        <w:rPr>
          <w:sz w:val="24"/>
        </w:rPr>
        <w:t>The Respondent is Mitchell Munck (Pty) Ltd, ("Mitchell Munck" or "the</w:t>
      </w:r>
      <w:r>
        <w:rPr>
          <w:spacing w:val="-17"/>
          <w:sz w:val="24"/>
        </w:rPr>
        <w:t> </w:t>
      </w:r>
      <w:r>
        <w:rPr>
          <w:sz w:val="24"/>
        </w:rPr>
        <w:t>Respondent").</w:t>
      </w:r>
    </w:p>
    <w:p>
      <w:pPr>
        <w:pStyle w:val="BodyText"/>
        <w:spacing w:before="11"/>
        <w:rPr>
          <w:sz w:val="32"/>
        </w:rPr>
      </w:pPr>
    </w:p>
    <w:p>
      <w:pPr>
        <w:pStyle w:val="Heading1"/>
      </w:pPr>
      <w:r>
        <w:rPr/>
        <w:t>APPLICATION TYPE</w:t>
      </w:r>
    </w:p>
    <w:p>
      <w:pPr>
        <w:pStyle w:val="BodyText"/>
        <w:spacing w:before="8"/>
        <w:rPr>
          <w:b/>
          <w:sz w:val="32"/>
        </w:rPr>
      </w:pPr>
    </w:p>
    <w:p>
      <w:pPr>
        <w:pStyle w:val="ListParagraph"/>
        <w:numPr>
          <w:ilvl w:val="0"/>
          <w:numId w:val="1"/>
        </w:numPr>
        <w:tabs>
          <w:tab w:pos="706" w:val="left" w:leader="none"/>
          <w:tab w:pos="707" w:val="left" w:leader="none"/>
        </w:tabs>
        <w:spacing w:line="360" w:lineRule="auto" w:before="1" w:after="0"/>
        <w:ind w:left="706" w:right="175" w:hanging="567"/>
        <w:jc w:val="left"/>
        <w:rPr>
          <w:sz w:val="24"/>
        </w:rPr>
      </w:pPr>
      <w:r>
        <w:rPr>
          <w:sz w:val="24"/>
        </w:rPr>
        <w:t>This is an application in terms of Section 75(1)(b) of the Consumer Protection Act, Act 68 of 2008 (referred to as "the</w:t>
      </w:r>
      <w:r>
        <w:rPr>
          <w:spacing w:val="-3"/>
          <w:sz w:val="24"/>
        </w:rPr>
        <w:t> </w:t>
      </w:r>
      <w:r>
        <w:rPr>
          <w:sz w:val="24"/>
        </w:rPr>
        <w:t>CPA").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52.560001pt;margin-top:10.135181pt;width:490.3pt;height:.1pt;mso-position-horizontal-relative:page;mso-position-vertical-relative:paragraph;z-index:-251656192;mso-wrap-distance-left:0;mso-wrap-distance-right:0" coordorigin="1051,203" coordsize="9806,0" path="m1051,203l10857,203e" filled="false" stroked="true" strokeweight="1.44pt" strokecolor="#000000">
            <v:path arrowok="t"/>
            <v:stroke dashstyle="solid"/>
            <w10:wrap type="topAndBottom"/>
          </v:shape>
        </w:pict>
      </w:r>
    </w:p>
    <w:p>
      <w:pPr>
        <w:spacing w:after="0"/>
        <w:rPr>
          <w:sz w:val="12"/>
        </w:rPr>
        <w:sectPr>
          <w:footerReference w:type="default" r:id="rId5"/>
          <w:type w:val="continuous"/>
          <w:pgSz w:w="11910" w:h="16840"/>
          <w:pgMar w:footer="211" w:top="1000" w:bottom="400" w:left="940" w:right="940"/>
          <w:pgNumType w:start="1"/>
        </w:sectPr>
      </w:pPr>
    </w:p>
    <w:p>
      <w:pPr>
        <w:pStyle w:val="BodyText"/>
        <w:rPr>
          <w:sz w:val="20"/>
        </w:rPr>
      </w:pPr>
    </w:p>
    <w:p>
      <w:pPr>
        <w:pStyle w:val="BodyText"/>
        <w:spacing w:before="11"/>
        <w:rPr>
          <w:sz w:val="20"/>
        </w:rPr>
      </w:pPr>
    </w:p>
    <w:p>
      <w:pPr>
        <w:pStyle w:val="ListParagraph"/>
        <w:numPr>
          <w:ilvl w:val="0"/>
          <w:numId w:val="1"/>
        </w:numPr>
        <w:tabs>
          <w:tab w:pos="706" w:val="left" w:leader="none"/>
          <w:tab w:pos="707" w:val="left" w:leader="none"/>
        </w:tabs>
        <w:spacing w:line="240" w:lineRule="auto" w:before="92" w:after="0"/>
        <w:ind w:left="706" w:right="0" w:hanging="567"/>
        <w:jc w:val="left"/>
        <w:rPr>
          <w:sz w:val="24"/>
        </w:rPr>
      </w:pPr>
      <w:r>
        <w:rPr>
          <w:sz w:val="24"/>
        </w:rPr>
        <w:t>Section 75(1) of the CPA states the following</w:t>
      </w:r>
      <w:r>
        <w:rPr>
          <w:spacing w:val="-5"/>
          <w:sz w:val="24"/>
        </w:rPr>
        <w:t> </w:t>
      </w:r>
      <w:r>
        <w:rPr>
          <w:sz w:val="24"/>
        </w:rPr>
        <w:t>–</w:t>
      </w:r>
    </w:p>
    <w:p>
      <w:pPr>
        <w:pStyle w:val="BodyText"/>
        <w:rPr>
          <w:sz w:val="33"/>
        </w:rPr>
      </w:pPr>
    </w:p>
    <w:p>
      <w:pPr>
        <w:spacing w:line="360" w:lineRule="auto" w:before="0"/>
        <w:ind w:left="706" w:right="137" w:firstLine="0"/>
        <w:jc w:val="both"/>
        <w:rPr>
          <w:i/>
          <w:sz w:val="24"/>
        </w:rPr>
      </w:pPr>
      <w:r>
        <w:rPr>
          <w:i/>
          <w:sz w:val="24"/>
        </w:rPr>
        <w:t>"If</w:t>
      </w:r>
      <w:r>
        <w:rPr>
          <w:i/>
          <w:spacing w:val="-11"/>
          <w:sz w:val="24"/>
        </w:rPr>
        <w:t> </w:t>
      </w:r>
      <w:r>
        <w:rPr>
          <w:i/>
          <w:sz w:val="24"/>
        </w:rPr>
        <w:t>the</w:t>
      </w:r>
      <w:r>
        <w:rPr>
          <w:i/>
          <w:spacing w:val="-12"/>
          <w:sz w:val="24"/>
        </w:rPr>
        <w:t> </w:t>
      </w:r>
      <w:r>
        <w:rPr>
          <w:i/>
          <w:sz w:val="24"/>
        </w:rPr>
        <w:t>Commission</w:t>
      </w:r>
      <w:r>
        <w:rPr>
          <w:i/>
          <w:spacing w:val="-10"/>
          <w:sz w:val="24"/>
        </w:rPr>
        <w:t> </w:t>
      </w:r>
      <w:r>
        <w:rPr>
          <w:i/>
          <w:sz w:val="24"/>
        </w:rPr>
        <w:t>issues</w:t>
      </w:r>
      <w:r>
        <w:rPr>
          <w:i/>
          <w:spacing w:val="-12"/>
          <w:sz w:val="24"/>
        </w:rPr>
        <w:t> </w:t>
      </w:r>
      <w:r>
        <w:rPr>
          <w:i/>
          <w:sz w:val="24"/>
        </w:rPr>
        <w:t>a</w:t>
      </w:r>
      <w:r>
        <w:rPr>
          <w:i/>
          <w:spacing w:val="-12"/>
          <w:sz w:val="24"/>
        </w:rPr>
        <w:t> </w:t>
      </w:r>
      <w:r>
        <w:rPr>
          <w:i/>
          <w:sz w:val="24"/>
        </w:rPr>
        <w:t>notice</w:t>
      </w:r>
      <w:r>
        <w:rPr>
          <w:i/>
          <w:spacing w:val="-12"/>
          <w:sz w:val="24"/>
        </w:rPr>
        <w:t> </w:t>
      </w:r>
      <w:r>
        <w:rPr>
          <w:i/>
          <w:sz w:val="24"/>
        </w:rPr>
        <w:t>of</w:t>
      </w:r>
      <w:r>
        <w:rPr>
          <w:i/>
          <w:spacing w:val="-11"/>
          <w:sz w:val="24"/>
        </w:rPr>
        <w:t> </w:t>
      </w:r>
      <w:r>
        <w:rPr>
          <w:i/>
          <w:sz w:val="24"/>
        </w:rPr>
        <w:t>non-referral</w:t>
      </w:r>
      <w:r>
        <w:rPr>
          <w:i/>
          <w:spacing w:val="-11"/>
          <w:sz w:val="24"/>
        </w:rPr>
        <w:t> </w:t>
      </w:r>
      <w:r>
        <w:rPr>
          <w:i/>
          <w:sz w:val="24"/>
        </w:rPr>
        <w:t>in</w:t>
      </w:r>
      <w:r>
        <w:rPr>
          <w:i/>
          <w:spacing w:val="-10"/>
          <w:sz w:val="24"/>
        </w:rPr>
        <w:t> </w:t>
      </w:r>
      <w:r>
        <w:rPr>
          <w:i/>
          <w:sz w:val="24"/>
        </w:rPr>
        <w:t>response</w:t>
      </w:r>
      <w:r>
        <w:rPr>
          <w:i/>
          <w:spacing w:val="-13"/>
          <w:sz w:val="24"/>
        </w:rPr>
        <w:t> </w:t>
      </w:r>
      <w:r>
        <w:rPr>
          <w:i/>
          <w:sz w:val="24"/>
        </w:rPr>
        <w:t>to</w:t>
      </w:r>
      <w:r>
        <w:rPr>
          <w:i/>
          <w:spacing w:val="-12"/>
          <w:sz w:val="24"/>
        </w:rPr>
        <w:t> </w:t>
      </w:r>
      <w:r>
        <w:rPr>
          <w:i/>
          <w:sz w:val="24"/>
        </w:rPr>
        <w:t>a</w:t>
      </w:r>
      <w:r>
        <w:rPr>
          <w:i/>
          <w:spacing w:val="-10"/>
          <w:sz w:val="24"/>
        </w:rPr>
        <w:t> </w:t>
      </w:r>
      <w:r>
        <w:rPr>
          <w:i/>
          <w:sz w:val="24"/>
        </w:rPr>
        <w:t>complaint,</w:t>
      </w:r>
      <w:r>
        <w:rPr>
          <w:i/>
          <w:spacing w:val="-13"/>
          <w:sz w:val="24"/>
        </w:rPr>
        <w:t> </w:t>
      </w:r>
      <w:r>
        <w:rPr>
          <w:i/>
          <w:sz w:val="24"/>
        </w:rPr>
        <w:t>other</w:t>
      </w:r>
      <w:r>
        <w:rPr>
          <w:i/>
          <w:spacing w:val="-11"/>
          <w:sz w:val="24"/>
        </w:rPr>
        <w:t> </w:t>
      </w:r>
      <w:r>
        <w:rPr>
          <w:i/>
          <w:sz w:val="24"/>
        </w:rPr>
        <w:t>than </w:t>
      </w:r>
      <w:r>
        <w:rPr>
          <w:i/>
          <w:sz w:val="24"/>
        </w:rPr>
        <w:t>on the grounds contemplated in section 116, the complainant concerned may refer the matter directly to</w:t>
      </w:r>
      <w:r>
        <w:rPr>
          <w:i/>
          <w:spacing w:val="1"/>
          <w:sz w:val="24"/>
        </w:rPr>
        <w:t> </w:t>
      </w:r>
      <w:r>
        <w:rPr>
          <w:i/>
          <w:sz w:val="24"/>
        </w:rPr>
        <w:t>–</w:t>
      </w:r>
    </w:p>
    <w:p>
      <w:pPr>
        <w:pStyle w:val="BodyText"/>
        <w:spacing w:before="9"/>
        <w:rPr>
          <w:i/>
          <w:sz w:val="20"/>
        </w:rPr>
      </w:pPr>
    </w:p>
    <w:p>
      <w:pPr>
        <w:pStyle w:val="ListParagraph"/>
        <w:numPr>
          <w:ilvl w:val="1"/>
          <w:numId w:val="1"/>
        </w:numPr>
        <w:tabs>
          <w:tab w:pos="1580" w:val="left" w:leader="none"/>
          <w:tab w:pos="1581" w:val="left" w:leader="none"/>
        </w:tabs>
        <w:spacing w:line="240" w:lineRule="auto" w:before="0" w:after="0"/>
        <w:ind w:left="1580" w:right="0" w:hanging="875"/>
        <w:jc w:val="left"/>
        <w:rPr>
          <w:sz w:val="24"/>
        </w:rPr>
      </w:pPr>
      <w:r>
        <w:rPr>
          <w:i/>
          <w:sz w:val="24"/>
        </w:rPr>
        <w:t>…</w:t>
      </w:r>
      <w:r>
        <w:rPr>
          <w:sz w:val="24"/>
        </w:rPr>
      </w:r>
    </w:p>
    <w:p>
      <w:pPr>
        <w:pStyle w:val="BodyText"/>
        <w:spacing w:before="11"/>
        <w:rPr>
          <w:i/>
          <w:sz w:val="32"/>
        </w:rPr>
      </w:pPr>
    </w:p>
    <w:p>
      <w:pPr>
        <w:pStyle w:val="ListParagraph"/>
        <w:numPr>
          <w:ilvl w:val="1"/>
          <w:numId w:val="1"/>
        </w:numPr>
        <w:tabs>
          <w:tab w:pos="1580" w:val="left" w:leader="none"/>
          <w:tab w:pos="1581" w:val="left" w:leader="none"/>
        </w:tabs>
        <w:spacing w:line="240" w:lineRule="auto" w:before="0" w:after="0"/>
        <w:ind w:left="1580" w:right="0" w:hanging="875"/>
        <w:jc w:val="left"/>
        <w:rPr>
          <w:i/>
          <w:sz w:val="24"/>
        </w:rPr>
      </w:pPr>
      <w:r>
        <w:rPr>
          <w:i/>
          <w:sz w:val="24"/>
        </w:rPr>
        <w:t>the Tribunal, with the leave of the</w:t>
      </w:r>
      <w:r>
        <w:rPr>
          <w:i/>
          <w:spacing w:val="-6"/>
          <w:sz w:val="24"/>
        </w:rPr>
        <w:t> </w:t>
      </w:r>
      <w:r>
        <w:rPr>
          <w:i/>
          <w:sz w:val="24"/>
        </w:rPr>
        <w:t>Tribunal."</w:t>
      </w:r>
    </w:p>
    <w:p>
      <w:pPr>
        <w:pStyle w:val="BodyText"/>
        <w:spacing w:before="9"/>
        <w:rPr>
          <w:i/>
          <w:sz w:val="32"/>
        </w:rPr>
      </w:pPr>
    </w:p>
    <w:p>
      <w:pPr>
        <w:pStyle w:val="Heading1"/>
        <w:ind w:left="58" w:right="8108"/>
        <w:jc w:val="center"/>
      </w:pPr>
      <w:r>
        <w:rPr/>
        <w:t>JURISDICTION</w:t>
      </w:r>
    </w:p>
    <w:p>
      <w:pPr>
        <w:pStyle w:val="BodyText"/>
        <w:rPr>
          <w:b/>
          <w:sz w:val="33"/>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Section 75(5) of the CPA states</w:t>
      </w:r>
      <w:r>
        <w:rPr>
          <w:spacing w:val="-6"/>
          <w:sz w:val="24"/>
        </w:rPr>
        <w:t> </w:t>
      </w:r>
      <w:r>
        <w:rPr>
          <w:sz w:val="24"/>
        </w:rPr>
        <w:t>that:</w:t>
      </w:r>
    </w:p>
    <w:p>
      <w:pPr>
        <w:pStyle w:val="BodyText"/>
        <w:spacing w:before="9"/>
        <w:rPr>
          <w:sz w:val="32"/>
        </w:rPr>
      </w:pPr>
    </w:p>
    <w:p>
      <w:pPr>
        <w:spacing w:line="360" w:lineRule="auto" w:before="0"/>
        <w:ind w:left="706" w:right="138" w:firstLine="0"/>
        <w:jc w:val="both"/>
        <w:rPr>
          <w:i/>
          <w:sz w:val="24"/>
        </w:rPr>
      </w:pPr>
      <w:r>
        <w:rPr>
          <w:i/>
          <w:sz w:val="24"/>
        </w:rPr>
        <w:t>"The Chairperson of the Tribunal may assign any of the following matters arising in </w:t>
      </w:r>
      <w:r>
        <w:rPr>
          <w:i/>
          <w:sz w:val="24"/>
        </w:rPr>
        <w:t>terms of this Act to be heard by a single member of the Tribunal, in accordance with section 31(1)(a) of the National Credit Act:</w:t>
      </w:r>
    </w:p>
    <w:p>
      <w:pPr>
        <w:pStyle w:val="BodyText"/>
        <w:spacing w:before="9"/>
        <w:rPr>
          <w:i/>
          <w:sz w:val="20"/>
        </w:rPr>
      </w:pPr>
    </w:p>
    <w:p>
      <w:pPr>
        <w:spacing w:before="0"/>
        <w:ind w:left="31" w:right="8108" w:firstLine="0"/>
        <w:jc w:val="center"/>
        <w:rPr>
          <w:i/>
          <w:sz w:val="24"/>
        </w:rPr>
      </w:pPr>
      <w:r>
        <w:rPr>
          <w:i/>
          <w:sz w:val="24"/>
        </w:rPr>
        <w:t>(a)…</w:t>
      </w:r>
    </w:p>
    <w:p>
      <w:pPr>
        <w:pStyle w:val="BodyText"/>
        <w:rPr>
          <w:i/>
          <w:sz w:val="33"/>
        </w:rPr>
      </w:pPr>
    </w:p>
    <w:p>
      <w:pPr>
        <w:spacing w:before="0"/>
        <w:ind w:left="706" w:right="0" w:firstLine="0"/>
        <w:jc w:val="left"/>
        <w:rPr>
          <w:sz w:val="24"/>
        </w:rPr>
      </w:pPr>
      <w:r>
        <w:rPr>
          <w:i/>
          <w:sz w:val="24"/>
        </w:rPr>
        <w:t>(b) an application for leave as contemplated in subsection </w:t>
      </w:r>
      <w:r>
        <w:rPr>
          <w:sz w:val="24"/>
        </w:rPr>
        <w:t>(1)(b)"</w:t>
      </w:r>
    </w:p>
    <w:p>
      <w:pPr>
        <w:pStyle w:val="BodyText"/>
        <w:spacing w:before="9"/>
        <w:rPr>
          <w:sz w:val="32"/>
        </w:rPr>
      </w:pPr>
    </w:p>
    <w:p>
      <w:pPr>
        <w:pStyle w:val="ListParagraph"/>
        <w:numPr>
          <w:ilvl w:val="0"/>
          <w:numId w:val="1"/>
        </w:numPr>
        <w:tabs>
          <w:tab w:pos="707" w:val="left" w:leader="none"/>
        </w:tabs>
        <w:spacing w:line="360" w:lineRule="auto" w:before="0" w:after="0"/>
        <w:ind w:left="706" w:right="142" w:hanging="567"/>
        <w:jc w:val="both"/>
        <w:rPr>
          <w:sz w:val="24"/>
        </w:rPr>
      </w:pPr>
      <w:r>
        <w:rPr>
          <w:sz w:val="24"/>
        </w:rPr>
        <w:t>Accordingly,</w:t>
      </w:r>
      <w:r>
        <w:rPr>
          <w:spacing w:val="-7"/>
          <w:sz w:val="24"/>
        </w:rPr>
        <w:t> </w:t>
      </w:r>
      <w:r>
        <w:rPr>
          <w:sz w:val="24"/>
        </w:rPr>
        <w:t>the</w:t>
      </w:r>
      <w:r>
        <w:rPr>
          <w:spacing w:val="-3"/>
          <w:sz w:val="24"/>
        </w:rPr>
        <w:t> </w:t>
      </w:r>
      <w:r>
        <w:rPr>
          <w:sz w:val="24"/>
        </w:rPr>
        <w:t>Tribunal</w:t>
      </w:r>
      <w:r>
        <w:rPr>
          <w:spacing w:val="-5"/>
          <w:sz w:val="24"/>
        </w:rPr>
        <w:t> </w:t>
      </w:r>
      <w:r>
        <w:rPr>
          <w:sz w:val="24"/>
        </w:rPr>
        <w:t>has</w:t>
      </w:r>
      <w:r>
        <w:rPr>
          <w:spacing w:val="-3"/>
          <w:sz w:val="24"/>
        </w:rPr>
        <w:t> </w:t>
      </w:r>
      <w:r>
        <w:rPr>
          <w:sz w:val="24"/>
        </w:rPr>
        <w:t>jurisdiction</w:t>
      </w:r>
      <w:r>
        <w:rPr>
          <w:spacing w:val="-3"/>
          <w:sz w:val="24"/>
        </w:rPr>
        <w:t> </w:t>
      </w:r>
      <w:r>
        <w:rPr>
          <w:sz w:val="24"/>
        </w:rPr>
        <w:t>to</w:t>
      </w:r>
      <w:r>
        <w:rPr>
          <w:spacing w:val="-3"/>
          <w:sz w:val="24"/>
        </w:rPr>
        <w:t> </w:t>
      </w:r>
      <w:r>
        <w:rPr>
          <w:sz w:val="24"/>
        </w:rPr>
        <w:t>consider</w:t>
      </w:r>
      <w:r>
        <w:rPr>
          <w:spacing w:val="-4"/>
          <w:sz w:val="24"/>
        </w:rPr>
        <w:t> </w:t>
      </w:r>
      <w:r>
        <w:rPr>
          <w:sz w:val="24"/>
        </w:rPr>
        <w:t>this</w:t>
      </w:r>
      <w:r>
        <w:rPr>
          <w:spacing w:val="-4"/>
          <w:sz w:val="24"/>
        </w:rPr>
        <w:t> </w:t>
      </w:r>
      <w:r>
        <w:rPr>
          <w:sz w:val="24"/>
        </w:rPr>
        <w:t>application</w:t>
      </w:r>
      <w:r>
        <w:rPr>
          <w:spacing w:val="-4"/>
          <w:sz w:val="24"/>
        </w:rPr>
        <w:t> </w:t>
      </w:r>
      <w:r>
        <w:rPr>
          <w:sz w:val="24"/>
        </w:rPr>
        <w:t>for</w:t>
      </w:r>
      <w:r>
        <w:rPr>
          <w:spacing w:val="-4"/>
          <w:sz w:val="24"/>
        </w:rPr>
        <w:t> </w:t>
      </w:r>
      <w:r>
        <w:rPr>
          <w:sz w:val="24"/>
        </w:rPr>
        <w:t>leave</w:t>
      </w:r>
      <w:r>
        <w:rPr>
          <w:spacing w:val="-4"/>
          <w:sz w:val="24"/>
        </w:rPr>
        <w:t> </w:t>
      </w:r>
      <w:r>
        <w:rPr>
          <w:sz w:val="24"/>
        </w:rPr>
        <w:t>to</w:t>
      </w:r>
      <w:r>
        <w:rPr>
          <w:spacing w:val="-3"/>
          <w:sz w:val="24"/>
        </w:rPr>
        <w:t> </w:t>
      </w:r>
      <w:r>
        <w:rPr>
          <w:sz w:val="24"/>
        </w:rPr>
        <w:t>refer</w:t>
      </w:r>
      <w:r>
        <w:rPr>
          <w:spacing w:val="-4"/>
          <w:sz w:val="24"/>
        </w:rPr>
        <w:t> </w:t>
      </w:r>
      <w:r>
        <w:rPr>
          <w:sz w:val="24"/>
        </w:rPr>
        <w:t>a complaint to the Tribunal as contemplated under section</w:t>
      </w:r>
      <w:r>
        <w:rPr>
          <w:spacing w:val="-5"/>
          <w:sz w:val="24"/>
        </w:rPr>
        <w:t> </w:t>
      </w:r>
      <w:r>
        <w:rPr>
          <w:sz w:val="24"/>
        </w:rPr>
        <w:t>75(1)(b).</w:t>
      </w:r>
    </w:p>
    <w:p>
      <w:pPr>
        <w:pStyle w:val="BodyText"/>
        <w:spacing w:before="10"/>
        <w:rPr>
          <w:sz w:val="20"/>
        </w:rPr>
      </w:pPr>
    </w:p>
    <w:p>
      <w:pPr>
        <w:pStyle w:val="ListParagraph"/>
        <w:numPr>
          <w:ilvl w:val="0"/>
          <w:numId w:val="1"/>
        </w:numPr>
        <w:tabs>
          <w:tab w:pos="703" w:val="left" w:leader="none"/>
        </w:tabs>
        <w:spacing w:line="360" w:lineRule="auto" w:before="0" w:after="0"/>
        <w:ind w:left="702" w:right="136" w:hanging="563"/>
        <w:jc w:val="both"/>
        <w:rPr>
          <w:sz w:val="24"/>
        </w:rPr>
      </w:pPr>
      <w:r>
        <w:rPr>
          <w:sz w:val="24"/>
        </w:rPr>
        <w:t>A</w:t>
      </w:r>
      <w:r>
        <w:rPr>
          <w:spacing w:val="-5"/>
          <w:sz w:val="24"/>
        </w:rPr>
        <w:t> </w:t>
      </w:r>
      <w:r>
        <w:rPr>
          <w:sz w:val="24"/>
        </w:rPr>
        <w:t>single</w:t>
      </w:r>
      <w:r>
        <w:rPr>
          <w:spacing w:val="-10"/>
          <w:sz w:val="24"/>
        </w:rPr>
        <w:t> </w:t>
      </w:r>
      <w:r>
        <w:rPr>
          <w:sz w:val="24"/>
        </w:rPr>
        <w:t>member</w:t>
      </w:r>
      <w:r>
        <w:rPr>
          <w:spacing w:val="-8"/>
          <w:sz w:val="24"/>
        </w:rPr>
        <w:t> </w:t>
      </w:r>
      <w:r>
        <w:rPr>
          <w:sz w:val="24"/>
        </w:rPr>
        <w:t>of</w:t>
      </w:r>
      <w:r>
        <w:rPr>
          <w:spacing w:val="-8"/>
          <w:sz w:val="24"/>
        </w:rPr>
        <w:t> </w:t>
      </w:r>
      <w:r>
        <w:rPr>
          <w:sz w:val="24"/>
        </w:rPr>
        <w:t>the</w:t>
      </w:r>
      <w:r>
        <w:rPr>
          <w:spacing w:val="-7"/>
          <w:sz w:val="24"/>
        </w:rPr>
        <w:t> </w:t>
      </w:r>
      <w:r>
        <w:rPr>
          <w:sz w:val="24"/>
        </w:rPr>
        <w:t>Tribunal</w:t>
      </w:r>
      <w:r>
        <w:rPr>
          <w:spacing w:val="-8"/>
          <w:sz w:val="24"/>
        </w:rPr>
        <w:t> </w:t>
      </w:r>
      <w:r>
        <w:rPr>
          <w:sz w:val="24"/>
        </w:rPr>
        <w:t>may</w:t>
      </w:r>
      <w:r>
        <w:rPr>
          <w:spacing w:val="-6"/>
          <w:sz w:val="24"/>
        </w:rPr>
        <w:t> </w:t>
      </w:r>
      <w:r>
        <w:rPr>
          <w:sz w:val="24"/>
        </w:rPr>
        <w:t>consider</w:t>
      </w:r>
      <w:r>
        <w:rPr>
          <w:spacing w:val="-9"/>
          <w:sz w:val="24"/>
        </w:rPr>
        <w:t> </w:t>
      </w:r>
      <w:r>
        <w:rPr>
          <w:sz w:val="24"/>
        </w:rPr>
        <w:t>the</w:t>
      </w:r>
      <w:r>
        <w:rPr>
          <w:spacing w:val="-6"/>
          <w:sz w:val="24"/>
        </w:rPr>
        <w:t> </w:t>
      </w:r>
      <w:r>
        <w:rPr>
          <w:sz w:val="24"/>
        </w:rPr>
        <w:t>application as</w:t>
      </w:r>
      <w:r>
        <w:rPr>
          <w:spacing w:val="-8"/>
          <w:sz w:val="24"/>
        </w:rPr>
        <w:t> </w:t>
      </w:r>
      <w:r>
        <w:rPr>
          <w:sz w:val="24"/>
        </w:rPr>
        <w:t>per</w:t>
      </w:r>
      <w:r>
        <w:rPr>
          <w:spacing w:val="-7"/>
          <w:sz w:val="24"/>
        </w:rPr>
        <w:t> </w:t>
      </w:r>
      <w:r>
        <w:rPr>
          <w:sz w:val="24"/>
        </w:rPr>
        <w:t>section</w:t>
      </w:r>
      <w:r>
        <w:rPr>
          <w:spacing w:val="-7"/>
          <w:sz w:val="24"/>
        </w:rPr>
        <w:t> </w:t>
      </w:r>
      <w:r>
        <w:rPr>
          <w:sz w:val="24"/>
        </w:rPr>
        <w:t>75(5)(b)</w:t>
      </w:r>
      <w:r>
        <w:rPr>
          <w:spacing w:val="-9"/>
          <w:sz w:val="24"/>
        </w:rPr>
        <w:t> </w:t>
      </w:r>
      <w:r>
        <w:rPr>
          <w:sz w:val="24"/>
        </w:rPr>
        <w:t>of the CPA.</w:t>
      </w:r>
    </w:p>
    <w:p>
      <w:pPr>
        <w:pStyle w:val="BodyText"/>
        <w:spacing w:before="10"/>
        <w:rPr>
          <w:sz w:val="20"/>
        </w:rPr>
      </w:pPr>
    </w:p>
    <w:p>
      <w:pPr>
        <w:pStyle w:val="Heading1"/>
        <w:ind w:left="122" w:right="8108"/>
        <w:jc w:val="center"/>
      </w:pPr>
      <w:r>
        <w:rPr>
          <w:color w:val="1B1818"/>
        </w:rPr>
        <w:t>BACKGROUND</w:t>
      </w:r>
    </w:p>
    <w:p>
      <w:pPr>
        <w:pStyle w:val="BodyText"/>
        <w:rPr>
          <w:b/>
          <w:sz w:val="33"/>
        </w:rPr>
      </w:pPr>
    </w:p>
    <w:p>
      <w:pPr>
        <w:pStyle w:val="ListParagraph"/>
        <w:numPr>
          <w:ilvl w:val="0"/>
          <w:numId w:val="1"/>
        </w:numPr>
        <w:tabs>
          <w:tab w:pos="707" w:val="left" w:leader="none"/>
        </w:tabs>
        <w:spacing w:line="360" w:lineRule="auto" w:before="0" w:after="0"/>
        <w:ind w:left="706" w:right="132" w:hanging="567"/>
        <w:jc w:val="both"/>
        <w:rPr>
          <w:sz w:val="24"/>
        </w:rPr>
      </w:pPr>
      <w:r>
        <w:rPr>
          <w:sz w:val="24"/>
        </w:rPr>
        <w:t>Ms Pepeta lodged an application with the Tribunal in terms of section 75(1)(b) of the Consumer</w:t>
      </w:r>
      <w:r>
        <w:rPr>
          <w:spacing w:val="-12"/>
          <w:sz w:val="24"/>
        </w:rPr>
        <w:t> </w:t>
      </w:r>
      <w:r>
        <w:rPr>
          <w:sz w:val="24"/>
        </w:rPr>
        <w:t>Protection</w:t>
      </w:r>
      <w:r>
        <w:rPr>
          <w:spacing w:val="-12"/>
          <w:sz w:val="24"/>
        </w:rPr>
        <w:t> </w:t>
      </w:r>
      <w:r>
        <w:rPr>
          <w:sz w:val="24"/>
        </w:rPr>
        <w:t>Act</w:t>
      </w:r>
      <w:r>
        <w:rPr>
          <w:spacing w:val="-10"/>
          <w:sz w:val="24"/>
        </w:rPr>
        <w:t> </w:t>
      </w:r>
      <w:r>
        <w:rPr>
          <w:sz w:val="24"/>
        </w:rPr>
        <w:t>68</w:t>
      </w:r>
      <w:r>
        <w:rPr>
          <w:spacing w:val="-11"/>
          <w:sz w:val="24"/>
        </w:rPr>
        <w:t> </w:t>
      </w:r>
      <w:r>
        <w:rPr>
          <w:sz w:val="24"/>
        </w:rPr>
        <w:t>of</w:t>
      </w:r>
      <w:r>
        <w:rPr>
          <w:spacing w:val="-10"/>
          <w:sz w:val="24"/>
        </w:rPr>
        <w:t> </w:t>
      </w:r>
      <w:r>
        <w:rPr>
          <w:sz w:val="24"/>
        </w:rPr>
        <w:t>2008</w:t>
      </w:r>
      <w:r>
        <w:rPr>
          <w:spacing w:val="-11"/>
          <w:sz w:val="24"/>
        </w:rPr>
        <w:t> </w:t>
      </w:r>
      <w:r>
        <w:rPr>
          <w:sz w:val="24"/>
        </w:rPr>
        <w:t>("the</w:t>
      </w:r>
      <w:r>
        <w:rPr>
          <w:spacing w:val="-10"/>
          <w:sz w:val="24"/>
        </w:rPr>
        <w:t> </w:t>
      </w:r>
      <w:r>
        <w:rPr>
          <w:sz w:val="24"/>
        </w:rPr>
        <w:t>CPA").</w:t>
      </w:r>
      <w:r>
        <w:rPr>
          <w:spacing w:val="-11"/>
          <w:sz w:val="24"/>
        </w:rPr>
        <w:t> </w:t>
      </w:r>
      <w:r>
        <w:rPr>
          <w:sz w:val="24"/>
        </w:rPr>
        <w:t>Ms</w:t>
      </w:r>
      <w:r>
        <w:rPr>
          <w:spacing w:val="-9"/>
          <w:sz w:val="24"/>
        </w:rPr>
        <w:t> </w:t>
      </w:r>
      <w:r>
        <w:rPr>
          <w:sz w:val="24"/>
        </w:rPr>
        <w:t>Pepeta</w:t>
      </w:r>
      <w:r>
        <w:rPr>
          <w:spacing w:val="-9"/>
          <w:sz w:val="24"/>
        </w:rPr>
        <w:t> </w:t>
      </w:r>
      <w:r>
        <w:rPr>
          <w:sz w:val="24"/>
        </w:rPr>
        <w:t>submitted</w:t>
      </w:r>
      <w:r>
        <w:rPr>
          <w:spacing w:val="-10"/>
          <w:sz w:val="24"/>
        </w:rPr>
        <w:t> </w:t>
      </w:r>
      <w:r>
        <w:rPr>
          <w:sz w:val="24"/>
        </w:rPr>
        <w:t>that</w:t>
      </w:r>
      <w:r>
        <w:rPr>
          <w:spacing w:val="-11"/>
          <w:sz w:val="24"/>
        </w:rPr>
        <w:t> </w:t>
      </w:r>
      <w:r>
        <w:rPr>
          <w:sz w:val="24"/>
        </w:rPr>
        <w:t>on</w:t>
      </w:r>
      <w:r>
        <w:rPr>
          <w:spacing w:val="-10"/>
          <w:sz w:val="24"/>
        </w:rPr>
        <w:t> </w:t>
      </w:r>
      <w:r>
        <w:rPr>
          <w:sz w:val="24"/>
        </w:rPr>
        <w:t>or</w:t>
      </w:r>
      <w:r>
        <w:rPr>
          <w:spacing w:val="-9"/>
          <w:sz w:val="24"/>
        </w:rPr>
        <w:t> </w:t>
      </w:r>
      <w:r>
        <w:rPr>
          <w:sz w:val="24"/>
        </w:rPr>
        <w:t>about November</w:t>
      </w:r>
      <w:r>
        <w:rPr>
          <w:spacing w:val="-8"/>
          <w:sz w:val="24"/>
        </w:rPr>
        <w:t> </w:t>
      </w:r>
      <w:r>
        <w:rPr>
          <w:sz w:val="24"/>
        </w:rPr>
        <w:t>2018,</w:t>
      </w:r>
      <w:r>
        <w:rPr>
          <w:spacing w:val="-7"/>
          <w:sz w:val="24"/>
        </w:rPr>
        <w:t> </w:t>
      </w:r>
      <w:r>
        <w:rPr>
          <w:sz w:val="24"/>
        </w:rPr>
        <w:t>she</w:t>
      </w:r>
      <w:r>
        <w:rPr>
          <w:spacing w:val="-6"/>
          <w:sz w:val="24"/>
        </w:rPr>
        <w:t> </w:t>
      </w:r>
      <w:r>
        <w:rPr>
          <w:sz w:val="24"/>
        </w:rPr>
        <w:t>purchased</w:t>
      </w:r>
      <w:r>
        <w:rPr>
          <w:spacing w:val="-5"/>
          <w:sz w:val="24"/>
        </w:rPr>
        <w:t> </w:t>
      </w:r>
      <w:r>
        <w:rPr>
          <w:sz w:val="24"/>
        </w:rPr>
        <w:t>a</w:t>
      </w:r>
      <w:r>
        <w:rPr>
          <w:spacing w:val="-5"/>
          <w:sz w:val="24"/>
        </w:rPr>
        <w:t> </w:t>
      </w:r>
      <w:r>
        <w:rPr>
          <w:sz w:val="24"/>
        </w:rPr>
        <w:t>sheep</w:t>
      </w:r>
      <w:r>
        <w:rPr>
          <w:spacing w:val="-6"/>
          <w:sz w:val="24"/>
        </w:rPr>
        <w:t> </w:t>
      </w:r>
      <w:r>
        <w:rPr>
          <w:sz w:val="24"/>
        </w:rPr>
        <w:t>head</w:t>
      </w:r>
      <w:r>
        <w:rPr>
          <w:spacing w:val="-3"/>
          <w:sz w:val="24"/>
        </w:rPr>
        <w:t> </w:t>
      </w:r>
      <w:r>
        <w:rPr>
          <w:sz w:val="24"/>
        </w:rPr>
        <w:t>dehairing</w:t>
      </w:r>
      <w:r>
        <w:rPr>
          <w:spacing w:val="-6"/>
          <w:sz w:val="24"/>
        </w:rPr>
        <w:t> </w:t>
      </w:r>
      <w:r>
        <w:rPr>
          <w:sz w:val="24"/>
        </w:rPr>
        <w:t>machine</w:t>
      </w:r>
      <w:r>
        <w:rPr>
          <w:spacing w:val="-5"/>
          <w:sz w:val="24"/>
        </w:rPr>
        <w:t> </w:t>
      </w:r>
      <w:r>
        <w:rPr>
          <w:sz w:val="24"/>
        </w:rPr>
        <w:t>("the</w:t>
      </w:r>
      <w:r>
        <w:rPr>
          <w:spacing w:val="-7"/>
          <w:sz w:val="24"/>
        </w:rPr>
        <w:t> </w:t>
      </w:r>
      <w:r>
        <w:rPr>
          <w:sz w:val="24"/>
        </w:rPr>
        <w:t>machine")</w:t>
      </w:r>
      <w:r>
        <w:rPr>
          <w:spacing w:val="-5"/>
          <w:sz w:val="24"/>
        </w:rPr>
        <w:t> </w:t>
      </w:r>
      <w:r>
        <w:rPr>
          <w:sz w:val="24"/>
        </w:rPr>
        <w:t>from the Respondent. She alleged that when the machine arrived, it (the machine) was not working. Ms Pepeta averred that she immediately informed the Respondent that the machine was not working. According to Ms Pepeta, the Respondent advised her that she (Ms Pepeta) needed to purchase a scalding tank as well for the machine to work. After purchasing the scalding tank, the machine still failed to work. Ms Pepeta was in constant discussions with the Respondent to have the machine replaced. The Respondent failed to assist Ms Pepeta in resolving the</w:t>
      </w:r>
      <w:r>
        <w:rPr>
          <w:spacing w:val="-1"/>
          <w:sz w:val="24"/>
        </w:rPr>
        <w:t> </w:t>
      </w:r>
      <w:r>
        <w:rPr>
          <w:sz w:val="24"/>
        </w:rPr>
        <w:t>matter.</w:t>
      </w:r>
    </w:p>
    <w:p>
      <w:pPr>
        <w:spacing w:after="0" w:line="360" w:lineRule="auto"/>
        <w:jc w:val="both"/>
        <w:rPr>
          <w:sz w:val="24"/>
        </w:rPr>
        <w:sectPr>
          <w:headerReference w:type="default" r:id="rId6"/>
          <w:footerReference w:type="default" r:id="rId7"/>
          <w:pgSz w:w="11910" w:h="16840"/>
          <w:pgMar w:header="554" w:footer="274" w:top="1300" w:bottom="460" w:left="940" w:right="940"/>
          <w:pgNumType w:start="2"/>
        </w:sectPr>
      </w:pPr>
    </w:p>
    <w:p>
      <w:pPr>
        <w:pStyle w:val="BodyText"/>
        <w:rPr>
          <w:sz w:val="20"/>
        </w:rPr>
      </w:pPr>
    </w:p>
    <w:p>
      <w:pPr>
        <w:pStyle w:val="BodyText"/>
        <w:spacing w:before="11"/>
        <w:rPr>
          <w:sz w:val="20"/>
        </w:rPr>
      </w:pPr>
    </w:p>
    <w:p>
      <w:pPr>
        <w:pStyle w:val="ListParagraph"/>
        <w:numPr>
          <w:ilvl w:val="0"/>
          <w:numId w:val="1"/>
        </w:numPr>
        <w:tabs>
          <w:tab w:pos="707" w:val="left" w:leader="none"/>
        </w:tabs>
        <w:spacing w:line="360" w:lineRule="auto" w:before="92" w:after="0"/>
        <w:ind w:left="706" w:right="137" w:hanging="567"/>
        <w:jc w:val="both"/>
        <w:rPr>
          <w:sz w:val="24"/>
        </w:rPr>
      </w:pPr>
      <w:r>
        <w:rPr>
          <w:sz w:val="24"/>
        </w:rPr>
        <w:t>Ms Pepeta lodged complaints with the Consumer Goods and Services Ombudsman and the National Consumer Commission (NCC). She received a Notice of non-referral from the NCC dated 18 May 2022. She is requesting leave from the Tribunal to hear her dispute with Mitchell Munck.</w:t>
      </w:r>
    </w:p>
    <w:p>
      <w:pPr>
        <w:pStyle w:val="BodyText"/>
        <w:spacing w:before="10"/>
        <w:rPr>
          <w:sz w:val="20"/>
        </w:rPr>
      </w:pPr>
    </w:p>
    <w:p>
      <w:pPr>
        <w:pStyle w:val="ListParagraph"/>
        <w:numPr>
          <w:ilvl w:val="0"/>
          <w:numId w:val="1"/>
        </w:numPr>
        <w:tabs>
          <w:tab w:pos="707" w:val="left" w:leader="none"/>
        </w:tabs>
        <w:spacing w:line="360" w:lineRule="auto" w:before="0" w:after="0"/>
        <w:ind w:left="706" w:right="134" w:hanging="567"/>
        <w:jc w:val="both"/>
        <w:rPr>
          <w:sz w:val="24"/>
        </w:rPr>
      </w:pPr>
      <w:r>
        <w:rPr>
          <w:color w:val="1B1818"/>
          <w:sz w:val="24"/>
        </w:rPr>
        <w:t>On 15 June 2022, Ms Pepeta filed her application with the Tribunal and served the application on the Respondent on 11 June 2022 via registered</w:t>
      </w:r>
      <w:r>
        <w:rPr>
          <w:color w:val="1B1818"/>
          <w:spacing w:val="-6"/>
          <w:sz w:val="24"/>
        </w:rPr>
        <w:t> </w:t>
      </w:r>
      <w:r>
        <w:rPr>
          <w:color w:val="1B1818"/>
          <w:sz w:val="24"/>
        </w:rPr>
        <w:t>mail.</w:t>
      </w:r>
    </w:p>
    <w:p>
      <w:pPr>
        <w:pStyle w:val="BodyText"/>
        <w:spacing w:before="10"/>
        <w:rPr>
          <w:sz w:val="20"/>
        </w:rPr>
      </w:pPr>
    </w:p>
    <w:p>
      <w:pPr>
        <w:pStyle w:val="Heading1"/>
      </w:pPr>
      <w:r>
        <w:rPr>
          <w:color w:val="1B1818"/>
        </w:rPr>
        <w:t>APPLICATION FOR LEAVE</w:t>
      </w:r>
    </w:p>
    <w:p>
      <w:pPr>
        <w:pStyle w:val="BodyText"/>
        <w:spacing w:before="1"/>
        <w:rPr>
          <w:b/>
          <w:sz w:val="33"/>
        </w:rPr>
      </w:pPr>
    </w:p>
    <w:p>
      <w:pPr>
        <w:pStyle w:val="ListParagraph"/>
        <w:numPr>
          <w:ilvl w:val="0"/>
          <w:numId w:val="1"/>
        </w:numPr>
        <w:tabs>
          <w:tab w:pos="707" w:val="left" w:leader="none"/>
        </w:tabs>
        <w:spacing w:line="360" w:lineRule="auto" w:before="0" w:after="0"/>
        <w:ind w:left="706" w:right="138" w:hanging="567"/>
        <w:jc w:val="both"/>
        <w:rPr>
          <w:i/>
          <w:sz w:val="24"/>
        </w:rPr>
      </w:pPr>
      <w:r>
        <w:rPr>
          <w:sz w:val="24"/>
        </w:rPr>
        <w:t>In</w:t>
      </w:r>
      <w:r>
        <w:rPr>
          <w:spacing w:val="-2"/>
          <w:sz w:val="24"/>
        </w:rPr>
        <w:t> </w:t>
      </w:r>
      <w:r>
        <w:rPr>
          <w:sz w:val="24"/>
        </w:rPr>
        <w:t>terms</w:t>
      </w:r>
      <w:r>
        <w:rPr>
          <w:spacing w:val="-6"/>
          <w:sz w:val="24"/>
        </w:rPr>
        <w:t> </w:t>
      </w:r>
      <w:r>
        <w:rPr>
          <w:sz w:val="24"/>
        </w:rPr>
        <w:t>of</w:t>
      </w:r>
      <w:r>
        <w:rPr>
          <w:spacing w:val="-3"/>
          <w:sz w:val="24"/>
        </w:rPr>
        <w:t> </w:t>
      </w:r>
      <w:r>
        <w:rPr>
          <w:sz w:val="24"/>
        </w:rPr>
        <w:t>section 75(1)(b)</w:t>
      </w:r>
      <w:r>
        <w:rPr>
          <w:spacing w:val="-4"/>
          <w:sz w:val="24"/>
        </w:rPr>
        <w:t> </w:t>
      </w:r>
      <w:r>
        <w:rPr>
          <w:sz w:val="24"/>
        </w:rPr>
        <w:t>of</w:t>
      </w:r>
      <w:r>
        <w:rPr>
          <w:spacing w:val="-3"/>
          <w:sz w:val="24"/>
        </w:rPr>
        <w:t> </w:t>
      </w:r>
      <w:r>
        <w:rPr>
          <w:sz w:val="24"/>
        </w:rPr>
        <w:t>the</w:t>
      </w:r>
      <w:r>
        <w:rPr>
          <w:spacing w:val="-2"/>
          <w:sz w:val="24"/>
        </w:rPr>
        <w:t> </w:t>
      </w:r>
      <w:r>
        <w:rPr>
          <w:sz w:val="24"/>
        </w:rPr>
        <w:t>NCA,</w:t>
      </w:r>
      <w:r>
        <w:rPr>
          <w:spacing w:val="-3"/>
          <w:sz w:val="24"/>
        </w:rPr>
        <w:t> </w:t>
      </w:r>
      <w:r>
        <w:rPr>
          <w:sz w:val="24"/>
        </w:rPr>
        <w:t>the</w:t>
      </w:r>
      <w:r>
        <w:rPr>
          <w:spacing w:val="-3"/>
          <w:sz w:val="24"/>
        </w:rPr>
        <w:t> </w:t>
      </w:r>
      <w:r>
        <w:rPr>
          <w:sz w:val="24"/>
        </w:rPr>
        <w:t>Applicant</w:t>
      </w:r>
      <w:r>
        <w:rPr>
          <w:spacing w:val="-5"/>
          <w:sz w:val="24"/>
        </w:rPr>
        <w:t> </w:t>
      </w:r>
      <w:r>
        <w:rPr>
          <w:sz w:val="24"/>
        </w:rPr>
        <w:t>may</w:t>
      </w:r>
      <w:r>
        <w:rPr>
          <w:spacing w:val="-5"/>
          <w:sz w:val="24"/>
        </w:rPr>
        <w:t> </w:t>
      </w:r>
      <w:r>
        <w:rPr>
          <w:sz w:val="24"/>
        </w:rPr>
        <w:t>only</w:t>
      </w:r>
      <w:r>
        <w:rPr>
          <w:spacing w:val="-4"/>
          <w:sz w:val="24"/>
        </w:rPr>
        <w:t> </w:t>
      </w:r>
      <w:r>
        <w:rPr>
          <w:sz w:val="24"/>
        </w:rPr>
        <w:t>refer</w:t>
      </w:r>
      <w:r>
        <w:rPr>
          <w:spacing w:val="-6"/>
          <w:sz w:val="24"/>
        </w:rPr>
        <w:t> </w:t>
      </w:r>
      <w:r>
        <w:rPr>
          <w:sz w:val="24"/>
        </w:rPr>
        <w:t>the</w:t>
      </w:r>
      <w:r>
        <w:rPr>
          <w:spacing w:val="-2"/>
          <w:sz w:val="24"/>
        </w:rPr>
        <w:t> </w:t>
      </w:r>
      <w:r>
        <w:rPr>
          <w:sz w:val="24"/>
        </w:rPr>
        <w:t>matter</w:t>
      </w:r>
      <w:r>
        <w:rPr>
          <w:spacing w:val="-4"/>
          <w:sz w:val="24"/>
        </w:rPr>
        <w:t> </w:t>
      </w:r>
      <w:r>
        <w:rPr>
          <w:sz w:val="24"/>
        </w:rPr>
        <w:t>directly to the Tribunal </w:t>
      </w:r>
      <w:r>
        <w:rPr>
          <w:i/>
          <w:sz w:val="24"/>
        </w:rPr>
        <w:t>with leave of the</w:t>
      </w:r>
      <w:r>
        <w:rPr>
          <w:i/>
          <w:spacing w:val="-2"/>
          <w:sz w:val="24"/>
        </w:rPr>
        <w:t> </w:t>
      </w:r>
      <w:r>
        <w:rPr>
          <w:i/>
          <w:sz w:val="24"/>
        </w:rPr>
        <w:t>Tribunal.</w:t>
      </w:r>
    </w:p>
    <w:p>
      <w:pPr>
        <w:pStyle w:val="BodyText"/>
        <w:spacing w:before="7"/>
        <w:rPr>
          <w:i/>
          <w:sz w:val="20"/>
        </w:rPr>
      </w:pPr>
    </w:p>
    <w:p>
      <w:pPr>
        <w:pStyle w:val="ListParagraph"/>
        <w:numPr>
          <w:ilvl w:val="0"/>
          <w:numId w:val="1"/>
        </w:numPr>
        <w:tabs>
          <w:tab w:pos="707" w:val="left" w:leader="none"/>
        </w:tabs>
        <w:spacing w:line="360" w:lineRule="auto" w:before="1" w:after="0"/>
        <w:ind w:left="706" w:right="134" w:hanging="567"/>
        <w:jc w:val="both"/>
        <w:rPr>
          <w:sz w:val="24"/>
        </w:rPr>
      </w:pPr>
      <w:r>
        <w:rPr>
          <w:sz w:val="24"/>
        </w:rPr>
        <w:t>Previously, the Tribunal held a formal hearing on leave to refer with all the parties present. In the matter of </w:t>
      </w:r>
      <w:r>
        <w:rPr>
          <w:i/>
          <w:sz w:val="24"/>
        </w:rPr>
        <w:t>Lewis Stores (Pty) Ltd v Summit Financial Partners (Pty) Ltd </w:t>
      </w:r>
      <w:r>
        <w:rPr>
          <w:i/>
          <w:sz w:val="24"/>
        </w:rPr>
        <w:t>and Others </w:t>
      </w:r>
      <w:r>
        <w:rPr>
          <w:sz w:val="24"/>
        </w:rPr>
        <w:t>(Case no 314/2020) </w:t>
      </w:r>
      <w:hyperlink r:id="rId8">
        <w:r>
          <w:rPr>
            <w:sz w:val="24"/>
          </w:rPr>
          <w:t>[2021] ZASCA 91 </w:t>
        </w:r>
      </w:hyperlink>
      <w:r>
        <w:rPr>
          <w:sz w:val="24"/>
        </w:rPr>
        <w:t>(25 June 2021) </w:t>
      </w:r>
      <w:r>
        <w:rPr>
          <w:i/>
          <w:sz w:val="24"/>
        </w:rPr>
        <w:t>SAFLII, </w:t>
      </w:r>
      <w:r>
        <w:rPr>
          <w:sz w:val="24"/>
        </w:rPr>
        <w:t>the court provided useful guidance to the Tribunal </w:t>
      </w:r>
      <w:r>
        <w:rPr>
          <w:spacing w:val="2"/>
          <w:sz w:val="24"/>
        </w:rPr>
        <w:t>in </w:t>
      </w:r>
      <w:r>
        <w:rPr>
          <w:sz w:val="24"/>
        </w:rPr>
        <w:t>decisions regarding leave to refer. It held that</w:t>
      </w:r>
      <w:r>
        <w:rPr>
          <w:spacing w:val="-13"/>
          <w:sz w:val="24"/>
        </w:rPr>
        <w:t> </w:t>
      </w:r>
      <w:r>
        <w:rPr>
          <w:sz w:val="24"/>
        </w:rPr>
        <w:t>a</w:t>
      </w:r>
      <w:r>
        <w:rPr>
          <w:spacing w:val="-10"/>
          <w:sz w:val="24"/>
        </w:rPr>
        <w:t> </w:t>
      </w:r>
      <w:r>
        <w:rPr>
          <w:sz w:val="24"/>
        </w:rPr>
        <w:t>formal</w:t>
      </w:r>
      <w:r>
        <w:rPr>
          <w:spacing w:val="-11"/>
          <w:sz w:val="24"/>
        </w:rPr>
        <w:t> </w:t>
      </w:r>
      <w:r>
        <w:rPr>
          <w:sz w:val="24"/>
        </w:rPr>
        <w:t>hearing</w:t>
      </w:r>
      <w:r>
        <w:rPr>
          <w:spacing w:val="-13"/>
          <w:sz w:val="24"/>
        </w:rPr>
        <w:t> </w:t>
      </w:r>
      <w:r>
        <w:rPr>
          <w:sz w:val="24"/>
        </w:rPr>
        <w:t>on</w:t>
      </w:r>
      <w:r>
        <w:rPr>
          <w:spacing w:val="-10"/>
          <w:sz w:val="24"/>
        </w:rPr>
        <w:t> </w:t>
      </w:r>
      <w:r>
        <w:rPr>
          <w:sz w:val="24"/>
        </w:rPr>
        <w:t>leave</w:t>
      </w:r>
      <w:r>
        <w:rPr>
          <w:spacing w:val="-12"/>
          <w:sz w:val="24"/>
        </w:rPr>
        <w:t> </w:t>
      </w:r>
      <w:r>
        <w:rPr>
          <w:sz w:val="24"/>
        </w:rPr>
        <w:t>to</w:t>
      </w:r>
      <w:r>
        <w:rPr>
          <w:spacing w:val="-9"/>
          <w:sz w:val="24"/>
        </w:rPr>
        <w:t> </w:t>
      </w:r>
      <w:r>
        <w:rPr>
          <w:sz w:val="24"/>
        </w:rPr>
        <w:t>refer</w:t>
      </w:r>
      <w:r>
        <w:rPr>
          <w:spacing w:val="-12"/>
          <w:sz w:val="24"/>
        </w:rPr>
        <w:t> </w:t>
      </w:r>
      <w:r>
        <w:rPr>
          <w:sz w:val="24"/>
        </w:rPr>
        <w:t>was</w:t>
      </w:r>
      <w:r>
        <w:rPr>
          <w:spacing w:val="-6"/>
          <w:sz w:val="24"/>
        </w:rPr>
        <w:t> </w:t>
      </w:r>
      <w:r>
        <w:rPr>
          <w:sz w:val="24"/>
        </w:rPr>
        <w:t>unnecessary,</w:t>
      </w:r>
      <w:r>
        <w:rPr>
          <w:spacing w:val="-10"/>
          <w:sz w:val="24"/>
        </w:rPr>
        <w:t> </w:t>
      </w:r>
      <w:r>
        <w:rPr>
          <w:sz w:val="24"/>
        </w:rPr>
        <w:t>there</w:t>
      </w:r>
      <w:r>
        <w:rPr>
          <w:spacing w:val="-14"/>
          <w:sz w:val="24"/>
        </w:rPr>
        <w:t> </w:t>
      </w:r>
      <w:r>
        <w:rPr>
          <w:sz w:val="24"/>
        </w:rPr>
        <w:t>was</w:t>
      </w:r>
      <w:r>
        <w:rPr>
          <w:spacing w:val="-10"/>
          <w:sz w:val="24"/>
        </w:rPr>
        <w:t> </w:t>
      </w:r>
      <w:r>
        <w:rPr>
          <w:sz w:val="24"/>
        </w:rPr>
        <w:t>no</w:t>
      </w:r>
      <w:r>
        <w:rPr>
          <w:spacing w:val="-10"/>
          <w:sz w:val="24"/>
        </w:rPr>
        <w:t> </w:t>
      </w:r>
      <w:r>
        <w:rPr>
          <w:sz w:val="24"/>
        </w:rPr>
        <w:t>test</w:t>
      </w:r>
      <w:r>
        <w:rPr>
          <w:spacing w:val="-10"/>
          <w:sz w:val="24"/>
        </w:rPr>
        <w:t> </w:t>
      </w:r>
      <w:r>
        <w:rPr>
          <w:sz w:val="24"/>
        </w:rPr>
        <w:t>to</w:t>
      </w:r>
      <w:r>
        <w:rPr>
          <w:spacing w:val="-11"/>
          <w:sz w:val="24"/>
        </w:rPr>
        <w:t> </w:t>
      </w:r>
      <w:r>
        <w:rPr>
          <w:sz w:val="24"/>
        </w:rPr>
        <w:t>be</w:t>
      </w:r>
      <w:r>
        <w:rPr>
          <w:spacing w:val="-10"/>
          <w:sz w:val="24"/>
        </w:rPr>
        <w:t> </w:t>
      </w:r>
      <w:r>
        <w:rPr>
          <w:sz w:val="24"/>
        </w:rPr>
        <w:t>applied and the decision to consider leave could not be appealed. The court held</w:t>
      </w:r>
      <w:r>
        <w:rPr>
          <w:spacing w:val="-10"/>
          <w:sz w:val="24"/>
        </w:rPr>
        <w:t> </w:t>
      </w:r>
      <w:r>
        <w:rPr>
          <w:sz w:val="24"/>
        </w:rPr>
        <w:t>–</w:t>
      </w:r>
    </w:p>
    <w:p>
      <w:pPr>
        <w:pStyle w:val="BodyText"/>
        <w:spacing w:before="10"/>
        <w:rPr>
          <w:sz w:val="20"/>
        </w:rPr>
      </w:pPr>
    </w:p>
    <w:p>
      <w:pPr>
        <w:spacing w:line="360" w:lineRule="auto" w:before="0"/>
        <w:ind w:left="706" w:right="134" w:firstLine="0"/>
        <w:jc w:val="both"/>
        <w:rPr>
          <w:i/>
          <w:sz w:val="24"/>
        </w:rPr>
      </w:pPr>
      <w:r>
        <w:rPr>
          <w:i/>
          <w:sz w:val="24"/>
        </w:rPr>
        <w:t>"[15] As I have explained, the NCA provides for an expeditious, informal and cost- </w:t>
      </w:r>
      <w:r>
        <w:rPr>
          <w:i/>
          <w:sz w:val="24"/>
        </w:rPr>
        <w:t>effective complaints procedure. Section 141(1)(b) confers on the Tribunal a wide, largely unfettered discretion to permit a direct referral. The NCA does not require a formal</w:t>
      </w:r>
      <w:r>
        <w:rPr>
          <w:i/>
          <w:spacing w:val="-16"/>
          <w:sz w:val="24"/>
        </w:rPr>
        <w:t> </w:t>
      </w:r>
      <w:r>
        <w:rPr>
          <w:i/>
          <w:sz w:val="24"/>
        </w:rPr>
        <w:t>application</w:t>
      </w:r>
      <w:r>
        <w:rPr>
          <w:i/>
          <w:spacing w:val="-16"/>
          <w:sz w:val="24"/>
        </w:rPr>
        <w:t> </w:t>
      </w:r>
      <w:r>
        <w:rPr>
          <w:i/>
          <w:sz w:val="24"/>
        </w:rPr>
        <w:t>to</w:t>
      </w:r>
      <w:r>
        <w:rPr>
          <w:i/>
          <w:spacing w:val="-16"/>
          <w:sz w:val="24"/>
        </w:rPr>
        <w:t> </w:t>
      </w:r>
      <w:r>
        <w:rPr>
          <w:i/>
          <w:sz w:val="24"/>
        </w:rPr>
        <w:t>be</w:t>
      </w:r>
      <w:r>
        <w:rPr>
          <w:i/>
          <w:spacing w:val="-17"/>
          <w:sz w:val="24"/>
        </w:rPr>
        <w:t> </w:t>
      </w:r>
      <w:r>
        <w:rPr>
          <w:i/>
          <w:sz w:val="24"/>
        </w:rPr>
        <w:t>made</w:t>
      </w:r>
      <w:r>
        <w:rPr>
          <w:i/>
          <w:spacing w:val="-16"/>
          <w:sz w:val="24"/>
        </w:rPr>
        <w:t> </w:t>
      </w:r>
      <w:r>
        <w:rPr>
          <w:i/>
          <w:sz w:val="24"/>
        </w:rPr>
        <w:t>and</w:t>
      </w:r>
      <w:r>
        <w:rPr>
          <w:i/>
          <w:spacing w:val="-16"/>
          <w:sz w:val="24"/>
        </w:rPr>
        <w:t> </w:t>
      </w:r>
      <w:r>
        <w:rPr>
          <w:i/>
          <w:sz w:val="24"/>
        </w:rPr>
        <w:t>it</w:t>
      </w:r>
      <w:r>
        <w:rPr>
          <w:i/>
          <w:spacing w:val="-18"/>
          <w:sz w:val="24"/>
        </w:rPr>
        <w:t> </w:t>
      </w:r>
      <w:r>
        <w:rPr>
          <w:i/>
          <w:sz w:val="24"/>
        </w:rPr>
        <w:t>is</w:t>
      </w:r>
      <w:r>
        <w:rPr>
          <w:i/>
          <w:spacing w:val="-17"/>
          <w:sz w:val="24"/>
        </w:rPr>
        <w:t> </w:t>
      </w:r>
      <w:r>
        <w:rPr>
          <w:i/>
          <w:sz w:val="24"/>
        </w:rPr>
        <w:t>not</w:t>
      </w:r>
      <w:r>
        <w:rPr>
          <w:i/>
          <w:spacing w:val="-17"/>
          <w:sz w:val="24"/>
        </w:rPr>
        <w:t> </w:t>
      </w:r>
      <w:r>
        <w:rPr>
          <w:i/>
          <w:sz w:val="24"/>
        </w:rPr>
        <w:t>necessary</w:t>
      </w:r>
      <w:r>
        <w:rPr>
          <w:i/>
          <w:spacing w:val="-17"/>
          <w:sz w:val="24"/>
        </w:rPr>
        <w:t> </w:t>
      </w:r>
      <w:r>
        <w:rPr>
          <w:i/>
          <w:sz w:val="24"/>
        </w:rPr>
        <w:t>for</w:t>
      </w:r>
      <w:r>
        <w:rPr>
          <w:i/>
          <w:spacing w:val="-17"/>
          <w:sz w:val="24"/>
        </w:rPr>
        <w:t> </w:t>
      </w:r>
      <w:r>
        <w:rPr>
          <w:i/>
          <w:sz w:val="24"/>
        </w:rPr>
        <w:t>purposes</w:t>
      </w:r>
      <w:r>
        <w:rPr>
          <w:i/>
          <w:spacing w:val="-15"/>
          <w:sz w:val="24"/>
        </w:rPr>
        <w:t> </w:t>
      </w:r>
      <w:r>
        <w:rPr>
          <w:i/>
          <w:sz w:val="24"/>
        </w:rPr>
        <w:t>of</w:t>
      </w:r>
      <w:r>
        <w:rPr>
          <w:i/>
          <w:spacing w:val="-18"/>
          <w:sz w:val="24"/>
        </w:rPr>
        <w:t> </w:t>
      </w:r>
      <w:r>
        <w:rPr>
          <w:i/>
          <w:sz w:val="24"/>
        </w:rPr>
        <w:t>the</w:t>
      </w:r>
      <w:r>
        <w:rPr>
          <w:i/>
          <w:spacing w:val="-16"/>
          <w:sz w:val="24"/>
        </w:rPr>
        <w:t> </w:t>
      </w:r>
      <w:r>
        <w:rPr>
          <w:i/>
          <w:sz w:val="24"/>
        </w:rPr>
        <w:t>present</w:t>
      </w:r>
      <w:r>
        <w:rPr>
          <w:i/>
          <w:spacing w:val="-17"/>
          <w:sz w:val="24"/>
        </w:rPr>
        <w:t> </w:t>
      </w:r>
      <w:r>
        <w:rPr>
          <w:i/>
          <w:sz w:val="24"/>
        </w:rPr>
        <w:t>appeal, nor</w:t>
      </w:r>
      <w:r>
        <w:rPr>
          <w:i/>
          <w:spacing w:val="-5"/>
          <w:sz w:val="24"/>
        </w:rPr>
        <w:t> </w:t>
      </w:r>
      <w:r>
        <w:rPr>
          <w:i/>
          <w:sz w:val="24"/>
        </w:rPr>
        <w:t>is</w:t>
      </w:r>
      <w:r>
        <w:rPr>
          <w:i/>
          <w:spacing w:val="-5"/>
          <w:sz w:val="24"/>
        </w:rPr>
        <w:t> </w:t>
      </w:r>
      <w:r>
        <w:rPr>
          <w:i/>
          <w:sz w:val="24"/>
        </w:rPr>
        <w:t>it</w:t>
      </w:r>
      <w:r>
        <w:rPr>
          <w:i/>
          <w:spacing w:val="-7"/>
          <w:sz w:val="24"/>
        </w:rPr>
        <w:t> </w:t>
      </w:r>
      <w:r>
        <w:rPr>
          <w:i/>
          <w:sz w:val="24"/>
        </w:rPr>
        <w:t>desirable,</w:t>
      </w:r>
      <w:r>
        <w:rPr>
          <w:i/>
          <w:spacing w:val="-4"/>
          <w:sz w:val="24"/>
        </w:rPr>
        <w:t> </w:t>
      </w:r>
      <w:r>
        <w:rPr>
          <w:i/>
          <w:sz w:val="24"/>
        </w:rPr>
        <w:t>to</w:t>
      </w:r>
      <w:r>
        <w:rPr>
          <w:i/>
          <w:spacing w:val="-4"/>
          <w:sz w:val="24"/>
        </w:rPr>
        <w:t> </w:t>
      </w:r>
      <w:r>
        <w:rPr>
          <w:i/>
          <w:sz w:val="24"/>
        </w:rPr>
        <w:t>circumscribe</w:t>
      </w:r>
      <w:r>
        <w:rPr>
          <w:i/>
          <w:spacing w:val="-4"/>
          <w:sz w:val="24"/>
        </w:rPr>
        <w:t> </w:t>
      </w:r>
      <w:r>
        <w:rPr>
          <w:i/>
          <w:sz w:val="24"/>
        </w:rPr>
        <w:t>the</w:t>
      </w:r>
      <w:r>
        <w:rPr>
          <w:i/>
          <w:spacing w:val="-4"/>
          <w:sz w:val="24"/>
        </w:rPr>
        <w:t> </w:t>
      </w:r>
      <w:r>
        <w:rPr>
          <w:i/>
          <w:sz w:val="24"/>
        </w:rPr>
        <w:t>factors</w:t>
      </w:r>
      <w:r>
        <w:rPr>
          <w:i/>
          <w:spacing w:val="-5"/>
          <w:sz w:val="24"/>
        </w:rPr>
        <w:t> </w:t>
      </w:r>
      <w:r>
        <w:rPr>
          <w:i/>
          <w:sz w:val="24"/>
        </w:rPr>
        <w:t>to</w:t>
      </w:r>
      <w:r>
        <w:rPr>
          <w:i/>
          <w:spacing w:val="-4"/>
          <w:sz w:val="24"/>
        </w:rPr>
        <w:t> </w:t>
      </w:r>
      <w:r>
        <w:rPr>
          <w:i/>
          <w:sz w:val="24"/>
        </w:rPr>
        <w:t>which</w:t>
      </w:r>
      <w:r>
        <w:rPr>
          <w:i/>
          <w:spacing w:val="-6"/>
          <w:sz w:val="24"/>
        </w:rPr>
        <w:t> </w:t>
      </w:r>
      <w:r>
        <w:rPr>
          <w:i/>
          <w:sz w:val="24"/>
        </w:rPr>
        <w:t>the</w:t>
      </w:r>
      <w:r>
        <w:rPr>
          <w:i/>
          <w:spacing w:val="-6"/>
          <w:sz w:val="24"/>
        </w:rPr>
        <w:t> </w:t>
      </w:r>
      <w:r>
        <w:rPr>
          <w:i/>
          <w:sz w:val="24"/>
        </w:rPr>
        <w:t>Tribunal</w:t>
      </w:r>
      <w:r>
        <w:rPr>
          <w:i/>
          <w:spacing w:val="-5"/>
          <w:sz w:val="24"/>
        </w:rPr>
        <w:t> </w:t>
      </w:r>
      <w:r>
        <w:rPr>
          <w:i/>
          <w:sz w:val="24"/>
        </w:rPr>
        <w:t>should</w:t>
      </w:r>
      <w:r>
        <w:rPr>
          <w:i/>
          <w:spacing w:val="-6"/>
          <w:sz w:val="24"/>
        </w:rPr>
        <w:t> </w:t>
      </w:r>
      <w:r>
        <w:rPr>
          <w:i/>
          <w:sz w:val="24"/>
        </w:rPr>
        <w:t>have</w:t>
      </w:r>
      <w:r>
        <w:rPr>
          <w:i/>
          <w:spacing w:val="-4"/>
          <w:sz w:val="24"/>
        </w:rPr>
        <w:t> </w:t>
      </w:r>
      <w:r>
        <w:rPr>
          <w:i/>
          <w:sz w:val="24"/>
        </w:rPr>
        <w:t>regard. There is no test to be applied in deciding whether or not to grant a direct referral to it in respect of a complaint. The purpose of the provision is simply for the Tribunal to consider the complaint afresh, with the benefit of any findings by the Regulator, and to decide</w:t>
      </w:r>
      <w:r>
        <w:rPr>
          <w:i/>
          <w:spacing w:val="-18"/>
          <w:sz w:val="24"/>
        </w:rPr>
        <w:t> </w:t>
      </w:r>
      <w:r>
        <w:rPr>
          <w:i/>
          <w:sz w:val="24"/>
        </w:rPr>
        <w:t>whether</w:t>
      </w:r>
      <w:r>
        <w:rPr>
          <w:i/>
          <w:spacing w:val="-18"/>
          <w:sz w:val="24"/>
        </w:rPr>
        <w:t> </w:t>
      </w:r>
      <w:r>
        <w:rPr>
          <w:i/>
          <w:sz w:val="24"/>
        </w:rPr>
        <w:t>it</w:t>
      </w:r>
      <w:r>
        <w:rPr>
          <w:i/>
          <w:spacing w:val="-18"/>
          <w:sz w:val="24"/>
        </w:rPr>
        <w:t> </w:t>
      </w:r>
      <w:r>
        <w:rPr>
          <w:i/>
          <w:sz w:val="24"/>
        </w:rPr>
        <w:t>deserves</w:t>
      </w:r>
      <w:r>
        <w:rPr>
          <w:i/>
          <w:spacing w:val="-19"/>
          <w:sz w:val="24"/>
        </w:rPr>
        <w:t> </w:t>
      </w:r>
      <w:r>
        <w:rPr>
          <w:i/>
          <w:sz w:val="24"/>
        </w:rPr>
        <w:t>its</w:t>
      </w:r>
      <w:r>
        <w:rPr>
          <w:i/>
          <w:spacing w:val="-18"/>
          <w:sz w:val="24"/>
        </w:rPr>
        <w:t> </w:t>
      </w:r>
      <w:r>
        <w:rPr>
          <w:i/>
          <w:sz w:val="24"/>
        </w:rPr>
        <w:t>attention.</w:t>
      </w:r>
      <w:r>
        <w:rPr>
          <w:i/>
          <w:spacing w:val="-17"/>
          <w:sz w:val="24"/>
        </w:rPr>
        <w:t> </w:t>
      </w:r>
      <w:r>
        <w:rPr>
          <w:i/>
          <w:sz w:val="24"/>
        </w:rPr>
        <w:t>Circumstances</w:t>
      </w:r>
      <w:r>
        <w:rPr>
          <w:i/>
          <w:spacing w:val="-19"/>
          <w:sz w:val="24"/>
        </w:rPr>
        <w:t> </w:t>
      </w:r>
      <w:r>
        <w:rPr>
          <w:i/>
          <w:sz w:val="24"/>
        </w:rPr>
        <w:t>which</w:t>
      </w:r>
      <w:r>
        <w:rPr>
          <w:i/>
          <w:spacing w:val="-17"/>
          <w:sz w:val="24"/>
        </w:rPr>
        <w:t> </w:t>
      </w:r>
      <w:r>
        <w:rPr>
          <w:i/>
          <w:sz w:val="24"/>
        </w:rPr>
        <w:t>may</w:t>
      </w:r>
      <w:r>
        <w:rPr>
          <w:i/>
          <w:spacing w:val="-18"/>
          <w:sz w:val="24"/>
        </w:rPr>
        <w:t> </w:t>
      </w:r>
      <w:r>
        <w:rPr>
          <w:i/>
          <w:sz w:val="24"/>
        </w:rPr>
        <w:t>influence</w:t>
      </w:r>
      <w:r>
        <w:rPr>
          <w:i/>
          <w:spacing w:val="-18"/>
          <w:sz w:val="24"/>
        </w:rPr>
        <w:t> </w:t>
      </w:r>
      <w:r>
        <w:rPr>
          <w:i/>
          <w:sz w:val="24"/>
        </w:rPr>
        <w:t>its</w:t>
      </w:r>
      <w:r>
        <w:rPr>
          <w:i/>
          <w:spacing w:val="-18"/>
          <w:sz w:val="24"/>
        </w:rPr>
        <w:t> </w:t>
      </w:r>
      <w:r>
        <w:rPr>
          <w:i/>
          <w:sz w:val="24"/>
        </w:rPr>
        <w:t>decision may include the prospects of success, the importance of the issue, the public interest to have a decision on the matter, the allocation of resources, the complainant's</w:t>
      </w:r>
      <w:r>
        <w:rPr>
          <w:i/>
          <w:spacing w:val="-46"/>
          <w:sz w:val="24"/>
        </w:rPr>
        <w:t> </w:t>
      </w:r>
      <w:r>
        <w:rPr>
          <w:i/>
          <w:sz w:val="24"/>
        </w:rPr>
        <w:t>interest in the relief sought and the fact that the Regulator did not consider that it merited a hearing before the Tribunal. The list is not intended to be</w:t>
      </w:r>
      <w:r>
        <w:rPr>
          <w:i/>
          <w:spacing w:val="-12"/>
          <w:sz w:val="24"/>
        </w:rPr>
        <w:t> </w:t>
      </w:r>
      <w:r>
        <w:rPr>
          <w:i/>
          <w:sz w:val="24"/>
        </w:rPr>
        <w:t>exhaustive."</w:t>
      </w:r>
    </w:p>
    <w:p>
      <w:pPr>
        <w:pStyle w:val="BodyText"/>
        <w:spacing w:before="1"/>
        <w:rPr>
          <w:i/>
          <w:sz w:val="21"/>
        </w:rPr>
      </w:pPr>
    </w:p>
    <w:p>
      <w:pPr>
        <w:pStyle w:val="BodyText"/>
        <w:spacing w:line="360" w:lineRule="auto"/>
        <w:ind w:left="706" w:right="137"/>
        <w:jc w:val="both"/>
      </w:pPr>
      <w:r>
        <w:rPr>
          <w:color w:val="1B1818"/>
        </w:rPr>
        <w:t>Although the court judgment referred to section 141(1)(b) of the National Credit Act,</w:t>
      </w:r>
      <w:r>
        <w:rPr>
          <w:color w:val="1B1818"/>
          <w:spacing w:val="-41"/>
        </w:rPr>
        <w:t> </w:t>
      </w:r>
      <w:r>
        <w:rPr>
          <w:color w:val="1B1818"/>
        </w:rPr>
        <w:t>34 of 2005 ("NCA"), section 75(1)(b) of the CPA has the same</w:t>
      </w:r>
      <w:r>
        <w:rPr>
          <w:color w:val="1B1818"/>
          <w:spacing w:val="-7"/>
        </w:rPr>
        <w:t> </w:t>
      </w:r>
      <w:r>
        <w:rPr>
          <w:color w:val="1B1818"/>
        </w:rPr>
        <w:t>wording.</w:t>
      </w:r>
    </w:p>
    <w:p>
      <w:pPr>
        <w:spacing w:after="0" w:line="360" w:lineRule="auto"/>
        <w:jc w:val="both"/>
        <w:sectPr>
          <w:pgSz w:w="11910" w:h="16840"/>
          <w:pgMar w:header="554" w:footer="274" w:top="1300" w:bottom="460" w:left="940" w:right="940"/>
        </w:sectPr>
      </w:pPr>
    </w:p>
    <w:p>
      <w:pPr>
        <w:pStyle w:val="BodyText"/>
        <w:rPr>
          <w:sz w:val="20"/>
        </w:rPr>
      </w:pPr>
    </w:p>
    <w:p>
      <w:pPr>
        <w:pStyle w:val="BodyText"/>
        <w:spacing w:before="11"/>
        <w:rPr>
          <w:sz w:val="20"/>
        </w:rPr>
      </w:pPr>
    </w:p>
    <w:p>
      <w:pPr>
        <w:pStyle w:val="ListParagraph"/>
        <w:numPr>
          <w:ilvl w:val="0"/>
          <w:numId w:val="1"/>
        </w:numPr>
        <w:tabs>
          <w:tab w:pos="707" w:val="left" w:leader="none"/>
        </w:tabs>
        <w:spacing w:line="360" w:lineRule="auto" w:before="92" w:after="0"/>
        <w:ind w:left="706" w:right="134" w:hanging="567"/>
        <w:jc w:val="both"/>
        <w:rPr>
          <w:sz w:val="24"/>
        </w:rPr>
      </w:pPr>
      <w:r>
        <w:rPr>
          <w:sz w:val="24"/>
        </w:rPr>
        <w:t>As there is no test to be applied, the Tribunal will consider the matter in the general context</w:t>
      </w:r>
      <w:r>
        <w:rPr>
          <w:spacing w:val="-16"/>
          <w:sz w:val="24"/>
        </w:rPr>
        <w:t> </w:t>
      </w:r>
      <w:r>
        <w:rPr>
          <w:sz w:val="24"/>
        </w:rPr>
        <w:t>of</w:t>
      </w:r>
      <w:r>
        <w:rPr>
          <w:spacing w:val="-18"/>
          <w:sz w:val="24"/>
        </w:rPr>
        <w:t> </w:t>
      </w:r>
      <w:r>
        <w:rPr>
          <w:sz w:val="24"/>
        </w:rPr>
        <w:t>the</w:t>
      </w:r>
      <w:r>
        <w:rPr>
          <w:spacing w:val="-17"/>
          <w:sz w:val="24"/>
        </w:rPr>
        <w:t> </w:t>
      </w:r>
      <w:r>
        <w:rPr>
          <w:sz w:val="24"/>
        </w:rPr>
        <w:t>circumstances</w:t>
      </w:r>
      <w:r>
        <w:rPr>
          <w:spacing w:val="-19"/>
          <w:sz w:val="24"/>
        </w:rPr>
        <w:t> </w:t>
      </w:r>
      <w:r>
        <w:rPr>
          <w:sz w:val="24"/>
        </w:rPr>
        <w:t>as</w:t>
      </w:r>
      <w:r>
        <w:rPr>
          <w:spacing w:val="-16"/>
          <w:sz w:val="24"/>
        </w:rPr>
        <w:t> </w:t>
      </w:r>
      <w:r>
        <w:rPr>
          <w:sz w:val="24"/>
        </w:rPr>
        <w:t>submitted</w:t>
      </w:r>
      <w:r>
        <w:rPr>
          <w:spacing w:val="-17"/>
          <w:sz w:val="24"/>
        </w:rPr>
        <w:t> </w:t>
      </w:r>
      <w:r>
        <w:rPr>
          <w:sz w:val="24"/>
        </w:rPr>
        <w:t>by</w:t>
      </w:r>
      <w:r>
        <w:rPr>
          <w:spacing w:val="-19"/>
          <w:sz w:val="24"/>
        </w:rPr>
        <w:t> </w:t>
      </w:r>
      <w:r>
        <w:rPr>
          <w:sz w:val="24"/>
        </w:rPr>
        <w:t>the</w:t>
      </w:r>
      <w:r>
        <w:rPr>
          <w:spacing w:val="-11"/>
          <w:sz w:val="24"/>
        </w:rPr>
        <w:t> </w:t>
      </w:r>
      <w:r>
        <w:rPr>
          <w:sz w:val="24"/>
        </w:rPr>
        <w:t>Applicant.</w:t>
      </w:r>
      <w:r>
        <w:rPr>
          <w:spacing w:val="-15"/>
          <w:sz w:val="24"/>
        </w:rPr>
        <w:t> </w:t>
      </w:r>
      <w:r>
        <w:rPr>
          <w:sz w:val="24"/>
        </w:rPr>
        <w:t>As</w:t>
      </w:r>
      <w:r>
        <w:rPr>
          <w:spacing w:val="-19"/>
          <w:sz w:val="24"/>
        </w:rPr>
        <w:t> </w:t>
      </w:r>
      <w:r>
        <w:rPr>
          <w:sz w:val="24"/>
        </w:rPr>
        <w:t>the</w:t>
      </w:r>
      <w:r>
        <w:rPr>
          <w:spacing w:val="-16"/>
          <w:sz w:val="24"/>
        </w:rPr>
        <w:t> </w:t>
      </w:r>
      <w:r>
        <w:rPr>
          <w:sz w:val="24"/>
        </w:rPr>
        <w:t>matter</w:t>
      </w:r>
      <w:r>
        <w:rPr>
          <w:spacing w:val="-16"/>
          <w:sz w:val="24"/>
        </w:rPr>
        <w:t> </w:t>
      </w:r>
      <w:r>
        <w:rPr>
          <w:sz w:val="24"/>
        </w:rPr>
        <w:t>is</w:t>
      </w:r>
      <w:r>
        <w:rPr>
          <w:spacing w:val="-17"/>
          <w:sz w:val="24"/>
        </w:rPr>
        <w:t> </w:t>
      </w:r>
      <w:r>
        <w:rPr>
          <w:sz w:val="24"/>
        </w:rPr>
        <w:t>unopposed, the Respondent's version is not before the</w:t>
      </w:r>
      <w:r>
        <w:rPr>
          <w:spacing w:val="-4"/>
          <w:sz w:val="24"/>
        </w:rPr>
        <w:t> </w:t>
      </w:r>
      <w:r>
        <w:rPr>
          <w:sz w:val="24"/>
        </w:rPr>
        <w:t>Tribunal.</w:t>
      </w:r>
    </w:p>
    <w:p>
      <w:pPr>
        <w:pStyle w:val="BodyText"/>
        <w:rPr>
          <w:sz w:val="21"/>
        </w:rPr>
      </w:pPr>
    </w:p>
    <w:p>
      <w:pPr>
        <w:pStyle w:val="ListParagraph"/>
        <w:numPr>
          <w:ilvl w:val="0"/>
          <w:numId w:val="1"/>
        </w:numPr>
        <w:tabs>
          <w:tab w:pos="707" w:val="left" w:leader="none"/>
        </w:tabs>
        <w:spacing w:line="360" w:lineRule="auto" w:before="0" w:after="0"/>
        <w:ind w:left="706" w:right="134" w:hanging="567"/>
        <w:jc w:val="both"/>
        <w:rPr>
          <w:sz w:val="24"/>
        </w:rPr>
      </w:pPr>
      <w:r>
        <w:rPr>
          <w:sz w:val="24"/>
        </w:rPr>
        <w:t>The main issue in contention appears to be the defective machine that was purchased by</w:t>
      </w:r>
      <w:r>
        <w:rPr>
          <w:spacing w:val="-4"/>
          <w:sz w:val="24"/>
        </w:rPr>
        <w:t> </w:t>
      </w:r>
      <w:r>
        <w:rPr>
          <w:sz w:val="24"/>
        </w:rPr>
        <w:t>Ms</w:t>
      </w:r>
      <w:r>
        <w:rPr>
          <w:spacing w:val="-6"/>
          <w:sz w:val="24"/>
        </w:rPr>
        <w:t> </w:t>
      </w:r>
      <w:r>
        <w:rPr>
          <w:sz w:val="24"/>
        </w:rPr>
        <w:t>Pepeta</w:t>
      </w:r>
      <w:r>
        <w:rPr>
          <w:spacing w:val="-4"/>
          <w:sz w:val="24"/>
        </w:rPr>
        <w:t> </w:t>
      </w:r>
      <w:r>
        <w:rPr>
          <w:sz w:val="24"/>
        </w:rPr>
        <w:t>from</w:t>
      </w:r>
      <w:r>
        <w:rPr>
          <w:spacing w:val="-5"/>
          <w:sz w:val="24"/>
        </w:rPr>
        <w:t> </w:t>
      </w:r>
      <w:r>
        <w:rPr>
          <w:sz w:val="24"/>
        </w:rPr>
        <w:t>the</w:t>
      </w:r>
      <w:r>
        <w:rPr>
          <w:spacing w:val="-5"/>
          <w:sz w:val="24"/>
        </w:rPr>
        <w:t> </w:t>
      </w:r>
      <w:r>
        <w:rPr>
          <w:sz w:val="24"/>
        </w:rPr>
        <w:t>Respondent.</w:t>
      </w:r>
      <w:r>
        <w:rPr>
          <w:spacing w:val="-2"/>
          <w:sz w:val="24"/>
        </w:rPr>
        <w:t> </w:t>
      </w:r>
      <w:r>
        <w:rPr>
          <w:sz w:val="24"/>
        </w:rPr>
        <w:t>Sections</w:t>
      </w:r>
      <w:r>
        <w:rPr>
          <w:spacing w:val="-6"/>
          <w:sz w:val="24"/>
        </w:rPr>
        <w:t> </w:t>
      </w:r>
      <w:r>
        <w:rPr>
          <w:sz w:val="24"/>
        </w:rPr>
        <w:t>55</w:t>
      </w:r>
      <w:r>
        <w:rPr>
          <w:spacing w:val="-6"/>
          <w:sz w:val="24"/>
        </w:rPr>
        <w:t> </w:t>
      </w:r>
      <w:r>
        <w:rPr>
          <w:sz w:val="24"/>
        </w:rPr>
        <w:t>and</w:t>
      </w:r>
      <w:r>
        <w:rPr>
          <w:spacing w:val="-5"/>
          <w:sz w:val="24"/>
        </w:rPr>
        <w:t> </w:t>
      </w:r>
      <w:r>
        <w:rPr>
          <w:sz w:val="24"/>
        </w:rPr>
        <w:t>56</w:t>
      </w:r>
      <w:r>
        <w:rPr>
          <w:spacing w:val="-3"/>
          <w:sz w:val="24"/>
        </w:rPr>
        <w:t> </w:t>
      </w:r>
      <w:r>
        <w:rPr>
          <w:sz w:val="24"/>
        </w:rPr>
        <w:t>of</w:t>
      </w:r>
      <w:r>
        <w:rPr>
          <w:spacing w:val="-4"/>
          <w:sz w:val="24"/>
        </w:rPr>
        <w:t> </w:t>
      </w:r>
      <w:r>
        <w:rPr>
          <w:sz w:val="24"/>
        </w:rPr>
        <w:t>the</w:t>
      </w:r>
      <w:r>
        <w:rPr>
          <w:spacing w:val="-5"/>
          <w:sz w:val="24"/>
        </w:rPr>
        <w:t> </w:t>
      </w:r>
      <w:r>
        <w:rPr>
          <w:sz w:val="24"/>
        </w:rPr>
        <w:t>CPA</w:t>
      </w:r>
      <w:r>
        <w:rPr>
          <w:spacing w:val="-7"/>
          <w:sz w:val="24"/>
        </w:rPr>
        <w:t> </w:t>
      </w:r>
      <w:r>
        <w:rPr>
          <w:sz w:val="24"/>
        </w:rPr>
        <w:t>are</w:t>
      </w:r>
      <w:r>
        <w:rPr>
          <w:spacing w:val="-2"/>
          <w:sz w:val="24"/>
        </w:rPr>
        <w:t> </w:t>
      </w:r>
      <w:r>
        <w:rPr>
          <w:sz w:val="24"/>
        </w:rPr>
        <w:t>relevant</w:t>
      </w:r>
      <w:r>
        <w:rPr>
          <w:spacing w:val="-6"/>
          <w:sz w:val="24"/>
        </w:rPr>
        <w:t> </w:t>
      </w:r>
      <w:r>
        <w:rPr>
          <w:sz w:val="24"/>
        </w:rPr>
        <w:t>to</w:t>
      </w:r>
      <w:r>
        <w:rPr>
          <w:spacing w:val="-4"/>
          <w:sz w:val="24"/>
        </w:rPr>
        <w:t> </w:t>
      </w:r>
      <w:r>
        <w:rPr>
          <w:sz w:val="24"/>
        </w:rPr>
        <w:t>this matter as these sections refer to the consumer's right to fair value, good quality, and safe</w:t>
      </w:r>
      <w:r>
        <w:rPr>
          <w:spacing w:val="-1"/>
          <w:sz w:val="24"/>
        </w:rPr>
        <w:t> </w:t>
      </w:r>
      <w:r>
        <w:rPr>
          <w:sz w:val="24"/>
        </w:rPr>
        <w:t>goods.</w:t>
      </w:r>
    </w:p>
    <w:p>
      <w:pPr>
        <w:pStyle w:val="BodyText"/>
        <w:spacing w:before="10"/>
        <w:rPr>
          <w:sz w:val="20"/>
        </w:rPr>
      </w:pPr>
    </w:p>
    <w:p>
      <w:pPr>
        <w:pStyle w:val="ListParagraph"/>
        <w:numPr>
          <w:ilvl w:val="0"/>
          <w:numId w:val="1"/>
        </w:numPr>
        <w:tabs>
          <w:tab w:pos="707" w:val="left" w:leader="none"/>
        </w:tabs>
        <w:spacing w:line="360" w:lineRule="auto" w:before="0" w:after="0"/>
        <w:ind w:left="706" w:right="133" w:hanging="567"/>
        <w:jc w:val="both"/>
        <w:rPr>
          <w:color w:val="1B1818"/>
          <w:sz w:val="24"/>
        </w:rPr>
      </w:pPr>
      <w:r>
        <w:rPr>
          <w:color w:val="1B1818"/>
          <w:sz w:val="24"/>
        </w:rPr>
        <w:t>However,</w:t>
      </w:r>
      <w:r>
        <w:rPr>
          <w:color w:val="1B1818"/>
          <w:spacing w:val="-16"/>
          <w:sz w:val="24"/>
        </w:rPr>
        <w:t> </w:t>
      </w:r>
      <w:r>
        <w:rPr>
          <w:color w:val="1B1818"/>
          <w:sz w:val="24"/>
        </w:rPr>
        <w:t>while</w:t>
      </w:r>
      <w:r>
        <w:rPr>
          <w:color w:val="1B1818"/>
          <w:spacing w:val="-15"/>
          <w:sz w:val="24"/>
        </w:rPr>
        <w:t> </w:t>
      </w:r>
      <w:r>
        <w:rPr>
          <w:color w:val="1B1818"/>
          <w:sz w:val="24"/>
        </w:rPr>
        <w:t>Ms</w:t>
      </w:r>
      <w:r>
        <w:rPr>
          <w:color w:val="1B1818"/>
          <w:spacing w:val="-18"/>
          <w:sz w:val="24"/>
        </w:rPr>
        <w:t> </w:t>
      </w:r>
      <w:r>
        <w:rPr>
          <w:color w:val="1B1818"/>
          <w:sz w:val="24"/>
        </w:rPr>
        <w:t>Pepeta's</w:t>
      </w:r>
      <w:r>
        <w:rPr>
          <w:color w:val="1B1818"/>
          <w:spacing w:val="-18"/>
          <w:sz w:val="24"/>
        </w:rPr>
        <w:t> </w:t>
      </w:r>
      <w:r>
        <w:rPr>
          <w:color w:val="1B1818"/>
          <w:sz w:val="24"/>
        </w:rPr>
        <w:t>claim</w:t>
      </w:r>
      <w:r>
        <w:rPr>
          <w:color w:val="1B1818"/>
          <w:spacing w:val="-17"/>
          <w:sz w:val="24"/>
        </w:rPr>
        <w:t> </w:t>
      </w:r>
      <w:r>
        <w:rPr>
          <w:color w:val="1B1818"/>
          <w:sz w:val="24"/>
        </w:rPr>
        <w:t>falls</w:t>
      </w:r>
      <w:r>
        <w:rPr>
          <w:color w:val="1B1818"/>
          <w:spacing w:val="-15"/>
          <w:sz w:val="24"/>
        </w:rPr>
        <w:t> </w:t>
      </w:r>
      <w:r>
        <w:rPr>
          <w:color w:val="1B1818"/>
          <w:sz w:val="24"/>
        </w:rPr>
        <w:t>within</w:t>
      </w:r>
      <w:r>
        <w:rPr>
          <w:color w:val="1B1818"/>
          <w:spacing w:val="-20"/>
          <w:sz w:val="24"/>
        </w:rPr>
        <w:t> </w:t>
      </w:r>
      <w:r>
        <w:rPr>
          <w:color w:val="1B1818"/>
          <w:sz w:val="24"/>
        </w:rPr>
        <w:t>the</w:t>
      </w:r>
      <w:r>
        <w:rPr>
          <w:color w:val="1B1818"/>
          <w:spacing w:val="-17"/>
          <w:sz w:val="24"/>
        </w:rPr>
        <w:t> </w:t>
      </w:r>
      <w:r>
        <w:rPr>
          <w:color w:val="1B1818"/>
          <w:sz w:val="24"/>
        </w:rPr>
        <w:t>ambit</w:t>
      </w:r>
      <w:r>
        <w:rPr>
          <w:color w:val="1B1818"/>
          <w:spacing w:val="-16"/>
          <w:sz w:val="24"/>
        </w:rPr>
        <w:t> </w:t>
      </w:r>
      <w:r>
        <w:rPr>
          <w:color w:val="1B1818"/>
          <w:sz w:val="24"/>
        </w:rPr>
        <w:t>of</w:t>
      </w:r>
      <w:r>
        <w:rPr>
          <w:color w:val="1B1818"/>
          <w:spacing w:val="-15"/>
          <w:sz w:val="24"/>
        </w:rPr>
        <w:t> </w:t>
      </w:r>
      <w:r>
        <w:rPr>
          <w:color w:val="1B1818"/>
          <w:sz w:val="24"/>
        </w:rPr>
        <w:t>the</w:t>
      </w:r>
      <w:r>
        <w:rPr>
          <w:color w:val="1B1818"/>
          <w:spacing w:val="-15"/>
          <w:sz w:val="24"/>
        </w:rPr>
        <w:t> </w:t>
      </w:r>
      <w:r>
        <w:rPr>
          <w:color w:val="1B1818"/>
          <w:sz w:val="24"/>
        </w:rPr>
        <w:t>CPA,</w:t>
      </w:r>
      <w:r>
        <w:rPr>
          <w:color w:val="1B1818"/>
          <w:spacing w:val="-12"/>
          <w:sz w:val="24"/>
        </w:rPr>
        <w:t> </w:t>
      </w:r>
      <w:r>
        <w:rPr>
          <w:color w:val="1B1818"/>
          <w:sz w:val="24"/>
        </w:rPr>
        <w:t>she</w:t>
      </w:r>
      <w:r>
        <w:rPr>
          <w:color w:val="1B1818"/>
          <w:spacing w:val="-16"/>
          <w:sz w:val="24"/>
        </w:rPr>
        <w:t> </w:t>
      </w:r>
      <w:r>
        <w:rPr>
          <w:color w:val="1B1818"/>
          <w:sz w:val="24"/>
        </w:rPr>
        <w:t>faces</w:t>
      </w:r>
      <w:r>
        <w:rPr>
          <w:color w:val="1B1818"/>
          <w:spacing w:val="-16"/>
          <w:sz w:val="24"/>
        </w:rPr>
        <w:t> </w:t>
      </w:r>
      <w:r>
        <w:rPr>
          <w:color w:val="1B1818"/>
          <w:sz w:val="24"/>
        </w:rPr>
        <w:t>numerous serious challenges to her claim. Sec 116 of the CPA</w:t>
      </w:r>
      <w:r>
        <w:rPr>
          <w:color w:val="1B1818"/>
          <w:position w:val="8"/>
          <w:sz w:val="16"/>
        </w:rPr>
        <w:t>1 </w:t>
      </w:r>
      <w:r>
        <w:rPr>
          <w:color w:val="1B1818"/>
          <w:sz w:val="24"/>
        </w:rPr>
        <w:t>states that a complaint may not be made to the Tribunal more than three years after the cause of the complaint arose. If the Tribunal accepts the Applicant's version that she informed the Respondent of the defects in the machine in November 2018, then this is when the cause of action would have arisen. Three years from November 2018 is October 2021. The application was filed with the Tribunal on 15 June 2022, more than eight months after the three-year period</w:t>
      </w:r>
      <w:r>
        <w:rPr>
          <w:color w:val="1B1818"/>
          <w:spacing w:val="-1"/>
          <w:sz w:val="24"/>
        </w:rPr>
        <w:t> </w:t>
      </w:r>
      <w:r>
        <w:rPr>
          <w:color w:val="1B1818"/>
          <w:sz w:val="24"/>
        </w:rPr>
        <w:t>lapsed.</w:t>
      </w:r>
    </w:p>
    <w:p>
      <w:pPr>
        <w:pStyle w:val="BodyText"/>
        <w:spacing w:before="4"/>
        <w:rPr>
          <w:sz w:val="20"/>
        </w:rPr>
      </w:pPr>
    </w:p>
    <w:p>
      <w:pPr>
        <w:pStyle w:val="ListParagraph"/>
        <w:numPr>
          <w:ilvl w:val="0"/>
          <w:numId w:val="1"/>
        </w:numPr>
        <w:tabs>
          <w:tab w:pos="707" w:val="left" w:leader="none"/>
        </w:tabs>
        <w:spacing w:line="357" w:lineRule="auto" w:before="0" w:after="0"/>
        <w:ind w:left="706" w:right="137" w:hanging="567"/>
        <w:jc w:val="both"/>
        <w:rPr>
          <w:color w:val="1B1818"/>
          <w:sz w:val="24"/>
        </w:rPr>
      </w:pPr>
      <w:r>
        <w:rPr>
          <w:color w:val="1B1818"/>
          <w:sz w:val="24"/>
        </w:rPr>
        <w:t>The</w:t>
      </w:r>
      <w:r>
        <w:rPr>
          <w:color w:val="1B1818"/>
          <w:spacing w:val="-6"/>
          <w:sz w:val="24"/>
        </w:rPr>
        <w:t> </w:t>
      </w:r>
      <w:r>
        <w:rPr>
          <w:color w:val="1B1818"/>
          <w:sz w:val="24"/>
        </w:rPr>
        <w:t>High</w:t>
      </w:r>
      <w:r>
        <w:rPr>
          <w:color w:val="1B1818"/>
          <w:spacing w:val="-6"/>
          <w:sz w:val="24"/>
        </w:rPr>
        <w:t> </w:t>
      </w:r>
      <w:r>
        <w:rPr>
          <w:color w:val="1B1818"/>
          <w:sz w:val="24"/>
        </w:rPr>
        <w:t>court</w:t>
      </w:r>
      <w:r>
        <w:rPr>
          <w:color w:val="1B1818"/>
          <w:spacing w:val="-6"/>
          <w:sz w:val="24"/>
        </w:rPr>
        <w:t> </w:t>
      </w:r>
      <w:r>
        <w:rPr>
          <w:color w:val="1B1818"/>
          <w:sz w:val="24"/>
        </w:rPr>
        <w:t>recently</w:t>
      </w:r>
      <w:r>
        <w:rPr>
          <w:color w:val="1B1818"/>
          <w:spacing w:val="-7"/>
          <w:sz w:val="24"/>
        </w:rPr>
        <w:t> </w:t>
      </w:r>
      <w:r>
        <w:rPr>
          <w:color w:val="1B1818"/>
          <w:sz w:val="24"/>
        </w:rPr>
        <w:t>issued</w:t>
      </w:r>
      <w:r>
        <w:rPr>
          <w:color w:val="1B1818"/>
          <w:spacing w:val="-3"/>
          <w:sz w:val="24"/>
        </w:rPr>
        <w:t> </w:t>
      </w:r>
      <w:r>
        <w:rPr>
          <w:color w:val="1B1818"/>
          <w:sz w:val="24"/>
        </w:rPr>
        <w:t>an</w:t>
      </w:r>
      <w:r>
        <w:rPr>
          <w:color w:val="1B1818"/>
          <w:spacing w:val="-5"/>
          <w:sz w:val="24"/>
        </w:rPr>
        <w:t> </w:t>
      </w:r>
      <w:r>
        <w:rPr>
          <w:color w:val="1B1818"/>
          <w:sz w:val="24"/>
        </w:rPr>
        <w:t>unreported</w:t>
      </w:r>
      <w:r>
        <w:rPr>
          <w:color w:val="1B1818"/>
          <w:spacing w:val="-8"/>
          <w:sz w:val="24"/>
        </w:rPr>
        <w:t> </w:t>
      </w:r>
      <w:r>
        <w:rPr>
          <w:color w:val="1B1818"/>
          <w:sz w:val="24"/>
        </w:rPr>
        <w:t>judgment</w:t>
      </w:r>
      <w:r>
        <w:rPr>
          <w:color w:val="1B1818"/>
          <w:spacing w:val="-5"/>
          <w:sz w:val="24"/>
        </w:rPr>
        <w:t> </w:t>
      </w:r>
      <w:r>
        <w:rPr>
          <w:color w:val="1B1818"/>
          <w:sz w:val="24"/>
        </w:rPr>
        <w:t>stating</w:t>
      </w:r>
      <w:r>
        <w:rPr>
          <w:color w:val="1B1818"/>
          <w:spacing w:val="-6"/>
          <w:sz w:val="24"/>
        </w:rPr>
        <w:t> </w:t>
      </w:r>
      <w:r>
        <w:rPr>
          <w:color w:val="1B1818"/>
          <w:sz w:val="24"/>
        </w:rPr>
        <w:t>that</w:t>
      </w:r>
      <w:r>
        <w:rPr>
          <w:color w:val="1B1818"/>
          <w:spacing w:val="-5"/>
          <w:sz w:val="24"/>
        </w:rPr>
        <w:t> </w:t>
      </w:r>
      <w:r>
        <w:rPr>
          <w:color w:val="1B1818"/>
          <w:sz w:val="24"/>
        </w:rPr>
        <w:t>the</w:t>
      </w:r>
      <w:r>
        <w:rPr>
          <w:color w:val="1B1818"/>
          <w:spacing w:val="-6"/>
          <w:sz w:val="24"/>
        </w:rPr>
        <w:t> </w:t>
      </w:r>
      <w:r>
        <w:rPr>
          <w:color w:val="1B1818"/>
          <w:sz w:val="24"/>
        </w:rPr>
        <w:t>Tribunal</w:t>
      </w:r>
      <w:r>
        <w:rPr>
          <w:color w:val="1B1818"/>
          <w:spacing w:val="-7"/>
          <w:sz w:val="24"/>
        </w:rPr>
        <w:t> </w:t>
      </w:r>
      <w:r>
        <w:rPr>
          <w:color w:val="1B1818"/>
          <w:sz w:val="24"/>
        </w:rPr>
        <w:t>had</w:t>
      </w:r>
      <w:r>
        <w:rPr>
          <w:color w:val="1B1818"/>
          <w:spacing w:val="-7"/>
          <w:sz w:val="24"/>
        </w:rPr>
        <w:t> </w:t>
      </w:r>
      <w:r>
        <w:rPr>
          <w:color w:val="1B1818"/>
          <w:sz w:val="24"/>
        </w:rPr>
        <w:t>no power to interrupt prescription</w:t>
      </w:r>
      <w:r>
        <w:rPr>
          <w:color w:val="1B1818"/>
          <w:position w:val="8"/>
          <w:sz w:val="16"/>
        </w:rPr>
        <w:t>2</w:t>
      </w:r>
      <w:r>
        <w:rPr>
          <w:color w:val="1B1818"/>
          <w:sz w:val="24"/>
        </w:rPr>
        <w:t>. Although the High court judgment referred to section 166 of the National Credit Act, 34 of 2005 ("NCA"), section 116 of the CPA and</w:t>
      </w:r>
      <w:r>
        <w:rPr>
          <w:color w:val="1B1818"/>
          <w:spacing w:val="-35"/>
          <w:sz w:val="24"/>
        </w:rPr>
        <w:t> </w:t>
      </w:r>
      <w:r>
        <w:rPr>
          <w:color w:val="1B1818"/>
          <w:sz w:val="24"/>
        </w:rPr>
        <w:t>section</w:t>
      </w:r>
    </w:p>
    <w:p>
      <w:pPr>
        <w:spacing w:line="360" w:lineRule="auto" w:before="5"/>
        <w:ind w:left="706" w:right="137" w:firstLine="0"/>
        <w:jc w:val="both"/>
        <w:rPr>
          <w:i/>
          <w:sz w:val="24"/>
        </w:rPr>
      </w:pPr>
      <w:r>
        <w:rPr>
          <w:color w:val="1B1818"/>
          <w:sz w:val="24"/>
        </w:rPr>
        <w:t>166 of the NCA have the same wording. The High court also stated that the requirements of Section166 are peremptory and referred to a previous decision of the Tribunal and </w:t>
      </w:r>
      <w:r>
        <w:rPr>
          <w:i/>
          <w:color w:val="1B1818"/>
          <w:sz w:val="24"/>
        </w:rPr>
        <w:t>stated "…in Mapeka v FirstRand Bank Ltd (Wesbank) case number </w:t>
      </w:r>
      <w:r>
        <w:rPr>
          <w:i/>
          <w:color w:val="1B1818"/>
          <w:sz w:val="24"/>
        </w:rPr>
        <w:t>NCT/14020/2014/141</w:t>
      </w:r>
      <w:r>
        <w:rPr>
          <w:i/>
          <w:color w:val="1B1818"/>
          <w:spacing w:val="-6"/>
          <w:sz w:val="24"/>
        </w:rPr>
        <w:t> </w:t>
      </w:r>
      <w:r>
        <w:rPr>
          <w:i/>
          <w:color w:val="1B1818"/>
          <w:sz w:val="24"/>
        </w:rPr>
        <w:t>par</w:t>
      </w:r>
      <w:r>
        <w:rPr>
          <w:i/>
          <w:color w:val="1B1818"/>
          <w:spacing w:val="-6"/>
          <w:sz w:val="24"/>
        </w:rPr>
        <w:t> </w:t>
      </w:r>
      <w:r>
        <w:rPr>
          <w:i/>
          <w:color w:val="1B1818"/>
          <w:sz w:val="24"/>
        </w:rPr>
        <w:t>21:</w:t>
      </w:r>
      <w:r>
        <w:rPr>
          <w:i/>
          <w:color w:val="1B1818"/>
          <w:spacing w:val="-5"/>
          <w:sz w:val="24"/>
        </w:rPr>
        <w:t> </w:t>
      </w:r>
      <w:r>
        <w:rPr>
          <w:i/>
          <w:color w:val="1B1818"/>
          <w:sz w:val="24"/>
        </w:rPr>
        <w:t>Section</w:t>
      </w:r>
      <w:r>
        <w:rPr>
          <w:i/>
          <w:color w:val="1B1818"/>
          <w:spacing w:val="-7"/>
          <w:sz w:val="24"/>
        </w:rPr>
        <w:t> </w:t>
      </w:r>
      <w:r>
        <w:rPr>
          <w:i/>
          <w:color w:val="1B1818"/>
          <w:sz w:val="24"/>
        </w:rPr>
        <w:t>161(2)</w:t>
      </w:r>
      <w:r>
        <w:rPr>
          <w:i/>
          <w:color w:val="1B1818"/>
          <w:spacing w:val="-9"/>
          <w:sz w:val="24"/>
        </w:rPr>
        <w:t> </w:t>
      </w:r>
      <w:r>
        <w:rPr>
          <w:i/>
          <w:color w:val="1B1818"/>
          <w:sz w:val="24"/>
        </w:rPr>
        <w:t>of</w:t>
      </w:r>
      <w:r>
        <w:rPr>
          <w:i/>
          <w:color w:val="1B1818"/>
          <w:spacing w:val="-5"/>
          <w:sz w:val="24"/>
        </w:rPr>
        <w:t> </w:t>
      </w:r>
      <w:r>
        <w:rPr>
          <w:i/>
          <w:color w:val="1B1818"/>
          <w:sz w:val="24"/>
        </w:rPr>
        <w:t>the</w:t>
      </w:r>
      <w:r>
        <w:rPr>
          <w:i/>
          <w:color w:val="1B1818"/>
          <w:spacing w:val="-5"/>
          <w:sz w:val="24"/>
        </w:rPr>
        <w:t> </w:t>
      </w:r>
      <w:r>
        <w:rPr>
          <w:i/>
          <w:color w:val="1B1818"/>
          <w:sz w:val="24"/>
        </w:rPr>
        <w:t>Act</w:t>
      </w:r>
      <w:r>
        <w:rPr>
          <w:i/>
          <w:color w:val="1B1818"/>
          <w:spacing w:val="-5"/>
          <w:sz w:val="24"/>
        </w:rPr>
        <w:t> </w:t>
      </w:r>
      <w:r>
        <w:rPr>
          <w:i/>
          <w:color w:val="1B1818"/>
          <w:sz w:val="24"/>
        </w:rPr>
        <w:t>is</w:t>
      </w:r>
      <w:r>
        <w:rPr>
          <w:i/>
          <w:color w:val="1B1818"/>
          <w:spacing w:val="-7"/>
          <w:sz w:val="24"/>
        </w:rPr>
        <w:t> </w:t>
      </w:r>
      <w:r>
        <w:rPr>
          <w:i/>
          <w:color w:val="1B1818"/>
          <w:sz w:val="24"/>
        </w:rPr>
        <w:t>very</w:t>
      </w:r>
      <w:r>
        <w:rPr>
          <w:i/>
          <w:color w:val="1B1818"/>
          <w:spacing w:val="-6"/>
          <w:sz w:val="24"/>
        </w:rPr>
        <w:t> </w:t>
      </w:r>
      <w:r>
        <w:rPr>
          <w:i/>
          <w:color w:val="1B1818"/>
          <w:sz w:val="24"/>
        </w:rPr>
        <w:t>clear</w:t>
      </w:r>
      <w:r>
        <w:rPr>
          <w:i/>
          <w:color w:val="1B1818"/>
          <w:spacing w:val="-6"/>
          <w:sz w:val="24"/>
        </w:rPr>
        <w:t> </w:t>
      </w:r>
      <w:r>
        <w:rPr>
          <w:i/>
          <w:color w:val="1B1818"/>
          <w:sz w:val="24"/>
        </w:rPr>
        <w:t>and</w:t>
      </w:r>
      <w:r>
        <w:rPr>
          <w:i/>
          <w:color w:val="1B1818"/>
          <w:spacing w:val="-5"/>
          <w:sz w:val="24"/>
        </w:rPr>
        <w:t> </w:t>
      </w:r>
      <w:r>
        <w:rPr>
          <w:i/>
          <w:color w:val="1B1818"/>
          <w:sz w:val="24"/>
        </w:rPr>
        <w:t>does</w:t>
      </w:r>
      <w:r>
        <w:rPr>
          <w:i/>
          <w:color w:val="1B1818"/>
          <w:spacing w:val="-6"/>
          <w:sz w:val="24"/>
        </w:rPr>
        <w:t> </w:t>
      </w:r>
      <w:r>
        <w:rPr>
          <w:i/>
          <w:color w:val="1B1818"/>
          <w:sz w:val="24"/>
        </w:rPr>
        <w:t>not</w:t>
      </w:r>
      <w:r>
        <w:rPr>
          <w:i/>
          <w:color w:val="1B1818"/>
          <w:spacing w:val="-5"/>
          <w:sz w:val="24"/>
        </w:rPr>
        <w:t> </w:t>
      </w:r>
      <w:r>
        <w:rPr>
          <w:i/>
          <w:color w:val="1B1818"/>
          <w:sz w:val="24"/>
        </w:rPr>
        <w:t>allow any discretionary element. It places an absolute bar on if the matter is older than three years".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9"/>
        </w:rPr>
      </w:pPr>
      <w:r>
        <w:rPr/>
        <w:pict>
          <v:shape style="position:absolute;margin-left:54pt;margin-top:13.783217pt;width:144.050pt;height:.1pt;mso-position-horizontal-relative:page;mso-position-vertical-relative:paragraph;z-index:-251655168;mso-wrap-distance-left:0;mso-wrap-distance-right:0" coordorigin="1080,276" coordsize="2881,0" path="m1080,276l3961,276e" filled="false" stroked="true" strokeweight=".72003pt" strokecolor="#000000">
            <v:path arrowok="t"/>
            <v:stroke dashstyle="solid"/>
            <w10:wrap type="topAndBottom"/>
          </v:shape>
        </w:pict>
      </w:r>
    </w:p>
    <w:p>
      <w:pPr>
        <w:spacing w:before="69"/>
        <w:ind w:left="140" w:right="0" w:firstLine="0"/>
        <w:jc w:val="left"/>
        <w:rPr>
          <w:rFonts w:ascii="Calibri"/>
          <w:b/>
          <w:sz w:val="20"/>
        </w:rPr>
      </w:pPr>
      <w:r>
        <w:rPr>
          <w:rFonts w:ascii="Calibri"/>
          <w:position w:val="7"/>
          <w:sz w:val="13"/>
        </w:rPr>
        <w:t>1 </w:t>
      </w:r>
      <w:r>
        <w:rPr>
          <w:rFonts w:ascii="Calibri"/>
          <w:b/>
          <w:sz w:val="20"/>
        </w:rPr>
        <w:t>Limitations of bringing action</w:t>
      </w:r>
    </w:p>
    <w:p>
      <w:pPr>
        <w:spacing w:before="1"/>
        <w:ind w:left="140" w:right="177" w:firstLine="0"/>
        <w:jc w:val="left"/>
        <w:rPr>
          <w:rFonts w:ascii="Calibri" w:hAnsi="Calibri"/>
          <w:sz w:val="20"/>
        </w:rPr>
      </w:pPr>
      <w:r>
        <w:rPr>
          <w:rFonts w:ascii="Calibri" w:hAnsi="Calibri"/>
          <w:b/>
          <w:sz w:val="20"/>
        </w:rPr>
        <w:t>116. </w:t>
      </w:r>
      <w:r>
        <w:rPr>
          <w:rFonts w:ascii="Calibri" w:hAnsi="Calibri"/>
          <w:sz w:val="20"/>
        </w:rPr>
        <w:t>(1) A complaint in terms of this Act may not be referred or made to the Tribunal or to a consumer court more than three years after—</w:t>
      </w:r>
    </w:p>
    <w:p>
      <w:pPr>
        <w:pStyle w:val="ListParagraph"/>
        <w:numPr>
          <w:ilvl w:val="0"/>
          <w:numId w:val="2"/>
        </w:numPr>
        <w:tabs>
          <w:tab w:pos="1130" w:val="left" w:leader="none"/>
        </w:tabs>
        <w:spacing w:line="243" w:lineRule="exact" w:before="0" w:after="0"/>
        <w:ind w:left="1129" w:right="0" w:hanging="270"/>
        <w:jc w:val="left"/>
        <w:rPr>
          <w:rFonts w:ascii="Calibri"/>
          <w:sz w:val="20"/>
        </w:rPr>
      </w:pPr>
      <w:r>
        <w:rPr>
          <w:rFonts w:ascii="Calibri"/>
          <w:sz w:val="20"/>
        </w:rPr>
        <w:t>the act or omission that is the cause of the complaint;</w:t>
      </w:r>
      <w:r>
        <w:rPr>
          <w:rFonts w:ascii="Calibri"/>
          <w:spacing w:val="-10"/>
          <w:sz w:val="20"/>
        </w:rPr>
        <w:t> </w:t>
      </w:r>
      <w:r>
        <w:rPr>
          <w:rFonts w:ascii="Calibri"/>
          <w:sz w:val="20"/>
        </w:rPr>
        <w:t>or</w:t>
      </w:r>
    </w:p>
    <w:p>
      <w:pPr>
        <w:pStyle w:val="ListParagraph"/>
        <w:numPr>
          <w:ilvl w:val="0"/>
          <w:numId w:val="2"/>
        </w:numPr>
        <w:tabs>
          <w:tab w:pos="1130" w:val="left" w:leader="none"/>
        </w:tabs>
        <w:spacing w:line="240" w:lineRule="auto" w:before="0" w:after="0"/>
        <w:ind w:left="1129" w:right="0" w:hanging="270"/>
        <w:jc w:val="left"/>
        <w:rPr>
          <w:rFonts w:ascii="Calibri"/>
          <w:sz w:val="20"/>
        </w:rPr>
      </w:pPr>
      <w:r>
        <w:rPr>
          <w:rFonts w:ascii="Calibri"/>
          <w:sz w:val="20"/>
        </w:rPr>
        <w:t>in the case of a course of conduct or continuing practice, the date that the conduct or practice</w:t>
      </w:r>
      <w:r>
        <w:rPr>
          <w:rFonts w:ascii="Calibri"/>
          <w:spacing w:val="-24"/>
          <w:sz w:val="20"/>
        </w:rPr>
        <w:t> </w:t>
      </w:r>
      <w:r>
        <w:rPr>
          <w:rFonts w:ascii="Calibri"/>
          <w:sz w:val="20"/>
        </w:rPr>
        <w:t>ceased.</w:t>
      </w:r>
    </w:p>
    <w:p>
      <w:pPr>
        <w:spacing w:before="1"/>
        <w:ind w:left="140" w:right="572" w:firstLine="0"/>
        <w:jc w:val="left"/>
        <w:rPr>
          <w:rFonts w:ascii="Calibri"/>
          <w:sz w:val="20"/>
        </w:rPr>
      </w:pPr>
      <w:r>
        <w:rPr>
          <w:rFonts w:ascii="Calibri"/>
          <w:sz w:val="20"/>
        </w:rPr>
        <w:t>(2) A complaint in terms of this Act may not be referred to the Tribunal or to a consumer court in terms of this Act, against any person that is, or has been, a respondent in proceedings under another section of this Act relating substantially to the same conduct.</w:t>
      </w:r>
    </w:p>
    <w:p>
      <w:pPr>
        <w:spacing w:line="240" w:lineRule="auto" w:before="0"/>
        <w:ind w:left="140" w:right="917" w:firstLine="0"/>
        <w:jc w:val="left"/>
        <w:rPr>
          <w:rFonts w:ascii="Calibri"/>
          <w:sz w:val="20"/>
        </w:rPr>
      </w:pPr>
      <w:r>
        <w:rPr>
          <w:rFonts w:ascii="Calibri"/>
          <w:position w:val="7"/>
          <w:sz w:val="13"/>
        </w:rPr>
        <w:t>2 </w:t>
      </w:r>
      <w:r>
        <w:rPr>
          <w:rFonts w:ascii="Calibri"/>
          <w:sz w:val="20"/>
        </w:rPr>
        <w:t>FirstRand Bank Ltd v A Ludick A277/2019 High Court of South Africa, Gauteng, Pretoria division, 18 June 2020 (unreported).</w:t>
      </w:r>
    </w:p>
    <w:p>
      <w:pPr>
        <w:spacing w:after="0" w:line="240" w:lineRule="auto"/>
        <w:jc w:val="left"/>
        <w:rPr>
          <w:rFonts w:ascii="Calibri"/>
          <w:sz w:val="20"/>
        </w:rPr>
        <w:sectPr>
          <w:pgSz w:w="11910" w:h="16840"/>
          <w:pgMar w:header="554" w:footer="274" w:top="1300" w:bottom="460" w:left="940" w:right="940"/>
        </w:sectPr>
      </w:pPr>
    </w:p>
    <w:p>
      <w:pPr>
        <w:pStyle w:val="BodyText"/>
        <w:rPr>
          <w:rFonts w:ascii="Calibri"/>
          <w:sz w:val="20"/>
        </w:rPr>
      </w:pPr>
    </w:p>
    <w:p>
      <w:pPr>
        <w:pStyle w:val="BodyText"/>
        <w:spacing w:before="7"/>
        <w:rPr>
          <w:rFonts w:ascii="Calibri"/>
          <w:sz w:val="18"/>
        </w:rPr>
      </w:pPr>
    </w:p>
    <w:p>
      <w:pPr>
        <w:pStyle w:val="ListParagraph"/>
        <w:numPr>
          <w:ilvl w:val="0"/>
          <w:numId w:val="3"/>
        </w:numPr>
        <w:tabs>
          <w:tab w:pos="707" w:val="left" w:leader="none"/>
        </w:tabs>
        <w:spacing w:line="360" w:lineRule="auto" w:before="92" w:after="0"/>
        <w:ind w:left="706" w:right="145" w:hanging="567"/>
        <w:jc w:val="both"/>
        <w:rPr>
          <w:color w:val="1B1818"/>
          <w:sz w:val="24"/>
        </w:rPr>
      </w:pPr>
      <w:r>
        <w:rPr>
          <w:color w:val="1B1818"/>
          <w:sz w:val="24"/>
        </w:rPr>
        <w:t>The Tribunal is bound by the High court judgment and must apply the provisions of section 116 of the CPA</w:t>
      </w:r>
      <w:r>
        <w:rPr>
          <w:color w:val="1B1818"/>
          <w:spacing w:val="-11"/>
          <w:sz w:val="24"/>
        </w:rPr>
        <w:t> </w:t>
      </w:r>
      <w:r>
        <w:rPr>
          <w:color w:val="1B1818"/>
          <w:sz w:val="24"/>
        </w:rPr>
        <w:t>strictly.</w:t>
      </w:r>
    </w:p>
    <w:p>
      <w:pPr>
        <w:pStyle w:val="BodyText"/>
        <w:spacing w:before="10"/>
        <w:rPr>
          <w:sz w:val="20"/>
        </w:rPr>
      </w:pPr>
    </w:p>
    <w:p>
      <w:pPr>
        <w:pStyle w:val="Heading1"/>
      </w:pPr>
      <w:r>
        <w:rPr/>
        <w:t>CONCLUSION</w:t>
      </w:r>
    </w:p>
    <w:p>
      <w:pPr>
        <w:pStyle w:val="BodyText"/>
        <w:rPr>
          <w:b/>
          <w:sz w:val="33"/>
        </w:rPr>
      </w:pPr>
    </w:p>
    <w:p>
      <w:pPr>
        <w:pStyle w:val="ListParagraph"/>
        <w:numPr>
          <w:ilvl w:val="0"/>
          <w:numId w:val="3"/>
        </w:numPr>
        <w:tabs>
          <w:tab w:pos="707" w:val="left" w:leader="none"/>
        </w:tabs>
        <w:spacing w:line="360" w:lineRule="auto" w:before="0" w:after="0"/>
        <w:ind w:left="706" w:right="134" w:hanging="567"/>
        <w:jc w:val="both"/>
        <w:rPr>
          <w:sz w:val="24"/>
        </w:rPr>
      </w:pPr>
      <w:r>
        <w:rPr>
          <w:sz w:val="24"/>
        </w:rPr>
        <w:t>The Tribunal finds that the matter is of substantial importance to the Applicant. The general circumstances under which the Applicant purchased the machine falls within the ambit of the</w:t>
      </w:r>
      <w:r>
        <w:rPr>
          <w:spacing w:val="-5"/>
          <w:sz w:val="24"/>
        </w:rPr>
        <w:t> </w:t>
      </w:r>
      <w:r>
        <w:rPr>
          <w:sz w:val="24"/>
        </w:rPr>
        <w:t>CPA.</w:t>
      </w:r>
    </w:p>
    <w:p>
      <w:pPr>
        <w:pStyle w:val="BodyText"/>
        <w:spacing w:before="9"/>
        <w:rPr>
          <w:sz w:val="20"/>
        </w:rPr>
      </w:pPr>
    </w:p>
    <w:p>
      <w:pPr>
        <w:pStyle w:val="ListParagraph"/>
        <w:numPr>
          <w:ilvl w:val="0"/>
          <w:numId w:val="3"/>
        </w:numPr>
        <w:tabs>
          <w:tab w:pos="707" w:val="left" w:leader="none"/>
        </w:tabs>
        <w:spacing w:line="362" w:lineRule="auto" w:before="0" w:after="0"/>
        <w:ind w:left="706" w:right="144" w:hanging="567"/>
        <w:jc w:val="both"/>
        <w:rPr>
          <w:sz w:val="24"/>
        </w:rPr>
      </w:pPr>
      <w:r>
        <w:rPr>
          <w:sz w:val="24"/>
        </w:rPr>
        <w:t>However, the Applicant's claim has prescribed. The application was filed with the Tribunal more than three years after the cause of action</w:t>
      </w:r>
      <w:r>
        <w:rPr>
          <w:spacing w:val="-10"/>
          <w:sz w:val="24"/>
        </w:rPr>
        <w:t> </w:t>
      </w:r>
      <w:r>
        <w:rPr>
          <w:sz w:val="24"/>
        </w:rPr>
        <w:t>arose.</w:t>
      </w:r>
    </w:p>
    <w:p>
      <w:pPr>
        <w:pStyle w:val="BodyText"/>
        <w:spacing w:before="5"/>
        <w:rPr>
          <w:sz w:val="20"/>
        </w:rPr>
      </w:pPr>
    </w:p>
    <w:p>
      <w:pPr>
        <w:pStyle w:val="ListParagraph"/>
        <w:numPr>
          <w:ilvl w:val="0"/>
          <w:numId w:val="3"/>
        </w:numPr>
        <w:tabs>
          <w:tab w:pos="707" w:val="left" w:leader="none"/>
        </w:tabs>
        <w:spacing w:line="360" w:lineRule="auto" w:before="0" w:after="0"/>
        <w:ind w:left="706" w:right="144" w:hanging="567"/>
        <w:jc w:val="both"/>
        <w:rPr>
          <w:sz w:val="24"/>
        </w:rPr>
      </w:pPr>
      <w:r>
        <w:rPr>
          <w:sz w:val="24"/>
        </w:rPr>
        <w:t>There is no reasonable prospect of the Tribunal being able to adjudicate on the Applicant's</w:t>
      </w:r>
      <w:r>
        <w:rPr>
          <w:spacing w:val="-1"/>
          <w:sz w:val="24"/>
        </w:rPr>
        <w:t> </w:t>
      </w:r>
      <w:r>
        <w:rPr>
          <w:sz w:val="24"/>
        </w:rPr>
        <w:t>claim.</w:t>
      </w:r>
    </w:p>
    <w:p>
      <w:pPr>
        <w:pStyle w:val="BodyText"/>
        <w:spacing w:before="10"/>
        <w:rPr>
          <w:sz w:val="20"/>
        </w:rPr>
      </w:pPr>
    </w:p>
    <w:p>
      <w:pPr>
        <w:pStyle w:val="Heading1"/>
      </w:pPr>
      <w:r>
        <w:rPr/>
        <w:t>ORDER</w:t>
      </w:r>
    </w:p>
    <w:p>
      <w:pPr>
        <w:pStyle w:val="BodyText"/>
        <w:spacing w:before="9"/>
        <w:rPr>
          <w:b/>
          <w:sz w:val="32"/>
        </w:rPr>
      </w:pPr>
    </w:p>
    <w:p>
      <w:pPr>
        <w:pStyle w:val="ListParagraph"/>
        <w:numPr>
          <w:ilvl w:val="0"/>
          <w:numId w:val="3"/>
        </w:numPr>
        <w:tabs>
          <w:tab w:pos="706" w:val="left" w:leader="none"/>
          <w:tab w:pos="707" w:val="left" w:leader="none"/>
        </w:tabs>
        <w:spacing w:line="240" w:lineRule="auto" w:before="0" w:after="0"/>
        <w:ind w:left="706" w:right="0" w:hanging="567"/>
        <w:jc w:val="left"/>
        <w:rPr>
          <w:sz w:val="24"/>
        </w:rPr>
      </w:pPr>
      <w:r>
        <w:rPr>
          <w:sz w:val="24"/>
        </w:rPr>
        <w:t>Accordingly, the Tribunal makes the following order</w:t>
      </w:r>
      <w:r>
        <w:rPr>
          <w:spacing w:val="-3"/>
          <w:sz w:val="24"/>
        </w:rPr>
        <w:t> </w:t>
      </w:r>
      <w:r>
        <w:rPr>
          <w:sz w:val="24"/>
        </w:rPr>
        <w:t>–</w:t>
      </w:r>
    </w:p>
    <w:p>
      <w:pPr>
        <w:pStyle w:val="BodyText"/>
        <w:rPr>
          <w:sz w:val="33"/>
        </w:rPr>
      </w:pPr>
    </w:p>
    <w:p>
      <w:pPr>
        <w:pStyle w:val="ListParagraph"/>
        <w:numPr>
          <w:ilvl w:val="1"/>
          <w:numId w:val="3"/>
        </w:numPr>
        <w:tabs>
          <w:tab w:pos="1580" w:val="left" w:leader="none"/>
          <w:tab w:pos="1581" w:val="left" w:leader="none"/>
        </w:tabs>
        <w:spacing w:line="240" w:lineRule="auto" w:before="0" w:after="0"/>
        <w:ind w:left="1580" w:right="0" w:hanging="1081"/>
        <w:jc w:val="left"/>
        <w:rPr>
          <w:sz w:val="24"/>
        </w:rPr>
      </w:pPr>
      <w:r>
        <w:rPr>
          <w:sz w:val="24"/>
        </w:rPr>
        <w:t>The Applicant's application for leave to refer is refused;</w:t>
      </w:r>
      <w:r>
        <w:rPr>
          <w:spacing w:val="-6"/>
          <w:sz w:val="24"/>
        </w:rPr>
        <w:t> </w:t>
      </w:r>
      <w:r>
        <w:rPr>
          <w:sz w:val="24"/>
        </w:rPr>
        <w:t>and</w:t>
      </w:r>
    </w:p>
    <w:p>
      <w:pPr>
        <w:pStyle w:val="BodyText"/>
        <w:spacing w:before="9"/>
        <w:rPr>
          <w:sz w:val="32"/>
        </w:rPr>
      </w:pPr>
    </w:p>
    <w:p>
      <w:pPr>
        <w:pStyle w:val="ListParagraph"/>
        <w:numPr>
          <w:ilvl w:val="1"/>
          <w:numId w:val="3"/>
        </w:numPr>
        <w:tabs>
          <w:tab w:pos="1580" w:val="left" w:leader="none"/>
          <w:tab w:pos="1581" w:val="left" w:leader="none"/>
        </w:tabs>
        <w:spacing w:line="240" w:lineRule="auto" w:before="0" w:after="0"/>
        <w:ind w:left="1580" w:right="0" w:hanging="1081"/>
        <w:jc w:val="left"/>
        <w:rPr>
          <w:sz w:val="24"/>
        </w:rPr>
      </w:pPr>
      <w:r>
        <w:rPr>
          <w:sz w:val="24"/>
        </w:rPr>
        <w:t>There is no order as to costs.</w:t>
      </w:r>
    </w:p>
    <w:p>
      <w:pPr>
        <w:pStyle w:val="BodyText"/>
        <w:rPr>
          <w:sz w:val="26"/>
        </w:rPr>
      </w:pPr>
    </w:p>
    <w:p>
      <w:pPr>
        <w:pStyle w:val="BodyText"/>
        <w:rPr>
          <w:sz w:val="26"/>
        </w:rPr>
      </w:pPr>
    </w:p>
    <w:p>
      <w:pPr>
        <w:pStyle w:val="BodyText"/>
        <w:rPr>
          <w:sz w:val="26"/>
        </w:rPr>
      </w:pPr>
    </w:p>
    <w:p>
      <w:pPr>
        <w:pStyle w:val="BodyText"/>
        <w:spacing w:before="6"/>
        <w:rPr>
          <w:sz w:val="26"/>
        </w:rPr>
      </w:pPr>
    </w:p>
    <w:p>
      <w:pPr>
        <w:pStyle w:val="BodyText"/>
        <w:spacing w:before="1"/>
        <w:ind w:left="140"/>
      </w:pPr>
      <w:r>
        <w:rPr/>
        <w:t>THUS DONE IN PRETORIA ON THIS 2</w:t>
      </w:r>
      <w:r>
        <w:rPr>
          <w:position w:val="8"/>
          <w:sz w:val="16"/>
        </w:rPr>
        <w:t>ND </w:t>
      </w:r>
      <w:r>
        <w:rPr/>
        <w:t>DAY OF AUGUST 2022</w:t>
      </w:r>
    </w:p>
    <w:p>
      <w:pPr>
        <w:pStyle w:val="BodyText"/>
        <w:rPr>
          <w:sz w:val="28"/>
        </w:rPr>
      </w:pPr>
    </w:p>
    <w:p>
      <w:pPr>
        <w:pStyle w:val="BodyText"/>
        <w:spacing w:before="8"/>
        <w:rPr>
          <w:sz w:val="37"/>
        </w:rPr>
      </w:pPr>
    </w:p>
    <w:p>
      <w:pPr>
        <w:pStyle w:val="BodyText"/>
        <w:ind w:left="140"/>
      </w:pPr>
      <w:r>
        <w:rPr/>
        <w:t>[signed]</w:t>
      </w:r>
    </w:p>
    <w:p>
      <w:pPr>
        <w:pStyle w:val="BodyText"/>
        <w:spacing w:before="9"/>
        <w:rPr>
          <w:sz w:val="32"/>
        </w:rPr>
      </w:pPr>
    </w:p>
    <w:p>
      <w:pPr>
        <w:pStyle w:val="Heading1"/>
      </w:pPr>
      <w:r>
        <w:rPr/>
        <w:t>Ms H Alwar</w:t>
      </w:r>
    </w:p>
    <w:p>
      <w:pPr>
        <w:spacing w:before="0"/>
        <w:ind w:left="140" w:right="0" w:firstLine="0"/>
        <w:jc w:val="left"/>
        <w:rPr>
          <w:b/>
          <w:sz w:val="24"/>
        </w:rPr>
      </w:pPr>
      <w:r>
        <w:rPr>
          <w:b/>
          <w:sz w:val="24"/>
        </w:rPr>
        <w:t>Presiding Tribunal Member</w:t>
      </w:r>
    </w:p>
    <w:p>
      <w:pPr>
        <w:pStyle w:val="BodyText"/>
        <w:spacing w:before="4"/>
        <w:rPr>
          <w:b/>
          <w:sz w:val="17"/>
        </w:rPr>
      </w:pPr>
      <w:r>
        <w:rPr/>
        <w:drawing>
          <wp:anchor distT="0" distB="0" distL="0" distR="0" allowOverlap="1" layoutInCell="1" locked="0" behindDoc="0" simplePos="0" relativeHeight="4">
            <wp:simplePos x="0" y="0"/>
            <wp:positionH relativeFrom="page">
              <wp:posOffset>685800</wp:posOffset>
            </wp:positionH>
            <wp:positionV relativeFrom="paragraph">
              <wp:posOffset>151909</wp:posOffset>
            </wp:positionV>
            <wp:extent cx="2496198" cy="133273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2496198" cy="1332738"/>
                    </a:xfrm>
                    <a:prstGeom prst="rect">
                      <a:avLst/>
                    </a:prstGeom>
                  </pic:spPr>
                </pic:pic>
              </a:graphicData>
            </a:graphic>
          </wp:anchor>
        </w:drawing>
      </w:r>
    </w:p>
    <w:sectPr>
      <w:pgSz w:w="11910" w:h="16840"/>
      <w:pgMar w:header="554" w:footer="274" w:top="1300" w:bottom="46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619995pt;margin-top:820.356079pt;width:39.75pt;height:12.35pt;mso-position-horizontal-relative:page;mso-position-vertical-relative:page;z-index:-251869184" type="#_x0000_t202" filled="false" stroked="false">
          <v:textbox inset="0,0,0,0">
            <w:txbxContent>
              <w:p>
                <w:pPr>
                  <w:spacing w:before="19"/>
                  <w:ind w:left="20" w:right="0" w:firstLine="0"/>
                  <w:jc w:val="left"/>
                  <w:rPr>
                    <w:rFonts w:ascii="Arial Narrow"/>
                    <w:sz w:val="18"/>
                  </w:rPr>
                </w:pPr>
                <w:r>
                  <w:rPr>
                    <w:rFonts w:ascii="Arial Narrow"/>
                    <w:sz w:val="18"/>
                  </w:rPr>
                  <w:t>Page </w:t>
                </w:r>
                <w:r>
                  <w:rPr/>
                  <w:fldChar w:fldCharType="begin"/>
                </w:r>
                <w:r>
                  <w:rPr>
                    <w:rFonts w:ascii="Arial Narrow"/>
                    <w:sz w:val="18"/>
                  </w:rPr>
                  <w:instrText> PAGE </w:instrText>
                </w:r>
                <w:r>
                  <w:rPr/>
                  <w:fldChar w:fldCharType="separate"/>
                </w:r>
                <w:r>
                  <w:rPr/>
                  <w:t>1</w:t>
                </w:r>
                <w:r>
                  <w:rPr/>
                  <w:fldChar w:fldCharType="end"/>
                </w:r>
                <w:r>
                  <w:rPr>
                    <w:rFonts w:ascii="Arial Narrow"/>
                    <w:sz w:val="18"/>
                  </w:rPr>
                  <w:t>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19995pt;margin-top:817.236084pt;width:39.75pt;height:12.35pt;mso-position-horizontal-relative:page;mso-position-vertical-relative:page;z-index:-251867136"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2</w:t>
                </w:r>
                <w:r>
                  <w:rPr/>
                  <w:fldChar w:fldCharType="end"/>
                </w:r>
                <w:r>
                  <w:rPr>
                    <w:rFonts w:ascii="Arial Narrow"/>
                    <w:b/>
                    <w:sz w:val="18"/>
                  </w:rPr>
                  <w:t> </w:t>
                </w:r>
                <w:r>
                  <w:rPr>
                    <w:rFonts w:ascii="Arial Narrow"/>
                    <w:sz w:val="18"/>
                  </w:rPr>
                  <w:t>of </w:t>
                </w:r>
                <w:r>
                  <w:rPr>
                    <w:rFonts w:ascii="Arial Narrow"/>
                    <w:b/>
                    <w:sz w:val="18"/>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070007pt;margin-top:26.703459pt;width:165.25pt;height:39.65pt;mso-position-horizontal-relative:page;mso-position-vertical-relative:page;z-index:-251868160" type="#_x0000_t202" filled="false" stroked="false">
          <v:textbox inset="0,0,0,0">
            <w:txbxContent>
              <w:p>
                <w:pPr>
                  <w:spacing w:line="276" w:lineRule="auto" w:before="12"/>
                  <w:ind w:left="99" w:right="18" w:hanging="120"/>
                  <w:jc w:val="right"/>
                  <w:rPr>
                    <w:sz w:val="20"/>
                  </w:rPr>
                </w:pPr>
                <w:r>
                  <w:rPr>
                    <w:sz w:val="20"/>
                  </w:rPr>
                  <w:t>Leave to refer judgment and reasons</w:t>
                </w:r>
                <w:r>
                  <w:rPr>
                    <w:w w:val="99"/>
                    <w:sz w:val="20"/>
                  </w:rPr>
                  <w:t> </w:t>
                </w:r>
                <w:r>
                  <w:rPr>
                    <w:sz w:val="20"/>
                  </w:rPr>
                  <w:t>L Pepeta v Mitchell Munck (Pty) Ltd</w:t>
                </w:r>
                <w:r>
                  <w:rPr>
                    <w:w w:val="99"/>
                    <w:sz w:val="20"/>
                  </w:rPr>
                  <w:t> </w:t>
                </w:r>
                <w:r>
                  <w:rPr>
                    <w:sz w:val="20"/>
                  </w:rPr>
                  <w:t>NCT/231628/2022/75(1)(b)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129" w:hanging="269"/>
        <w:jc w:val="left"/>
      </w:pPr>
      <w:rPr>
        <w:rFonts w:hint="default" w:ascii="Calibri" w:hAnsi="Calibri" w:eastAsia="Calibri" w:cs="Calibri"/>
        <w:i/>
        <w:spacing w:val="-1"/>
        <w:w w:val="99"/>
        <w:sz w:val="20"/>
        <w:szCs w:val="20"/>
        <w:lang w:val="en-za" w:eastAsia="en-za" w:bidi="en-za"/>
      </w:rPr>
    </w:lvl>
    <w:lvl w:ilvl="1">
      <w:start w:val="0"/>
      <w:numFmt w:val="bullet"/>
      <w:lvlText w:val="•"/>
      <w:lvlJc w:val="left"/>
      <w:pPr>
        <w:ind w:left="2010" w:hanging="269"/>
      </w:pPr>
      <w:rPr>
        <w:rFonts w:hint="default"/>
        <w:lang w:val="en-za" w:eastAsia="en-za" w:bidi="en-za"/>
      </w:rPr>
    </w:lvl>
    <w:lvl w:ilvl="2">
      <w:start w:val="0"/>
      <w:numFmt w:val="bullet"/>
      <w:lvlText w:val="•"/>
      <w:lvlJc w:val="left"/>
      <w:pPr>
        <w:ind w:left="2901" w:hanging="269"/>
      </w:pPr>
      <w:rPr>
        <w:rFonts w:hint="default"/>
        <w:lang w:val="en-za" w:eastAsia="en-za" w:bidi="en-za"/>
      </w:rPr>
    </w:lvl>
    <w:lvl w:ilvl="3">
      <w:start w:val="0"/>
      <w:numFmt w:val="bullet"/>
      <w:lvlText w:val="•"/>
      <w:lvlJc w:val="left"/>
      <w:pPr>
        <w:ind w:left="3791" w:hanging="269"/>
      </w:pPr>
      <w:rPr>
        <w:rFonts w:hint="default"/>
        <w:lang w:val="en-za" w:eastAsia="en-za" w:bidi="en-za"/>
      </w:rPr>
    </w:lvl>
    <w:lvl w:ilvl="4">
      <w:start w:val="0"/>
      <w:numFmt w:val="bullet"/>
      <w:lvlText w:val="•"/>
      <w:lvlJc w:val="left"/>
      <w:pPr>
        <w:ind w:left="4682" w:hanging="269"/>
      </w:pPr>
      <w:rPr>
        <w:rFonts w:hint="default"/>
        <w:lang w:val="en-za" w:eastAsia="en-za" w:bidi="en-za"/>
      </w:rPr>
    </w:lvl>
    <w:lvl w:ilvl="5">
      <w:start w:val="0"/>
      <w:numFmt w:val="bullet"/>
      <w:lvlText w:val="•"/>
      <w:lvlJc w:val="left"/>
      <w:pPr>
        <w:ind w:left="5573" w:hanging="269"/>
      </w:pPr>
      <w:rPr>
        <w:rFonts w:hint="default"/>
        <w:lang w:val="en-za" w:eastAsia="en-za" w:bidi="en-za"/>
      </w:rPr>
    </w:lvl>
    <w:lvl w:ilvl="6">
      <w:start w:val="0"/>
      <w:numFmt w:val="bullet"/>
      <w:lvlText w:val="•"/>
      <w:lvlJc w:val="left"/>
      <w:pPr>
        <w:ind w:left="6463" w:hanging="269"/>
      </w:pPr>
      <w:rPr>
        <w:rFonts w:hint="default"/>
        <w:lang w:val="en-za" w:eastAsia="en-za" w:bidi="en-za"/>
      </w:rPr>
    </w:lvl>
    <w:lvl w:ilvl="7">
      <w:start w:val="0"/>
      <w:numFmt w:val="bullet"/>
      <w:lvlText w:val="•"/>
      <w:lvlJc w:val="left"/>
      <w:pPr>
        <w:ind w:left="7354" w:hanging="269"/>
      </w:pPr>
      <w:rPr>
        <w:rFonts w:hint="default"/>
        <w:lang w:val="en-za" w:eastAsia="en-za" w:bidi="en-za"/>
      </w:rPr>
    </w:lvl>
    <w:lvl w:ilvl="8">
      <w:start w:val="0"/>
      <w:numFmt w:val="bullet"/>
      <w:lvlText w:val="•"/>
      <w:lvlJc w:val="left"/>
      <w:pPr>
        <w:ind w:left="8245" w:hanging="269"/>
      </w:pPr>
      <w:rPr>
        <w:rFonts w:hint="default"/>
        <w:lang w:val="en-za" w:eastAsia="en-za" w:bidi="en-za"/>
      </w:rPr>
    </w:lvl>
  </w:abstractNum>
  <w:abstractNum w:abstractNumId="2">
    <w:multiLevelType w:val="hybridMultilevel"/>
    <w:lvl w:ilvl="0">
      <w:start w:val="17"/>
      <w:numFmt w:val="decimal"/>
      <w:lvlText w:val="%1."/>
      <w:lvlJc w:val="left"/>
      <w:pPr>
        <w:ind w:left="706" w:hanging="567"/>
        <w:jc w:val="left"/>
      </w:pPr>
      <w:rPr>
        <w:rFonts w:hint="default"/>
        <w:w w:val="99"/>
        <w:lang w:val="en-za" w:eastAsia="en-za" w:bidi="en-za"/>
      </w:rPr>
    </w:lvl>
    <w:lvl w:ilvl="1">
      <w:start w:val="1"/>
      <w:numFmt w:val="decimal"/>
      <w:lvlText w:val="%1.%2."/>
      <w:lvlJc w:val="left"/>
      <w:pPr>
        <w:ind w:left="1580" w:hanging="1080"/>
        <w:jc w:val="left"/>
      </w:pPr>
      <w:rPr>
        <w:rFonts w:hint="default" w:ascii="Arial" w:hAnsi="Arial" w:eastAsia="Arial" w:cs="Arial"/>
        <w:spacing w:val="-1"/>
        <w:w w:val="99"/>
        <w:sz w:val="24"/>
        <w:szCs w:val="24"/>
        <w:lang w:val="en-za" w:eastAsia="en-za" w:bidi="en-za"/>
      </w:rPr>
    </w:lvl>
    <w:lvl w:ilvl="2">
      <w:start w:val="0"/>
      <w:numFmt w:val="bullet"/>
      <w:lvlText w:val="•"/>
      <w:lvlJc w:val="left"/>
      <w:pPr>
        <w:ind w:left="2518" w:hanging="1080"/>
      </w:pPr>
      <w:rPr>
        <w:rFonts w:hint="default"/>
        <w:lang w:val="en-za" w:eastAsia="en-za" w:bidi="en-za"/>
      </w:rPr>
    </w:lvl>
    <w:lvl w:ilvl="3">
      <w:start w:val="0"/>
      <w:numFmt w:val="bullet"/>
      <w:lvlText w:val="•"/>
      <w:lvlJc w:val="left"/>
      <w:pPr>
        <w:ind w:left="3456" w:hanging="1080"/>
      </w:pPr>
      <w:rPr>
        <w:rFonts w:hint="default"/>
        <w:lang w:val="en-za" w:eastAsia="en-za" w:bidi="en-za"/>
      </w:rPr>
    </w:lvl>
    <w:lvl w:ilvl="4">
      <w:start w:val="0"/>
      <w:numFmt w:val="bullet"/>
      <w:lvlText w:val="•"/>
      <w:lvlJc w:val="left"/>
      <w:pPr>
        <w:ind w:left="4395" w:hanging="1080"/>
      </w:pPr>
      <w:rPr>
        <w:rFonts w:hint="default"/>
        <w:lang w:val="en-za" w:eastAsia="en-za" w:bidi="en-za"/>
      </w:rPr>
    </w:lvl>
    <w:lvl w:ilvl="5">
      <w:start w:val="0"/>
      <w:numFmt w:val="bullet"/>
      <w:lvlText w:val="•"/>
      <w:lvlJc w:val="left"/>
      <w:pPr>
        <w:ind w:left="5333" w:hanging="1080"/>
      </w:pPr>
      <w:rPr>
        <w:rFonts w:hint="default"/>
        <w:lang w:val="en-za" w:eastAsia="en-za" w:bidi="en-za"/>
      </w:rPr>
    </w:lvl>
    <w:lvl w:ilvl="6">
      <w:start w:val="0"/>
      <w:numFmt w:val="bullet"/>
      <w:lvlText w:val="•"/>
      <w:lvlJc w:val="left"/>
      <w:pPr>
        <w:ind w:left="6272" w:hanging="1080"/>
      </w:pPr>
      <w:rPr>
        <w:rFonts w:hint="default"/>
        <w:lang w:val="en-za" w:eastAsia="en-za" w:bidi="en-za"/>
      </w:rPr>
    </w:lvl>
    <w:lvl w:ilvl="7">
      <w:start w:val="0"/>
      <w:numFmt w:val="bullet"/>
      <w:lvlText w:val="•"/>
      <w:lvlJc w:val="left"/>
      <w:pPr>
        <w:ind w:left="7210" w:hanging="1080"/>
      </w:pPr>
      <w:rPr>
        <w:rFonts w:hint="default"/>
        <w:lang w:val="en-za" w:eastAsia="en-za" w:bidi="en-za"/>
      </w:rPr>
    </w:lvl>
    <w:lvl w:ilvl="8">
      <w:start w:val="0"/>
      <w:numFmt w:val="bullet"/>
      <w:lvlText w:val="•"/>
      <w:lvlJc w:val="left"/>
      <w:pPr>
        <w:ind w:left="8149" w:hanging="1080"/>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spacing w:val="-2"/>
        <w:w w:val="99"/>
        <w:lang w:val="en-za" w:eastAsia="en-za" w:bidi="en-za"/>
      </w:rPr>
    </w:lvl>
    <w:lvl w:ilvl="1">
      <w:start w:val="1"/>
      <w:numFmt w:val="lowerLetter"/>
      <w:lvlText w:val="(%2)"/>
      <w:lvlJc w:val="left"/>
      <w:pPr>
        <w:ind w:left="1580" w:hanging="874"/>
        <w:jc w:val="left"/>
      </w:pPr>
      <w:rPr>
        <w:rFonts w:hint="default" w:ascii="Arial" w:hAnsi="Arial" w:eastAsia="Arial" w:cs="Arial"/>
        <w:i/>
        <w:w w:val="99"/>
        <w:sz w:val="24"/>
        <w:szCs w:val="24"/>
        <w:lang w:val="en-za" w:eastAsia="en-za" w:bidi="en-za"/>
      </w:rPr>
    </w:lvl>
    <w:lvl w:ilvl="2">
      <w:start w:val="0"/>
      <w:numFmt w:val="bullet"/>
      <w:lvlText w:val="•"/>
      <w:lvlJc w:val="left"/>
      <w:pPr>
        <w:ind w:left="2518" w:hanging="874"/>
      </w:pPr>
      <w:rPr>
        <w:rFonts w:hint="default"/>
        <w:lang w:val="en-za" w:eastAsia="en-za" w:bidi="en-za"/>
      </w:rPr>
    </w:lvl>
    <w:lvl w:ilvl="3">
      <w:start w:val="0"/>
      <w:numFmt w:val="bullet"/>
      <w:lvlText w:val="•"/>
      <w:lvlJc w:val="left"/>
      <w:pPr>
        <w:ind w:left="3456" w:hanging="874"/>
      </w:pPr>
      <w:rPr>
        <w:rFonts w:hint="default"/>
        <w:lang w:val="en-za" w:eastAsia="en-za" w:bidi="en-za"/>
      </w:rPr>
    </w:lvl>
    <w:lvl w:ilvl="4">
      <w:start w:val="0"/>
      <w:numFmt w:val="bullet"/>
      <w:lvlText w:val="•"/>
      <w:lvlJc w:val="left"/>
      <w:pPr>
        <w:ind w:left="4395" w:hanging="874"/>
      </w:pPr>
      <w:rPr>
        <w:rFonts w:hint="default"/>
        <w:lang w:val="en-za" w:eastAsia="en-za" w:bidi="en-za"/>
      </w:rPr>
    </w:lvl>
    <w:lvl w:ilvl="5">
      <w:start w:val="0"/>
      <w:numFmt w:val="bullet"/>
      <w:lvlText w:val="•"/>
      <w:lvlJc w:val="left"/>
      <w:pPr>
        <w:ind w:left="5333" w:hanging="874"/>
      </w:pPr>
      <w:rPr>
        <w:rFonts w:hint="default"/>
        <w:lang w:val="en-za" w:eastAsia="en-za" w:bidi="en-za"/>
      </w:rPr>
    </w:lvl>
    <w:lvl w:ilvl="6">
      <w:start w:val="0"/>
      <w:numFmt w:val="bullet"/>
      <w:lvlText w:val="•"/>
      <w:lvlJc w:val="left"/>
      <w:pPr>
        <w:ind w:left="6272" w:hanging="874"/>
      </w:pPr>
      <w:rPr>
        <w:rFonts w:hint="default"/>
        <w:lang w:val="en-za" w:eastAsia="en-za" w:bidi="en-za"/>
      </w:rPr>
    </w:lvl>
    <w:lvl w:ilvl="7">
      <w:start w:val="0"/>
      <w:numFmt w:val="bullet"/>
      <w:lvlText w:val="•"/>
      <w:lvlJc w:val="left"/>
      <w:pPr>
        <w:ind w:left="7210" w:hanging="874"/>
      </w:pPr>
      <w:rPr>
        <w:rFonts w:hint="default"/>
        <w:lang w:val="en-za" w:eastAsia="en-za" w:bidi="en-za"/>
      </w:rPr>
    </w:lvl>
    <w:lvl w:ilvl="8">
      <w:start w:val="0"/>
      <w:numFmt w:val="bullet"/>
      <w:lvlText w:val="•"/>
      <w:lvlJc w:val="left"/>
      <w:pPr>
        <w:ind w:left="8149" w:hanging="874"/>
      </w:pPr>
      <w:rPr>
        <w:rFonts w:hint="default"/>
        <w:lang w:val="en-za" w:eastAsia="en-za" w:bidi="en-z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4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06" w:hanging="567"/>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saflii.org/cgi-bin/LawCite?cit=%5b2021%5d%20ZASCA%2091" TargetMode="External"/><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2023-04-13T08:21:41Z</dcterms:created>
  <dcterms:modified xsi:type="dcterms:W3CDTF">2023-04-13T08:21:41Z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for Microsoft 365</vt:lpwstr>
  </property>
  <property fmtid="{D5CDD505-2E9C-101B-9397-08002B2CF9AE}" pid="4" name="LastSaved">
    <vt:filetime>2023-04-13T00:00:00Z</vt:filetime>
  </property>
</Properties>
</file>