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58" w:rsidRPr="00605D06" w:rsidRDefault="00271B58" w:rsidP="00465A77">
      <w:pPr>
        <w:widowControl w:val="0"/>
        <w:tabs>
          <w:tab w:val="left" w:pos="5529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bookmarkStart w:id="0" w:name="_GoBack"/>
      <w:bookmarkEnd w:id="0"/>
      <w:r w:rsidRPr="00605D06">
        <w:rPr>
          <w:rFonts w:ascii="Arial" w:hAnsi="Arial" w:cs="Arial"/>
          <w:noProof/>
          <w:color w:val="000000" w:themeColor="text1"/>
          <w:sz w:val="24"/>
          <w:szCs w:val="24"/>
          <w:lang w:val="en-ZA" w:eastAsia="en-ZA"/>
        </w:rPr>
        <w:drawing>
          <wp:inline distT="0" distB="0" distL="0" distR="0" wp14:anchorId="25D649D4" wp14:editId="28DB14B9">
            <wp:extent cx="969532" cy="95185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36" cy="9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58" w:rsidRPr="00605D06" w:rsidRDefault="00271B58" w:rsidP="00465A77">
      <w:pPr>
        <w:widowControl w:val="0"/>
        <w:tabs>
          <w:tab w:val="left" w:pos="5529"/>
        </w:tabs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IN THE HIGH COURT OF SOUTH AFRICA</w:t>
      </w:r>
    </w:p>
    <w:p w:rsidR="00271B58" w:rsidRPr="00605D06" w:rsidRDefault="00271B58" w:rsidP="00465A77">
      <w:pPr>
        <w:widowControl w:val="0"/>
        <w:tabs>
          <w:tab w:val="left" w:pos="5529"/>
        </w:tabs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KWAZULU-NATAL </w:t>
      </w:r>
      <w:r w:rsidR="00C373EF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LOCAL 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DIVISION, </w:t>
      </w:r>
      <w:r w:rsidR="00C373EF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DURBAN</w:t>
      </w:r>
    </w:p>
    <w:p w:rsidR="00271B58" w:rsidRPr="00605D06" w:rsidRDefault="00271B58" w:rsidP="00894625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>Case no:</w:t>
      </w:r>
      <w:r w:rsidR="00465A77"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</w:t>
      </w:r>
      <w:r w:rsidR="00C373EF">
        <w:rPr>
          <w:rFonts w:ascii="Arial" w:hAnsi="Arial" w:cs="Arial"/>
          <w:color w:val="000000" w:themeColor="text1"/>
          <w:sz w:val="24"/>
          <w:szCs w:val="24"/>
          <w:lang w:val="en-ZA"/>
        </w:rPr>
        <w:t>D2562/2023</w:t>
      </w:r>
    </w:p>
    <w:p w:rsidR="00894625" w:rsidRDefault="00894625" w:rsidP="00465A7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ZA"/>
        </w:rPr>
      </w:pPr>
    </w:p>
    <w:p w:rsidR="00271B58" w:rsidRPr="00605D06" w:rsidRDefault="00271B58" w:rsidP="00465A7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Cs/>
          <w:color w:val="000000" w:themeColor="text1"/>
          <w:sz w:val="24"/>
          <w:szCs w:val="24"/>
          <w:lang w:val="en-ZA"/>
        </w:rPr>
        <w:t>In the matter between:</w:t>
      </w:r>
    </w:p>
    <w:p w:rsidR="0021686B" w:rsidRDefault="0021686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THE MEC FOR CO-OPERATIVE GOVERNANCE AND</w:t>
      </w:r>
    </w:p>
    <w:p w:rsidR="00271B58" w:rsidRPr="00605D06" w:rsidRDefault="0021686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TRADITIONAL AFFAIRS, KWAZULU-NATAL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="00E25807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 </w:t>
      </w:r>
      <w:r w:rsidR="009F7B02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FIRST APPLICANT</w:t>
      </w:r>
    </w:p>
    <w:p w:rsidR="009F7B02" w:rsidRPr="00605D06" w:rsidRDefault="0021686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DR SIYABONGA NTULI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="009F7B02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SECOND APPLICANT</w:t>
      </w:r>
    </w:p>
    <w:p w:rsidR="009F7B02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</w:p>
    <w:p w:rsidR="009F7B02" w:rsidRPr="00605D06" w:rsidRDefault="004E42A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>and</w:t>
      </w:r>
    </w:p>
    <w:p w:rsidR="004E42AB" w:rsidRPr="00605D06" w:rsidRDefault="004E42A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</w:p>
    <w:p w:rsidR="009F7B02" w:rsidRPr="00605D06" w:rsidRDefault="0021686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MTUBATUBA LOCAL MUNICIPALITY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  <w:t xml:space="preserve"> </w:t>
      </w:r>
      <w:r w:rsidR="009F7B02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FIRST RESPONDENT</w:t>
      </w:r>
    </w:p>
    <w:p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M</w:t>
      </w:r>
      <w:r w:rsidR="0021686B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UNICIPAL MANAGER</w:t>
      </w:r>
      <w:r w:rsidR="00E25807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:</w:t>
      </w:r>
      <w:r w:rsidR="0021686B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 MTUBATUBA MUNICIPALITY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SECOND RESPONDENT</w:t>
      </w:r>
    </w:p>
    <w:p w:rsidR="00400BAA" w:rsidRPr="00605D06" w:rsidRDefault="0021686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SPEAKER: MTUBATUBA MUNICIPALITY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="00400BAA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THIRD RESPONDENT</w:t>
      </w:r>
    </w:p>
    <w:p w:rsidR="00400BAA" w:rsidRPr="00605D06" w:rsidRDefault="0021686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MAYOR: MTUBATUBA MUNICIPALITY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="00400BAA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FOURTH RESPONDENT</w:t>
      </w:r>
    </w:p>
    <w:p w:rsidR="00310893" w:rsidRDefault="00310893" w:rsidP="00310893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en-GB"/>
        </w:rPr>
      </w:pPr>
      <w:r>
        <w:rPr>
          <w:rFonts w:ascii="Arial" w:eastAsia="Times New Roman" w:hAnsi="Arial" w:cs="Arial"/>
          <w:b/>
          <w:sz w:val="24"/>
          <w:szCs w:val="28"/>
          <w:lang w:eastAsia="en-GB"/>
        </w:rPr>
        <w:t>______________________________________________________________________</w:t>
      </w:r>
    </w:p>
    <w:p w:rsidR="00310893" w:rsidRDefault="00310893" w:rsidP="00310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</w:p>
    <w:p w:rsidR="00310893" w:rsidRPr="00A656BD" w:rsidRDefault="00310893" w:rsidP="00310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>
        <w:rPr>
          <w:rFonts w:ascii="Arial" w:eastAsia="Times New Roman" w:hAnsi="Arial" w:cs="Arial"/>
          <w:b/>
          <w:sz w:val="24"/>
          <w:szCs w:val="28"/>
          <w:lang w:eastAsia="en-GB"/>
        </w:rPr>
        <w:t>ORDER</w:t>
      </w:r>
    </w:p>
    <w:p w:rsidR="00310893" w:rsidRPr="00A656BD" w:rsidRDefault="00310893" w:rsidP="00310893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en-GB"/>
        </w:rPr>
      </w:pP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</w:p>
    <w:p w:rsidR="00310893" w:rsidRPr="00A656BD" w:rsidRDefault="00310893" w:rsidP="0031089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en-GB"/>
        </w:rPr>
      </w:pPr>
    </w:p>
    <w:p w:rsidR="00F32FED" w:rsidRDefault="00F32FED" w:rsidP="00F32FED">
      <w:pPr>
        <w:spacing w:line="360" w:lineRule="auto"/>
        <w:jc w:val="both"/>
        <w:rPr>
          <w:sz w:val="20"/>
          <w:szCs w:val="20"/>
        </w:rPr>
      </w:pPr>
    </w:p>
    <w:p w:rsidR="00F32FED" w:rsidRDefault="00F32FED" w:rsidP="00F32FED">
      <w:pPr>
        <w:spacing w:line="360" w:lineRule="auto"/>
        <w:jc w:val="both"/>
        <w:rPr>
          <w:sz w:val="20"/>
          <w:szCs w:val="20"/>
        </w:rPr>
      </w:pPr>
      <w:r w:rsidRPr="00CD12D9">
        <w:rPr>
          <w:sz w:val="20"/>
          <w:szCs w:val="20"/>
        </w:rPr>
        <w:t>This judgment was handed down electronically by circulation to the parties’ representatives by email, and released to SAFLII. The date for hand down is deemed to be</w:t>
      </w:r>
      <w:r>
        <w:rPr>
          <w:sz w:val="20"/>
          <w:szCs w:val="20"/>
        </w:rPr>
        <w:t xml:space="preserve"> 15 August 2023 (Tuesday) at 09:30am</w:t>
      </w:r>
      <w:r w:rsidRPr="00CD12D9">
        <w:rPr>
          <w:sz w:val="20"/>
          <w:szCs w:val="20"/>
        </w:rPr>
        <w:t xml:space="preserve"> </w:t>
      </w:r>
    </w:p>
    <w:p w:rsidR="00596195" w:rsidRDefault="00596195" w:rsidP="00295AE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5AE2" w:rsidRPr="00596195" w:rsidRDefault="00295AE2" w:rsidP="00295AE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b/>
          <w:sz w:val="24"/>
          <w:szCs w:val="24"/>
          <w:lang w:val="en-ZA" w:eastAsia="en-GB"/>
        </w:rPr>
        <w:t>In the premises, the following order is made:</w:t>
      </w:r>
    </w:p>
    <w:p w:rsidR="00295AE2" w:rsidRPr="00650D36" w:rsidRDefault="00650D36" w:rsidP="00650D36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sz w:val="24"/>
          <w:szCs w:val="24"/>
          <w:lang w:val="en-ZA" w:eastAsia="en-GB"/>
        </w:rPr>
        <w:t>1.</w:t>
      </w:r>
      <w:r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295AE2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respondents are hereby interdicted and restrained from preventing the second applicant from taking up his position as ministerial representative at </w:t>
      </w:r>
      <w:r w:rsidR="000819FC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295AE2" w:rsidRPr="00650D36">
        <w:rPr>
          <w:rFonts w:ascii="Arial" w:eastAsia="Times New Roman" w:hAnsi="Arial" w:cs="Arial"/>
          <w:sz w:val="24"/>
          <w:szCs w:val="24"/>
          <w:lang w:val="en-ZA" w:eastAsia="en-GB"/>
        </w:rPr>
        <w:t>Mtubatuba Local Municipality.</w:t>
      </w:r>
    </w:p>
    <w:p w:rsidR="00295AE2" w:rsidRPr="00650D36" w:rsidRDefault="00650D36" w:rsidP="00650D36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sz w:val="24"/>
          <w:szCs w:val="24"/>
          <w:lang w:val="en-ZA" w:eastAsia="en-GB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295AE2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respondents are hereby directed to facilitate the second applicant’s appointment as ministerial representative at </w:t>
      </w:r>
      <w:r w:rsidR="000819FC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295AE2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Municipality by providing him with access to the offices used by the ministerial representative and all necessary facilities and by co-operating with the second applicant to enable him </w:t>
      </w:r>
      <w:r w:rsidR="000819FC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</w:t>
      </w:r>
      <w:r w:rsidR="00295AE2" w:rsidRPr="00650D36">
        <w:rPr>
          <w:rFonts w:ascii="Arial" w:eastAsia="Times New Roman" w:hAnsi="Arial" w:cs="Arial"/>
          <w:sz w:val="24"/>
          <w:szCs w:val="24"/>
          <w:lang w:val="en-ZA" w:eastAsia="en-GB"/>
        </w:rPr>
        <w:t>fulfil his statutory duties at the Municipality.</w:t>
      </w:r>
    </w:p>
    <w:p w:rsidR="00113B67" w:rsidRPr="00650D36" w:rsidRDefault="00650D36" w:rsidP="00650D36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sz w:val="24"/>
          <w:szCs w:val="24"/>
          <w:lang w:val="en-ZA" w:eastAsia="en-GB"/>
        </w:rPr>
        <w:t>3.</w:t>
      </w:r>
      <w:r w:rsidRPr="00596195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295AE2" w:rsidRPr="00650D36">
        <w:rPr>
          <w:rFonts w:ascii="Arial" w:eastAsia="Times New Roman" w:hAnsi="Arial" w:cs="Arial"/>
          <w:sz w:val="24"/>
          <w:szCs w:val="24"/>
          <w:lang w:val="en-ZA" w:eastAsia="en-GB"/>
        </w:rPr>
        <w:t>No order as to costs.</w:t>
      </w:r>
    </w:p>
    <w:p w:rsidR="00113B67" w:rsidRDefault="00113B67" w:rsidP="00113B67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en-GB"/>
        </w:rPr>
      </w:pPr>
      <w:r>
        <w:rPr>
          <w:rFonts w:ascii="Arial" w:eastAsia="Times New Roman" w:hAnsi="Arial" w:cs="Arial"/>
          <w:b/>
          <w:sz w:val="24"/>
          <w:szCs w:val="28"/>
          <w:lang w:eastAsia="en-GB"/>
        </w:rPr>
        <w:t>____________________________________________________</w:t>
      </w:r>
      <w:r w:rsidR="00F84269">
        <w:rPr>
          <w:rFonts w:ascii="Arial" w:eastAsia="Times New Roman" w:hAnsi="Arial" w:cs="Arial"/>
          <w:b/>
          <w:sz w:val="24"/>
          <w:szCs w:val="28"/>
          <w:lang w:eastAsia="en-GB"/>
        </w:rPr>
        <w:t>________</w:t>
      </w:r>
      <w:r>
        <w:rPr>
          <w:rFonts w:ascii="Arial" w:eastAsia="Times New Roman" w:hAnsi="Arial" w:cs="Arial"/>
          <w:b/>
          <w:sz w:val="24"/>
          <w:szCs w:val="28"/>
          <w:lang w:eastAsia="en-GB"/>
        </w:rPr>
        <w:t>__________</w:t>
      </w:r>
    </w:p>
    <w:p w:rsidR="00113B67" w:rsidRDefault="00113B67" w:rsidP="00113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</w:p>
    <w:p w:rsidR="00113B67" w:rsidRPr="00A656BD" w:rsidRDefault="00113B67" w:rsidP="00113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>
        <w:rPr>
          <w:rFonts w:ascii="Arial" w:eastAsia="Times New Roman" w:hAnsi="Arial" w:cs="Arial"/>
          <w:b/>
          <w:sz w:val="24"/>
          <w:szCs w:val="28"/>
          <w:lang w:eastAsia="en-GB"/>
        </w:rPr>
        <w:t>JUDGMENT</w:t>
      </w:r>
    </w:p>
    <w:p w:rsidR="00113B67" w:rsidRPr="00A656BD" w:rsidRDefault="00113B67" w:rsidP="00113B67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en-GB"/>
        </w:rPr>
      </w:pP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  <w:r w:rsidRPr="00A656BD">
        <w:rPr>
          <w:rFonts w:ascii="Arial" w:eastAsia="Times New Roman" w:hAnsi="Arial" w:cs="Arial"/>
          <w:b/>
          <w:sz w:val="24"/>
          <w:szCs w:val="28"/>
          <w:lang w:eastAsia="en-GB"/>
        </w:rPr>
        <w:tab/>
      </w:r>
    </w:p>
    <w:p w:rsidR="00113B67" w:rsidRPr="00A656BD" w:rsidRDefault="00113B67" w:rsidP="00113B6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en-GB"/>
        </w:rPr>
      </w:pPr>
    </w:p>
    <w:p w:rsidR="00113B67" w:rsidRPr="00246F14" w:rsidRDefault="00113B67" w:rsidP="00113B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50EF" w:rsidRPr="00605D06" w:rsidRDefault="00D350EF" w:rsidP="00465A77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Mathenjwa AJ </w:t>
      </w:r>
    </w:p>
    <w:p w:rsidR="00A32CD6" w:rsidRPr="00605D06" w:rsidRDefault="00A32CD6" w:rsidP="00465A77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n-ZA"/>
        </w:rPr>
      </w:pPr>
    </w:p>
    <w:p w:rsidR="002F7797" w:rsidRPr="000F5D5A" w:rsidRDefault="002F7797" w:rsidP="00465A77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</w:pPr>
      <w:r w:rsidRPr="000F5D5A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>Introduction</w:t>
      </w:r>
    </w:p>
    <w:p w:rsidR="00A00038" w:rsidRDefault="00D350EF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[1]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323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This is an application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for interdict restraining</w:t>
      </w:r>
      <w:r w:rsidR="00323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respondents from</w:t>
      </w:r>
      <w:r w:rsidR="00A852C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preventing members of the public and officials of the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852C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Department of Co-operative Governance and Traditional Affairs gaining access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852C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Mtubatuba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Local M</w:t>
      </w:r>
      <w:r w:rsidR="00A852C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unicipality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(the Municipality)</w:t>
      </w:r>
      <w:r w:rsidR="00A852C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offices</w:t>
      </w:r>
      <w:r w:rsidR="00B11C1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for official busines</w:t>
      </w:r>
      <w:r w:rsidR="00AC4C0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C157E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11C1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  further rest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</w:t>
      </w:r>
      <w:r w:rsidR="00B11C1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aining and interdicting the respondents from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11C1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preventing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11C1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11C1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second applicant from taking up his position as ministerial representative at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Municipality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</w:p>
    <w:p w:rsidR="00B11C12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B11C12" w:rsidRPr="00596195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  <w:t>Parties</w:t>
      </w:r>
    </w:p>
    <w:p w:rsidR="00B11C12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[2]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first applicant is the MEC for Co-operative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overnance and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aditional Affairs, KwaZulu-Natal</w:t>
      </w:r>
      <w:r w:rsidR="006A43D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</w:t>
      </w:r>
      <w:r w:rsidR="006A43D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esponsible for local government in the province of KwaZulu-Natal.</w:t>
      </w:r>
    </w:p>
    <w:p w:rsidR="00B11C12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B11C12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[3]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econd applicant is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Siyabonga Robsen Ntuli who has been appointed as the ministerial representative at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819F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Municipality</w:t>
      </w:r>
      <w:r w:rsidR="006A43D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pursuant to intervention in terms of s 139(1)</w:t>
      </w:r>
      <w:r w:rsidR="006A43DD" w:rsidRPr="008E6B67">
        <w:rPr>
          <w:rFonts w:ascii="Arial" w:eastAsia="Times New Roman" w:hAnsi="Arial" w:cs="Arial"/>
          <w:i/>
          <w:color w:val="000000" w:themeColor="text1"/>
          <w:sz w:val="24"/>
          <w:szCs w:val="24"/>
          <w:lang w:val="en-ZA" w:eastAsia="en-GB"/>
        </w:rPr>
        <w:t>(b)</w:t>
      </w:r>
      <w:r w:rsidR="008E6B6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 the Constitution</w:t>
      </w:r>
      <w:r w:rsidR="006A43D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</w:p>
    <w:p w:rsidR="00B11C12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B11C12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[4]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he first respondent is </w:t>
      </w:r>
      <w:r w:rsidR="00BF2EE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Mtubatuba Local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Municipality which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has its administrative offices at Lot 105 Nkosi Mtubatuba Road, Mtubatuba KwaZulu-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atal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</w:p>
    <w:p w:rsidR="00B11C12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326647" w:rsidRDefault="00B11C12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lastRenderedPageBreak/>
        <w:t>[5]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second respondent is Thamsanqa Vincent Xulu who is cited in his capacity as the 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unicipal 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anager of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Municipality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 w:rsidR="00C157E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third respondent is Sibongile Jullie Shezi who is cited 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in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her capacity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as the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peaker</w:t>
      </w:r>
      <w:r w:rsidR="003266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Municipality.</w:t>
      </w:r>
      <w:r w:rsidR="00AC4C0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3266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he fourth respondent is Mandla Zungu who is cited 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in his capacity </w:t>
      </w:r>
      <w:r w:rsidR="003266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as the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</w:t>
      </w:r>
      <w:r w:rsidR="003266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xecutive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 w:rsidR="003266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ayor of </w:t>
      </w:r>
      <w:r w:rsidR="00E345D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FB12B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Municipality.</w:t>
      </w:r>
      <w:r w:rsidR="003266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</w:p>
    <w:p w:rsidR="00FB12BC" w:rsidRDefault="00FB12BC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326647" w:rsidRPr="00596195" w:rsidRDefault="00326647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  <w:t>Factual background</w:t>
      </w:r>
    </w:p>
    <w:p w:rsidR="00326647" w:rsidRDefault="00326647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On 13 March 2019 the Provincial Executive Council of KwaZulu-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atal resolved to intervene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at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8E6B6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F2EE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Mtubatuba Municipality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in terms of s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139(1)</w:t>
      </w:r>
      <w:r w:rsidRPr="008E6B67">
        <w:rPr>
          <w:rFonts w:ascii="Arial" w:eastAsia="Times New Roman" w:hAnsi="Arial" w:cs="Arial"/>
          <w:i/>
          <w:color w:val="000000" w:themeColor="text1"/>
          <w:sz w:val="24"/>
          <w:szCs w:val="24"/>
          <w:lang w:val="en-ZA" w:eastAsia="en-GB"/>
        </w:rPr>
        <w:t>(b)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 the Constitution. The intervention 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has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been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extended on 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various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occasions and is still in force. Subsequent to the intervention a ministerial representative was appointed at the 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unicipality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period of the intervention. On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1 February 2023 the previous MEC for Co-operative Governance and Traditional Affairs, </w:t>
      </w:r>
      <w:r w:rsidR="00295A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KwaZulu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-Natal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appointed the second 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as</w:t>
      </w:r>
      <w:r w:rsidR="00F02603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ministerial representative at 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C373E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Municipality</w:t>
      </w:r>
      <w:r w:rsidR="0043591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appointment of the second applicant has since been continuously extended by the first 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applicant.</w:t>
      </w:r>
    </w:p>
    <w:p w:rsidR="00435911" w:rsidRDefault="00435911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403510" w:rsidRDefault="00435911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0D77F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respondents opposed 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appoint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ment of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second 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as a ministerial representative at 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unicipality</w:t>
      </w:r>
      <w:r w:rsidR="000D77F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 Reasons advanced for their opposition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D77F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relate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certain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allegations 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against 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second 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which they contend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would render him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disqualified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be 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ministerial </w:t>
      </w:r>
      <w:r w:rsidR="000D77F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representative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at that 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unicipality. The applicants </w:t>
      </w:r>
      <w:r w:rsidR="00295A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dispute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those allegations  </w:t>
      </w:r>
      <w:r w:rsidR="00BF2EE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and </w:t>
      </w:r>
      <w:r w:rsidR="003A69C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persisted 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with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appointment of the second applicant.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Thus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 there is  disagreement</w:t>
      </w:r>
      <w:r w:rsidR="000D77F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between </w:t>
      </w:r>
      <w:r w:rsidR="000D77F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applicants and the respondents over the appointment of the second applicant.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Subsequently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on 27 February 2023 when 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officials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from the firs</w:t>
      </w:r>
      <w:r w:rsidR="00F62D2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applicant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’s department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arrived at </w:t>
      </w:r>
      <w:r w:rsidR="000819F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Municipality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for purposes of introducing the second </w:t>
      </w:r>
      <w:r w:rsidR="00596AB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as ministerial representative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they found  the main gate to the entrance and all buildings 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at the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 w:rsidR="00D64DB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unicipality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locked. On 28 February 2023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again,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second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arrived </w:t>
      </w:r>
      <w:r w:rsidR="002059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assume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duties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as ministerial representatives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at the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Municipality,</w:t>
      </w:r>
      <w:r w:rsidR="00FD432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but he was prevented</w:t>
      </w:r>
      <w:r w:rsidR="00ED67A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from doing so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because the entrance gate</w:t>
      </w:r>
      <w:r w:rsidR="002059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 the 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 w:rsidR="002059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unicipality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</w:t>
      </w:r>
      <w:r w:rsidR="00BB728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as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locked.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Furthermore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other councillors of the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Municipality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 general members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of the public were locked outside and could not access the 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unicipality</w:t>
      </w:r>
      <w:r w:rsidR="00403510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842AA3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premises. That</w:t>
      </w:r>
      <w:r w:rsidR="002059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gave rise to the </w:t>
      </w:r>
      <w:r w:rsidR="00BB728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current</w:t>
      </w:r>
      <w:r w:rsidR="002059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dispute that led to the applicants launching this application.</w:t>
      </w:r>
    </w:p>
    <w:p w:rsidR="00FA020D" w:rsidRDefault="00FA020D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702FC9" w:rsidRDefault="00403510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lastRenderedPageBreak/>
        <w:t>[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554D18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On 14 March 2023  the matter came before </w:t>
      </w:r>
      <w:r w:rsidR="00295A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Moodley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J </w:t>
      </w:r>
      <w:r w:rsidR="002059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 an order was issued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  interdicting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respondents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from causing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4808C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ntrance gates t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 </w:t>
      </w:r>
      <w:r w:rsidR="00702F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Municipality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offices being blocked dur</w:t>
      </w:r>
      <w:r w:rsidR="006B598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ing 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normal operating office hours and requesting 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South A</w:t>
      </w:r>
      <w:r w:rsidR="004808C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rican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Pol</w:t>
      </w:r>
      <w:r w:rsidR="00702F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ce S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ervices to com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 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assist</w:t>
      </w:r>
      <w:r w:rsidR="007E610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ance of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second applicant and officials of the </w:t>
      </w:r>
      <w:r w:rsidR="00702F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irst </w:t>
      </w:r>
      <w:r w:rsidR="00702F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</w:t>
      </w:r>
      <w:r w:rsidR="00A0299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pplicant’s department to exercise the</w:t>
      </w:r>
      <w:r w:rsidR="006B598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rights conferred in th</w:t>
      </w:r>
      <w:r w:rsidR="003A69C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 o</w:t>
      </w:r>
      <w:r w:rsidR="006B598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rder. </w:t>
      </w:r>
      <w:r w:rsidR="00702F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Furthermore</w:t>
      </w:r>
      <w:r w:rsidR="00BB728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6B598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learned judge issued a rule nisi calling upon the respondents to show cause why they </w:t>
      </w:r>
      <w:r w:rsidR="003A69C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should not b</w:t>
      </w:r>
      <w:r w:rsidR="006B598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e restrained and interdicted from preventing the second applicant from taking up his position as ministerial representative at </w:t>
      </w:r>
      <w:r w:rsidR="0082045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6B598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Municipality</w:t>
      </w:r>
      <w:r w:rsidR="00702F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 w:rsidR="006B598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</w:p>
    <w:p w:rsidR="00702FC9" w:rsidRDefault="00702FC9" w:rsidP="00323D06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350FC1" w:rsidRPr="00F84269" w:rsidRDefault="00113B67" w:rsidP="00113B6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262626" w:themeColor="text1" w:themeTint="D9"/>
          <w:sz w:val="24"/>
          <w:szCs w:val="24"/>
          <w:lang w:val="en-ZA" w:eastAsia="en-GB"/>
        </w:rPr>
      </w:pPr>
      <w:r w:rsidRPr="00BB7289">
        <w:rPr>
          <w:rFonts w:ascii="Arial" w:eastAsia="Times New Roman" w:hAnsi="Arial" w:cs="Arial"/>
          <w:color w:val="262626" w:themeColor="text1" w:themeTint="D9"/>
          <w:sz w:val="24"/>
          <w:szCs w:val="24"/>
          <w:lang w:val="en-ZA" w:eastAsia="en-GB"/>
        </w:rPr>
        <w:t>[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9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596195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It appears from the </w:t>
      </w:r>
      <w:r w:rsidR="00295AE2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respondents’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opposing papers that their opposition to th</w:t>
      </w:r>
      <w:r w:rsidR="00BB7289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application</w:t>
      </w:r>
      <w:r w:rsidR="00BB7289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before me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is ma</w:t>
      </w:r>
      <w:r w:rsidR="00FD432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nly based on their contention that the appointment of the second applicant lacks rationality and offends the rule of law.</w:t>
      </w:r>
      <w:r w:rsidR="00C92607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It further appears that the respondents have launched a court application</w:t>
      </w:r>
      <w:r w:rsidR="00BB7289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challenging the appointment of the </w:t>
      </w:r>
      <w:r w:rsidR="000819FC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second</w:t>
      </w:r>
      <w:r w:rsidR="000819F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applicant</w:t>
      </w:r>
      <w:r w:rsidR="00BB7289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, and that 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application is pending </w:t>
      </w:r>
      <w:r w:rsidR="00C92607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before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another </w:t>
      </w:r>
      <w:r w:rsidR="00C92607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ourt. 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205995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herefore, 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 do</w:t>
      </w:r>
      <w:r w:rsidR="003A69C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not</w:t>
      </w:r>
      <w:r w:rsidR="00BB7289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express any view</w:t>
      </w:r>
      <w:r w:rsidR="00C92607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on th</w:t>
      </w:r>
      <w:r w:rsidR="00BB0856"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at matter which is pending before another court.</w:t>
      </w:r>
      <w:r w:rsidR="00350FC1" w:rsidRPr="00F84269">
        <w:rPr>
          <w:rFonts w:ascii="Arial" w:eastAsia="Times New Roman" w:hAnsi="Arial" w:cs="Arial"/>
          <w:bCs/>
          <w:iCs/>
          <w:color w:val="262626" w:themeColor="text1" w:themeTint="D9"/>
          <w:sz w:val="24"/>
          <w:szCs w:val="24"/>
          <w:lang w:val="en-ZA" w:eastAsia="en-GB"/>
        </w:rPr>
        <w:t xml:space="preserve"> </w:t>
      </w:r>
    </w:p>
    <w:p w:rsidR="00350FC1" w:rsidRPr="00F84269" w:rsidRDefault="00350FC1" w:rsidP="00113B6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</w:pPr>
    </w:p>
    <w:p w:rsidR="00113B67" w:rsidRPr="00F84269" w:rsidRDefault="00350FC1" w:rsidP="00113B6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</w:pP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[</w:t>
      </w:r>
      <w:r w:rsidR="001C41E6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0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ab/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The issue for determination </w:t>
      </w:r>
      <w:r w:rsidR="00BB0856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in this application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="00BB7289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is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whether or not the prevention of the second applicant </w:t>
      </w:r>
      <w:r w:rsidR="003A69C4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from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assum</w:t>
      </w:r>
      <w:r w:rsidR="003A69C4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ing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his duties as ministerial representative in terms of his appointment by the </w:t>
      </w:r>
      <w:r w:rsidR="00580313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first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applicant at </w:t>
      </w:r>
      <w:r w:rsidR="000819FC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the Municipality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is unlawful, and whether the respondents should be restrained and interdicted from preventing the</w:t>
      </w:r>
      <w:r w:rsidR="00BB0856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second applicant from assuming his duties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at th</w:t>
      </w:r>
      <w:r w:rsidR="00BB7289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at </w:t>
      </w:r>
      <w:r w:rsidR="00820452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M</w:t>
      </w:r>
      <w:r w:rsidR="00BB7289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unicipality</w:t>
      </w:r>
      <w:r w:rsidR="00113B67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  </w:t>
      </w:r>
    </w:p>
    <w:p w:rsidR="0061148D" w:rsidRPr="00605D06" w:rsidRDefault="0061148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425C72" w:rsidRPr="00605D06" w:rsidRDefault="00425C72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ZA" w:eastAsia="en-GB"/>
        </w:rPr>
        <w:t>Application for postponement</w:t>
      </w:r>
    </w:p>
    <w:p w:rsidR="00420106" w:rsidRPr="00033C27" w:rsidRDefault="0061148D" w:rsidP="00465A7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C2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1</w:t>
      </w:r>
      <w:r w:rsidRPr="00033C2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F02603" w:rsidRPr="00033C27">
        <w:rPr>
          <w:rFonts w:ascii="Arial" w:hAnsi="Arial" w:cs="Arial"/>
          <w:color w:val="000000" w:themeColor="text1"/>
          <w:sz w:val="24"/>
          <w:szCs w:val="24"/>
        </w:rPr>
        <w:t xml:space="preserve">At the commencement of the hearing </w:t>
      </w:r>
      <w:r w:rsidR="00295AE2" w:rsidRPr="00033C27">
        <w:rPr>
          <w:rFonts w:ascii="Arial" w:hAnsi="Arial" w:cs="Arial"/>
          <w:color w:val="000000" w:themeColor="text1"/>
          <w:sz w:val="24"/>
          <w:szCs w:val="24"/>
        </w:rPr>
        <w:t>M</w:t>
      </w:r>
      <w:r w:rsidR="00295AE2">
        <w:rPr>
          <w:rFonts w:ascii="Arial" w:hAnsi="Arial" w:cs="Arial"/>
          <w:color w:val="000000" w:themeColor="text1"/>
          <w:sz w:val="24"/>
          <w:szCs w:val="24"/>
        </w:rPr>
        <w:t>s</w:t>
      </w:r>
      <w:r w:rsidR="00F02603" w:rsidRPr="00033C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2603" w:rsidRPr="00596195">
        <w:rPr>
          <w:rFonts w:ascii="Arial" w:hAnsi="Arial" w:cs="Arial"/>
          <w:i/>
          <w:color w:val="000000" w:themeColor="text1"/>
          <w:sz w:val="24"/>
          <w:szCs w:val="24"/>
        </w:rPr>
        <w:t>L</w:t>
      </w:r>
      <w:r w:rsidR="00BB0856" w:rsidRPr="00596195">
        <w:rPr>
          <w:rFonts w:ascii="Arial" w:hAnsi="Arial" w:cs="Arial"/>
          <w:i/>
          <w:color w:val="000000" w:themeColor="text1"/>
          <w:sz w:val="24"/>
          <w:szCs w:val="24"/>
        </w:rPr>
        <w:t>en</w:t>
      </w:r>
      <w:r w:rsidR="00F02603" w:rsidRPr="00596195">
        <w:rPr>
          <w:rFonts w:ascii="Arial" w:hAnsi="Arial" w:cs="Arial"/>
          <w:i/>
          <w:color w:val="000000" w:themeColor="text1"/>
          <w:sz w:val="24"/>
          <w:szCs w:val="24"/>
        </w:rPr>
        <w:t>nard</w:t>
      </w:r>
      <w:r w:rsidR="00F02603" w:rsidRPr="00033C27">
        <w:rPr>
          <w:rFonts w:ascii="Arial" w:hAnsi="Arial" w:cs="Arial"/>
          <w:color w:val="000000" w:themeColor="text1"/>
          <w:sz w:val="24"/>
          <w:szCs w:val="24"/>
        </w:rPr>
        <w:t xml:space="preserve"> for the first to fourth respondents made a sub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>s</w:t>
      </w:r>
      <w:r w:rsidR="00F02603" w:rsidRPr="00033C27">
        <w:rPr>
          <w:rFonts w:ascii="Arial" w:hAnsi="Arial" w:cs="Arial"/>
          <w:color w:val="000000" w:themeColor="text1"/>
          <w:sz w:val="24"/>
          <w:szCs w:val="24"/>
        </w:rPr>
        <w:t xml:space="preserve">tantial application for postponement </w:t>
      </w:r>
      <w:r w:rsidR="00F71D09" w:rsidRPr="00033C27">
        <w:rPr>
          <w:rFonts w:ascii="Arial" w:hAnsi="Arial" w:cs="Arial"/>
          <w:color w:val="000000" w:themeColor="text1"/>
          <w:sz w:val="24"/>
          <w:szCs w:val="24"/>
        </w:rPr>
        <w:t xml:space="preserve"> of the matter. Reasons advanced 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 xml:space="preserve"> being </w:t>
      </w:r>
      <w:r w:rsidR="00F71D09" w:rsidRPr="00033C27">
        <w:rPr>
          <w:rFonts w:ascii="Arial" w:hAnsi="Arial" w:cs="Arial"/>
          <w:color w:val="000000" w:themeColor="text1"/>
          <w:sz w:val="24"/>
          <w:szCs w:val="24"/>
        </w:rPr>
        <w:t xml:space="preserve">that the senior counsel who is seized with the matter 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>was</w:t>
      </w:r>
      <w:r w:rsidR="00F71D09" w:rsidRPr="00033C27">
        <w:rPr>
          <w:rFonts w:ascii="Arial" w:hAnsi="Arial" w:cs="Arial"/>
          <w:color w:val="000000" w:themeColor="text1"/>
          <w:sz w:val="24"/>
          <w:szCs w:val="24"/>
        </w:rPr>
        <w:t xml:space="preserve"> not available and will return to the country on 23 August 2023. </w:t>
      </w:r>
      <w:r w:rsidR="00295AE2" w:rsidRPr="00033C27">
        <w:rPr>
          <w:rFonts w:ascii="Arial" w:hAnsi="Arial" w:cs="Arial"/>
          <w:color w:val="000000" w:themeColor="text1"/>
          <w:sz w:val="24"/>
          <w:szCs w:val="24"/>
        </w:rPr>
        <w:t>Mr</w:t>
      </w:r>
      <w:r w:rsidR="00F71D09" w:rsidRPr="00033C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1D09" w:rsidRPr="00596195">
        <w:rPr>
          <w:rFonts w:ascii="Arial" w:hAnsi="Arial" w:cs="Arial"/>
          <w:i/>
          <w:color w:val="000000" w:themeColor="text1"/>
          <w:sz w:val="24"/>
          <w:szCs w:val="24"/>
        </w:rPr>
        <w:t>Moerane SC</w:t>
      </w:r>
      <w:r w:rsidR="00F71D09" w:rsidRPr="00033C27">
        <w:rPr>
          <w:rFonts w:ascii="Arial" w:hAnsi="Arial" w:cs="Arial"/>
          <w:color w:val="000000" w:themeColor="text1"/>
          <w:sz w:val="24"/>
          <w:szCs w:val="24"/>
        </w:rPr>
        <w:t xml:space="preserve"> for the applicants opposed 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 xml:space="preserve">postponement. He </w:t>
      </w:r>
      <w:r w:rsidR="00295AE2">
        <w:rPr>
          <w:rFonts w:ascii="Arial" w:hAnsi="Arial" w:cs="Arial"/>
          <w:color w:val="000000" w:themeColor="text1"/>
          <w:sz w:val="24"/>
          <w:szCs w:val="24"/>
        </w:rPr>
        <w:t>referred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 xml:space="preserve">this court 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>to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 xml:space="preserve"> its 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>judgme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>nt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145E54" w:rsidRPr="00702FC9">
        <w:rPr>
          <w:rFonts w:ascii="Arial" w:hAnsi="Arial" w:cs="Arial"/>
          <w:i/>
          <w:iCs/>
          <w:color w:val="000000" w:themeColor="text1"/>
          <w:sz w:val="24"/>
          <w:szCs w:val="24"/>
        </w:rPr>
        <w:t>Nongoma Local Municipality and Others v MEC for Cooperative Governance</w:t>
      </w:r>
      <w:r w:rsidR="00B7767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145E54" w:rsidRPr="00702FC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and Traditional Affairs (KwaZulu- Natal) and </w:t>
      </w:r>
      <w:r w:rsidR="00820452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O</w:t>
      </w:r>
      <w:r w:rsidR="00145E54" w:rsidRPr="00702FC9">
        <w:rPr>
          <w:rFonts w:ascii="Arial" w:hAnsi="Arial" w:cs="Arial"/>
          <w:i/>
          <w:iCs/>
          <w:color w:val="000000" w:themeColor="text1"/>
          <w:sz w:val="24"/>
          <w:szCs w:val="24"/>
        </w:rPr>
        <w:t>thers</w:t>
      </w:r>
      <w:r w:rsidR="00596195" w:rsidRPr="00596195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596195" w:rsidRPr="00596195">
        <w:rPr>
          <w:rStyle w:val="FootnoteReference"/>
          <w:rFonts w:ascii="Arial" w:hAnsi="Arial" w:cs="Arial"/>
          <w:iCs/>
          <w:color w:val="000000" w:themeColor="text1"/>
          <w:sz w:val="24"/>
          <w:szCs w:val="24"/>
        </w:rPr>
        <w:footnoteReference w:id="1"/>
      </w:r>
      <w:r w:rsidR="00145E54" w:rsidRPr="00033C27">
        <w:rPr>
          <w:rFonts w:ascii="Arial" w:hAnsi="Arial" w:cs="Arial"/>
          <w:color w:val="000000" w:themeColor="text1"/>
          <w:sz w:val="24"/>
          <w:szCs w:val="24"/>
        </w:rPr>
        <w:t xml:space="preserve"> where in a similar situation the court refused</w:t>
      </w:r>
      <w:r w:rsidR="00F71D09" w:rsidRPr="00033C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5E54" w:rsidRPr="00033C27">
        <w:rPr>
          <w:rFonts w:ascii="Arial" w:hAnsi="Arial" w:cs="Arial"/>
          <w:color w:val="000000" w:themeColor="text1"/>
          <w:sz w:val="24"/>
          <w:szCs w:val="24"/>
        </w:rPr>
        <w:t xml:space="preserve">postponement for </w:t>
      </w:r>
      <w:r w:rsidR="00B7767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>similar</w:t>
      </w:r>
      <w:r w:rsidR="00145E54" w:rsidRPr="00033C27">
        <w:rPr>
          <w:rFonts w:ascii="Arial" w:hAnsi="Arial" w:cs="Arial"/>
          <w:color w:val="000000" w:themeColor="text1"/>
          <w:sz w:val="24"/>
          <w:szCs w:val="24"/>
        </w:rPr>
        <w:t xml:space="preserve"> reason </w:t>
      </w:r>
      <w:r w:rsidR="00FD4326">
        <w:rPr>
          <w:rFonts w:ascii="Arial" w:hAnsi="Arial" w:cs="Arial"/>
          <w:color w:val="000000" w:themeColor="text1"/>
          <w:sz w:val="24"/>
          <w:szCs w:val="24"/>
        </w:rPr>
        <w:t xml:space="preserve">being </w:t>
      </w:r>
      <w:r w:rsidR="00145E54" w:rsidRPr="00033C27">
        <w:rPr>
          <w:rFonts w:ascii="Arial" w:hAnsi="Arial" w:cs="Arial"/>
          <w:color w:val="000000" w:themeColor="text1"/>
          <w:sz w:val="24"/>
          <w:szCs w:val="24"/>
        </w:rPr>
        <w:t xml:space="preserve">that the senior counsel seized with the matter was abroad. </w:t>
      </w:r>
      <w:r w:rsidR="003A69C4">
        <w:rPr>
          <w:rFonts w:ascii="Arial" w:hAnsi="Arial" w:cs="Arial"/>
          <w:color w:val="000000" w:themeColor="text1"/>
          <w:sz w:val="24"/>
          <w:szCs w:val="24"/>
        </w:rPr>
        <w:t xml:space="preserve"> Mr </w:t>
      </w:r>
      <w:r w:rsidR="003A69C4" w:rsidRPr="003A69C4">
        <w:rPr>
          <w:rFonts w:ascii="Arial" w:hAnsi="Arial" w:cs="Arial"/>
          <w:i/>
          <w:iCs/>
          <w:color w:val="000000" w:themeColor="text1"/>
          <w:sz w:val="24"/>
          <w:szCs w:val="24"/>
        </w:rPr>
        <w:t>Moerane</w:t>
      </w:r>
      <w:r w:rsidR="00145E54" w:rsidRPr="00033C27">
        <w:rPr>
          <w:rFonts w:ascii="Arial" w:hAnsi="Arial" w:cs="Arial"/>
          <w:color w:val="000000" w:themeColor="text1"/>
          <w:sz w:val="24"/>
          <w:szCs w:val="24"/>
        </w:rPr>
        <w:t xml:space="preserve"> further highlighted that there are currently about </w:t>
      </w:r>
      <w:r w:rsidR="00B77674">
        <w:rPr>
          <w:rFonts w:ascii="Arial" w:hAnsi="Arial" w:cs="Arial"/>
          <w:color w:val="000000" w:themeColor="text1"/>
          <w:sz w:val="24"/>
          <w:szCs w:val="24"/>
        </w:rPr>
        <w:t>50</w:t>
      </w:r>
      <w:r w:rsidR="00145E54" w:rsidRPr="00033C27">
        <w:rPr>
          <w:rFonts w:ascii="Arial" w:hAnsi="Arial" w:cs="Arial"/>
          <w:color w:val="000000" w:themeColor="text1"/>
          <w:sz w:val="24"/>
          <w:szCs w:val="24"/>
        </w:rPr>
        <w:t xml:space="preserve"> senior counsels practicing in this Division, therefore,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 xml:space="preserve"> the respondents could have engage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>d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 xml:space="preserve"> one of the senior counsels available</w:t>
      </w:r>
      <w:r w:rsidR="003E30E4" w:rsidRPr="00033C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5E54" w:rsidRPr="00033C27">
        <w:rPr>
          <w:rFonts w:ascii="Arial" w:hAnsi="Arial" w:cs="Arial"/>
          <w:color w:val="000000" w:themeColor="text1"/>
          <w:sz w:val="24"/>
          <w:szCs w:val="24"/>
        </w:rPr>
        <w:t>in the absence of their usual senior counsel.</w:t>
      </w:r>
      <w:r w:rsidRPr="00033C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DC9" w:rsidRPr="00033C27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>ve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 had regard </w:t>
      </w:r>
      <w:r w:rsidR="00901BB5">
        <w:rPr>
          <w:rFonts w:ascii="Arial" w:hAnsi="Arial" w:cs="Arial"/>
          <w:color w:val="000000" w:themeColor="text1"/>
          <w:sz w:val="24"/>
          <w:szCs w:val="24"/>
        </w:rPr>
        <w:t>to the fact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 that on 23 May 2023 directives were issued for the parties to file their heads</w:t>
      </w:r>
      <w:r w:rsidR="00FD43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>of argument</w:t>
      </w:r>
      <w:r w:rsidR="00B77674">
        <w:rPr>
          <w:rFonts w:ascii="Arial" w:hAnsi="Arial" w:cs="Arial"/>
          <w:color w:val="000000" w:themeColor="text1"/>
          <w:sz w:val="24"/>
          <w:szCs w:val="24"/>
        </w:rPr>
        <w:t>,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 and they</w:t>
      </w:r>
      <w:r w:rsidR="00FD43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complied accordingly. According to the </w:t>
      </w:r>
      <w:r w:rsidR="00295AE2" w:rsidRPr="00033C27">
        <w:rPr>
          <w:rFonts w:ascii="Arial" w:hAnsi="Arial" w:cs="Arial"/>
          <w:color w:val="000000" w:themeColor="text1"/>
          <w:sz w:val="24"/>
          <w:szCs w:val="24"/>
        </w:rPr>
        <w:t>respondents’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 attorneys</w:t>
      </w:r>
      <w:r w:rsidR="00901BB5">
        <w:rPr>
          <w:rFonts w:ascii="Arial" w:hAnsi="Arial" w:cs="Arial"/>
          <w:color w:val="000000" w:themeColor="text1"/>
          <w:sz w:val="24"/>
          <w:szCs w:val="24"/>
        </w:rPr>
        <w:t>,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 the respondents learned</w:t>
      </w:r>
      <w:r w:rsidR="00702F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 xml:space="preserve">on 1 August </w:t>
      </w:r>
      <w:r w:rsidR="00901BB5">
        <w:rPr>
          <w:rFonts w:ascii="Arial" w:hAnsi="Arial" w:cs="Arial"/>
          <w:color w:val="000000" w:themeColor="text1"/>
          <w:sz w:val="24"/>
          <w:szCs w:val="24"/>
        </w:rPr>
        <w:t xml:space="preserve">2023 </w:t>
      </w:r>
      <w:r w:rsidR="00AB2F42" w:rsidRPr="00033C27">
        <w:rPr>
          <w:rFonts w:ascii="Arial" w:hAnsi="Arial" w:cs="Arial"/>
          <w:color w:val="000000" w:themeColor="text1"/>
          <w:sz w:val="24"/>
          <w:szCs w:val="24"/>
        </w:rPr>
        <w:t>that the matter was set down for hearing on 11 August 2023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420FF4">
        <w:rPr>
          <w:rFonts w:ascii="Arial" w:hAnsi="Arial" w:cs="Arial"/>
          <w:color w:val="000000" w:themeColor="text1"/>
          <w:sz w:val="24"/>
          <w:szCs w:val="24"/>
        </w:rPr>
        <w:t xml:space="preserve"> but still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 xml:space="preserve"> did not make</w:t>
      </w:r>
      <w:r w:rsidR="00420FF4">
        <w:rPr>
          <w:rFonts w:ascii="Arial" w:hAnsi="Arial" w:cs="Arial"/>
          <w:color w:val="000000" w:themeColor="text1"/>
          <w:sz w:val="24"/>
          <w:szCs w:val="24"/>
        </w:rPr>
        <w:t xml:space="preserve"> arrangements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0FF4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901BB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20FF4">
        <w:rPr>
          <w:rFonts w:ascii="Arial" w:hAnsi="Arial" w:cs="Arial"/>
          <w:color w:val="000000" w:themeColor="text1"/>
          <w:sz w:val="24"/>
          <w:szCs w:val="24"/>
        </w:rPr>
        <w:t xml:space="preserve">appointment of another senior counsel. The reasons advanced for seeking </w:t>
      </w:r>
      <w:r w:rsidR="00BB085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20FF4">
        <w:rPr>
          <w:rFonts w:ascii="Arial" w:hAnsi="Arial" w:cs="Arial"/>
          <w:color w:val="000000" w:themeColor="text1"/>
          <w:sz w:val="24"/>
          <w:szCs w:val="24"/>
        </w:rPr>
        <w:t xml:space="preserve">adjournment </w:t>
      </w:r>
      <w:r w:rsidR="00B77674">
        <w:rPr>
          <w:rFonts w:ascii="Arial" w:hAnsi="Arial" w:cs="Arial"/>
          <w:color w:val="000000" w:themeColor="text1"/>
          <w:sz w:val="24"/>
          <w:szCs w:val="24"/>
        </w:rPr>
        <w:t>are</w:t>
      </w:r>
      <w:r w:rsidR="00420FF4">
        <w:rPr>
          <w:rFonts w:ascii="Arial" w:hAnsi="Arial" w:cs="Arial"/>
          <w:color w:val="000000" w:themeColor="text1"/>
          <w:sz w:val="24"/>
          <w:szCs w:val="24"/>
        </w:rPr>
        <w:t xml:space="preserve"> not satisfactory and the application for adjournment </w:t>
      </w:r>
      <w:r w:rsidR="003A69C4">
        <w:rPr>
          <w:rFonts w:ascii="Arial" w:hAnsi="Arial" w:cs="Arial"/>
          <w:color w:val="000000" w:themeColor="text1"/>
          <w:sz w:val="24"/>
          <w:szCs w:val="24"/>
        </w:rPr>
        <w:t>is r</w:t>
      </w:r>
      <w:r w:rsidR="00295AE2">
        <w:rPr>
          <w:rFonts w:ascii="Arial" w:hAnsi="Arial" w:cs="Arial"/>
          <w:color w:val="000000" w:themeColor="text1"/>
          <w:sz w:val="24"/>
          <w:szCs w:val="24"/>
        </w:rPr>
        <w:t>efused.</w:t>
      </w:r>
    </w:p>
    <w:p w:rsidR="00F71D09" w:rsidRDefault="00F71D09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</w:pPr>
    </w:p>
    <w:p w:rsidR="000C4114" w:rsidRPr="00596195" w:rsidRDefault="00295AE2" w:rsidP="000C41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b/>
          <w:bCs/>
          <w:sz w:val="24"/>
          <w:szCs w:val="24"/>
          <w:lang w:val="en-ZA" w:eastAsia="en-GB"/>
        </w:rPr>
        <w:t>Parties’</w:t>
      </w:r>
      <w:r w:rsidR="00F71D09" w:rsidRPr="00596195">
        <w:rPr>
          <w:rFonts w:ascii="Arial" w:eastAsia="Times New Roman" w:hAnsi="Arial" w:cs="Arial"/>
          <w:b/>
          <w:bCs/>
          <w:sz w:val="24"/>
          <w:szCs w:val="24"/>
          <w:lang w:val="en-ZA" w:eastAsia="en-GB"/>
        </w:rPr>
        <w:t xml:space="preserve"> submissions</w:t>
      </w:r>
    </w:p>
    <w:p w:rsidR="00CF1286" w:rsidRDefault="000C4114" w:rsidP="000C4114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B77674" w:rsidRPr="00033C27">
        <w:rPr>
          <w:rFonts w:ascii="Arial" w:hAnsi="Arial" w:cs="Arial"/>
          <w:color w:val="000000" w:themeColor="text1"/>
          <w:sz w:val="24"/>
          <w:szCs w:val="24"/>
        </w:rPr>
        <w:t xml:space="preserve">Mr </w:t>
      </w:r>
      <w:r w:rsidR="00B77674" w:rsidRPr="00596195">
        <w:rPr>
          <w:rFonts w:ascii="Arial" w:hAnsi="Arial" w:cs="Arial"/>
          <w:i/>
          <w:color w:val="000000" w:themeColor="text1"/>
          <w:sz w:val="24"/>
          <w:szCs w:val="24"/>
        </w:rPr>
        <w:t>Moerane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submitted that the second to fourth respondent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have acted un</w:t>
      </w:r>
      <w:r w:rsidR="00033C2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awfully in preventing the second 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from taking up office at 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Municipality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discharging his duties as ministerial representative and the applicants are entitled to the interdict and mandamus they seek. The conduct of the respondents to take the law into their hands, 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 argument went, amount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 self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help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In support of 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his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argu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ment the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court 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was </w:t>
      </w:r>
      <w:r w:rsidR="00295A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referred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the Constitutional Court judgment of </w:t>
      </w:r>
      <w:r w:rsidRPr="00420FF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ZA" w:eastAsia="en-GB"/>
        </w:rPr>
        <w:t>N</w:t>
      </w:r>
      <w:r w:rsidR="00B776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ZA" w:eastAsia="en-GB"/>
        </w:rPr>
        <w:t>g</w:t>
      </w:r>
      <w:r w:rsidRPr="00420FF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ZA" w:eastAsia="en-GB"/>
        </w:rPr>
        <w:t xml:space="preserve">qukumba v Minister of Safety and </w:t>
      </w:r>
      <w:r w:rsidR="00420FF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ZA" w:eastAsia="en-GB"/>
        </w:rPr>
        <w:t>S</w:t>
      </w:r>
      <w:r w:rsidRPr="00420FF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ZA" w:eastAsia="en-GB"/>
        </w:rPr>
        <w:t>ecurity</w:t>
      </w:r>
      <w:r w:rsidR="00B7767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ZA" w:eastAsia="en-GB"/>
        </w:rPr>
        <w:t xml:space="preserve"> and Others</w:t>
      </w:r>
      <w:r w:rsidR="00596195" w:rsidRPr="00596195">
        <w:rPr>
          <w:rStyle w:val="FootnoteReference"/>
          <w:rFonts w:ascii="Arial" w:eastAsia="Times New Roman" w:hAnsi="Arial" w:cs="Arial"/>
          <w:iCs/>
          <w:color w:val="000000" w:themeColor="text1"/>
          <w:sz w:val="24"/>
          <w:szCs w:val="24"/>
          <w:lang w:val="en-ZA" w:eastAsia="en-GB"/>
        </w:rPr>
        <w:footnoteReference w:id="2"/>
      </w:r>
      <w:r w:rsidRP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where it was held that </w:t>
      </w:r>
      <w:r w:rsidR="00295A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self-help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is repugnant to 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values upon which our constitution is founded. With regard to the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respondents’ contention that 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applicants have not ma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de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 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reasonable 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effort to resolve the matter before launching this application, 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e submitted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that Chapter </w:t>
      </w:r>
      <w:r w:rsidR="00B7767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 the Intergovernmental Relations</w:t>
      </w:r>
      <w:r w:rsidR="00420FF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Framework </w:t>
      </w:r>
      <w:r w:rsidR="001C2169" w:rsidRP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Act</w:t>
      </w:r>
      <w:r w:rsidR="00596195">
        <w:rPr>
          <w:rStyle w:val="FootnoteReference"/>
          <w:rFonts w:ascii="Arial" w:eastAsia="Times New Roman" w:hAnsi="Arial" w:cs="Arial"/>
          <w:bCs/>
          <w:iCs/>
          <w:sz w:val="24"/>
          <w:szCs w:val="24"/>
          <w:lang w:val="en-ZA" w:eastAsia="en-GB"/>
        </w:rPr>
        <w:footnoteReference w:id="3"/>
      </w:r>
      <w:r w:rsidR="001C2169" w:rsidRP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(IGRFA)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which prescribe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settlement of intergove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tal disputes amongst organs of state does not apply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present matter because </w:t>
      </w:r>
      <w:r w:rsidR="001C216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95A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Municipality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is under intervention in terms of s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139 of the Constitution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Alternatively, the argument went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, based on </w:t>
      </w:r>
      <w:r w:rsidR="00CF128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CF128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he nature of the present matter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applicants  were entitled to approach the court for resolution of the matter.</w:t>
      </w:r>
    </w:p>
    <w:p w:rsidR="004067EB" w:rsidRDefault="00CF1286" w:rsidP="000C4114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lastRenderedPageBreak/>
        <w:t>[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BF2EE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Ms Lennard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submitted that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duty imposed upon organs of state involved in intergovernmental dispute</w:t>
      </w:r>
      <w:r w:rsidR="00E72FC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 make every effort to avoid litigation is applicable to the present matter.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applicants 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failed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 the argument went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CD318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make 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reasonable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effort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 resolve the dis before launching this applicant and this court should refuse to hear this application.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6C525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Furthermore, it was argued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applicants in their affidavits averred that the appointment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 the second applicant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would expire on 23 April 2023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3A69C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applicant’s counsel in their heads of argument 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had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averred that the second applicant’s appointment was extended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was 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still in force and the letter of extension was attached 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ir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practice notes, but such letter was not attached 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</w:t>
      </w:r>
      <w:r w:rsidR="005D210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practice notes.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It was further submitted that the second applicant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’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 appointment ha</w:t>
      </w:r>
      <w:r w:rsidR="0011078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expired, the applicants no longer have prima facie rights and the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application should be dismissed.</w:t>
      </w:r>
    </w:p>
    <w:p w:rsidR="008C0282" w:rsidRDefault="008C0282" w:rsidP="000C4114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F71D09" w:rsidRDefault="008C0282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In response, the applicants’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counsel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requested to hand in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court the letters  extending the second applicant’s appointment which were omitted from the applicants practice notes.</w:t>
      </w:r>
      <w:r w:rsidR="0059619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808C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 allowed </w:t>
      </w:r>
      <w:r w:rsidR="004067E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4808C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hand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ing</w:t>
      </w:r>
      <w:r w:rsidR="004808C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in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court of</w:t>
      </w:r>
      <w:r w:rsidR="004808C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letters showing that the appointment of the second applicant was extended and still in force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 Reasons being that t</w:t>
      </w:r>
      <w:r w:rsidR="005E62B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he issue of  extension of the second applicant’s appointment was raised by the applicants in their heads of argument, but </w:t>
      </w:r>
      <w:r w:rsidR="00426BA8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they </w:t>
      </w:r>
      <w:r w:rsidR="005E62B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omitted to attach 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those letters</w:t>
      </w:r>
      <w:r w:rsidR="005E62B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. 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In response to the applicants’ heads, the </w:t>
      </w:r>
      <w:r w:rsidR="005E62B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respondents’ submitted their heads of argument, 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but </w:t>
      </w:r>
      <w:r w:rsidR="005E62B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did not raise 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omission of the second  applicant’s  letters of appointment 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applicants’ practice notes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nor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5E62B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expiry of the second </w:t>
      </w:r>
      <w:r w:rsidR="00D056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applicant’s </w:t>
      </w:r>
      <w:r w:rsidR="005E62B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appointment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. The issues regarding the omission of the letters of appointment and expiry of the second applicant’s appointment 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was raised for the first time by the respondents’ counsel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at the hearing of th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is matter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. </w:t>
      </w:r>
      <w:r w:rsidR="00295A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It</w:t>
      </w:r>
      <w:r w:rsidR="00D056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819F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is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accepted that counsel was entitled to raise the issue 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because </w:t>
      </w:r>
      <w:r w:rsidR="00901BB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it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4143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arose</w:t>
      </w:r>
      <w:r w:rsidR="00336743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9F499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from the applicant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’s own case.</w:t>
      </w:r>
      <w:r w:rsidR="00D056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Under these circumstances I considered it fair to allow the applicants to hand in the letters </w:t>
      </w:r>
      <w:r w:rsidR="00D056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that 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they omitted to attach in their practice notes. </w:t>
      </w:r>
      <w:r w:rsidR="00336743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It is now clear that  the appointment of the second ap</w:t>
      </w:r>
      <w:r w:rsidR="001C41E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</w:t>
      </w:r>
      <w:r w:rsidR="00336743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licant was extended and is still in force.</w:t>
      </w:r>
    </w:p>
    <w:p w:rsidR="00336743" w:rsidRDefault="00336743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:rsidR="00E444F3" w:rsidRPr="00596195" w:rsidRDefault="005E52C8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ZA" w:eastAsia="en-GB"/>
        </w:rPr>
        <w:t>Analysis</w:t>
      </w:r>
    </w:p>
    <w:p w:rsidR="0070421C" w:rsidRPr="00F84269" w:rsidRDefault="005E52C8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</w:pPr>
      <w:r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[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5</w:t>
      </w:r>
      <w:r w:rsidR="0059619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ab/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As p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ointed out in paragraph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</w:t>
      </w:r>
      <w:r w:rsidR="00FA020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9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above the issues regarding 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the 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suitability of the second applicant to be appointed as a ministerial representative at </w:t>
      </w:r>
      <w:r w:rsidR="00D0569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the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Municipality is not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before this court,  it 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is pending before another court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. Further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more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, th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e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re is no longer a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ny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lastRenderedPageBreak/>
        <w:t>uncertainty regarding the expiry</w:t>
      </w:r>
      <w:r w:rsidR="00EB67D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of the second applica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n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t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’s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appoi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n</w:t>
      </w:r>
      <w:r w:rsidR="00312AF4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tment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since the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letters extending </w:t>
      </w:r>
      <w:r w:rsidR="001C41E6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his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appointed</w:t>
      </w:r>
      <w:r w:rsidR="00C63DFA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clarifies the issue 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that</w:t>
      </w:r>
      <w:r w:rsidR="0062133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his appointment is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still in </w:t>
      </w:r>
      <w:r w:rsidR="00125BAA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force.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This then brings me to the respondents’ contention that the app</w:t>
      </w:r>
      <w:r w:rsidR="00125BAA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licant</w:t>
      </w:r>
      <w:r w:rsidR="00D0569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s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</w:t>
      </w:r>
      <w:r w:rsidR="0062133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had</w:t>
      </w:r>
      <w:r w:rsidR="00125BAA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failed to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compl</w:t>
      </w:r>
      <w:r w:rsidR="00125BAA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y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with </w:t>
      </w:r>
      <w:r w:rsidR="0062133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>the</w:t>
      </w:r>
      <w:r w:rsidR="00125BAA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 </w:t>
      </w:r>
      <w:r w:rsidR="0070421C" w:rsidRPr="00F8426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  <w:t xml:space="preserve">constitutional duty imposed on organs of state to make every effort to resolve intergovernmental dispute before resorting to court. </w:t>
      </w:r>
    </w:p>
    <w:p w:rsidR="0070421C" w:rsidRPr="00F84269" w:rsidRDefault="0070421C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ZA" w:eastAsia="en-GB"/>
        </w:rPr>
      </w:pPr>
    </w:p>
    <w:p w:rsidR="007B4D61" w:rsidRPr="00F84269" w:rsidRDefault="00BB3211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</w:pP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[</w:t>
      </w:r>
      <w:r w:rsidR="00C63DF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6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ab/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Section</w:t>
      </w:r>
      <w:r w:rsid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41(3)</w:t>
      </w:r>
      <w:r w:rsidR="00D0569C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of</w:t>
      </w:r>
      <w:r w:rsidR="00D0569C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the Constitution direct</w:t>
      </w:r>
      <w:r w:rsidR="006167AF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an </w:t>
      </w:r>
      <w:r w:rsidR="006167AF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o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rgan of state involved in </w:t>
      </w:r>
      <w:r w:rsidR="00D0569C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an </w:t>
      </w:r>
      <w:r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intergovernmental dispute to make every reasonable effort to settle the dispute by means of mechanisms and procedures provided for that purposes and to exhaust all available remedies before approaching a court to resolve the dispute. Chapter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4 of the </w:t>
      </w:r>
      <w:r w:rsidR="00596195" w:rsidRP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IGRFA</w:t>
      </w:r>
      <w:r w:rsidR="00596195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make</w:t>
      </w:r>
      <w:r w:rsidR="006167AF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provision for</w:t>
      </w:r>
      <w:r w:rsid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mechanisms and procedures for settlement of intergove</w:t>
      </w:r>
      <w:r w:rsidR="00C63DF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r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n</w:t>
      </w:r>
      <w:r w:rsidR="006167AF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men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tal dispute</w:t>
      </w:r>
      <w:r w:rsidR="006167AF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between organs of state</w:t>
      </w:r>
      <w:r w:rsidR="00C5633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. </w:t>
      </w:r>
      <w:r w:rsidR="006167AF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ection 39 of</w:t>
      </w:r>
      <w:r w:rsid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the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="00C5633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IGRFA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 provides that the provisions of Chapter 4 of the IRFA does not apply to </w:t>
      </w:r>
      <w:r w:rsidR="00C63DF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disputes concerning an intervention in terms of 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</w:t>
      </w:r>
      <w:r w:rsidR="00596195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="00C63DF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100 or </w:t>
      </w:r>
      <w:r w:rsidR="00D54720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139 </w:t>
      </w:r>
      <w:r w:rsidR="00C63DF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of the Constitution</w:t>
      </w:r>
      <w:r w:rsidR="00125BA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.</w:t>
      </w:r>
      <w:r w:rsidR="00C5633A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="0062133C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Therefore i</w:t>
      </w:r>
      <w:r w:rsidR="00CD3189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t is not in dispute that the provisions of Chapter 4 of IGRFA is not applicable to the present matter because the dispute relates to </w:t>
      </w:r>
      <w:r w:rsidR="00D0569C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a </w:t>
      </w:r>
      <w:r w:rsidR="00CD3189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s</w:t>
      </w:r>
      <w:r w:rsidR="00D0569C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  <w:r w:rsidR="00CD3189" w:rsidRPr="00F84269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>139 intervention.</w:t>
      </w:r>
      <w:r w:rsidR="00AC4C04">
        <w:rPr>
          <w:rFonts w:ascii="Arial" w:eastAsia="Times New Roman" w:hAnsi="Arial" w:cs="Arial"/>
          <w:bCs/>
          <w:iCs/>
          <w:sz w:val="24"/>
          <w:szCs w:val="24"/>
          <w:lang w:val="en-ZA" w:eastAsia="en-GB"/>
        </w:rPr>
        <w:t xml:space="preserve"> </w:t>
      </w:r>
    </w:p>
    <w:p w:rsidR="005E52C8" w:rsidRPr="00605D06" w:rsidRDefault="00CC1C56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n-ZA" w:eastAsia="en-GB"/>
        </w:rPr>
        <w:t xml:space="preserve"> </w:t>
      </w:r>
    </w:p>
    <w:p w:rsidR="00955B6F" w:rsidRDefault="0043392D" w:rsidP="006521C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072F74">
        <w:rPr>
          <w:rFonts w:ascii="Arial" w:eastAsia="Times New Roman" w:hAnsi="Arial" w:cs="Arial"/>
          <w:sz w:val="24"/>
          <w:szCs w:val="24"/>
          <w:lang w:val="en-ZA" w:eastAsia="en-GB"/>
        </w:rPr>
        <w:t>1</w:t>
      </w:r>
      <w:r w:rsidR="00FA020D">
        <w:rPr>
          <w:rFonts w:ascii="Arial" w:eastAsia="Times New Roman" w:hAnsi="Arial" w:cs="Arial"/>
          <w:sz w:val="24"/>
          <w:szCs w:val="24"/>
          <w:lang w:val="en-ZA" w:eastAsia="en-GB"/>
        </w:rPr>
        <w:t>7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It is </w:t>
      </w:r>
      <w:r w:rsidR="007B4D6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appropriate to  have regard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D3189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to the nature of the dispute </w:t>
      </w:r>
      <w:r w:rsidR="007B4D61">
        <w:rPr>
          <w:rFonts w:ascii="Arial" w:eastAsia="Times New Roman" w:hAnsi="Arial" w:cs="Arial"/>
          <w:sz w:val="24"/>
          <w:szCs w:val="24"/>
          <w:lang w:val="en-ZA" w:eastAsia="en-GB"/>
        </w:rPr>
        <w:t>in the present matter</w:t>
      </w:r>
      <w:r w:rsidR="003F124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D3189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2133C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D432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which </w:t>
      </w:r>
      <w:r w:rsidR="003F1242">
        <w:rPr>
          <w:rFonts w:ascii="Arial" w:eastAsia="Times New Roman" w:hAnsi="Arial" w:cs="Arial"/>
          <w:sz w:val="24"/>
          <w:szCs w:val="24"/>
          <w:lang w:val="en-ZA" w:eastAsia="en-GB"/>
        </w:rPr>
        <w:t>relates to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</w:t>
      </w:r>
      <w:r w:rsidR="003F1242">
        <w:rPr>
          <w:rFonts w:ascii="Arial" w:eastAsia="Times New Roman" w:hAnsi="Arial" w:cs="Arial"/>
          <w:sz w:val="24"/>
          <w:szCs w:val="24"/>
          <w:lang w:val="en-ZA" w:eastAsia="en-GB"/>
        </w:rPr>
        <w:t>aking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law </w:t>
      </w:r>
      <w:r w:rsidR="007B4D61">
        <w:rPr>
          <w:rFonts w:ascii="Arial" w:eastAsia="Times New Roman" w:hAnsi="Arial" w:cs="Arial"/>
          <w:sz w:val="24"/>
          <w:szCs w:val="24"/>
          <w:lang w:val="en-ZA" w:eastAsia="en-GB"/>
        </w:rPr>
        <w:t>into one’s own hands in preventing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second applicant from performing his duty in terms of his appointment  as ministerial representative at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the Municipality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. Taking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>law into one</w:t>
      </w:r>
      <w:r w:rsidR="003E30E4">
        <w:rPr>
          <w:rFonts w:ascii="Arial" w:eastAsia="Times New Roman" w:hAnsi="Arial" w:cs="Arial"/>
          <w:sz w:val="24"/>
          <w:szCs w:val="24"/>
          <w:lang w:val="en-ZA" w:eastAsia="en-GB"/>
        </w:rPr>
        <w:t>’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s hands offends the </w:t>
      </w:r>
      <w:r w:rsidR="00596195">
        <w:rPr>
          <w:rFonts w:ascii="Arial" w:eastAsia="Times New Roman" w:hAnsi="Arial" w:cs="Arial"/>
          <w:sz w:val="24"/>
          <w:szCs w:val="24"/>
          <w:lang w:val="en-ZA" w:eastAsia="en-GB"/>
        </w:rPr>
        <w:t>r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ule of </w:t>
      </w:r>
      <w:r w:rsidR="00596195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>aw</w:t>
      </w:r>
      <w:r w:rsidR="00FD432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FD060A">
        <w:rPr>
          <w:rStyle w:val="FootnoteReference"/>
          <w:rFonts w:ascii="Arial" w:eastAsia="Times New Roman" w:hAnsi="Arial" w:cs="Arial"/>
          <w:sz w:val="24"/>
          <w:szCs w:val="24"/>
          <w:lang w:val="en-ZA" w:eastAsia="en-GB"/>
        </w:rPr>
        <w:footnoteReference w:id="4"/>
      </w:r>
      <w:r w:rsidR="00FD060A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5B1758">
        <w:rPr>
          <w:rFonts w:ascii="Arial" w:eastAsia="Times New Roman" w:hAnsi="Arial" w:cs="Arial"/>
          <w:sz w:val="24"/>
          <w:szCs w:val="24"/>
          <w:lang w:val="en-ZA" w:eastAsia="en-GB"/>
        </w:rPr>
        <w:t>which is</w:t>
      </w:r>
      <w:r w:rsidR="00FD060A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>one of</w:t>
      </w:r>
      <w:r w:rsidR="00FD060A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founding value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FD060A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of our constitutional democracy.</w:t>
      </w:r>
      <w:r w:rsidR="00FD060A">
        <w:rPr>
          <w:rStyle w:val="FootnoteReference"/>
          <w:rFonts w:ascii="Arial" w:eastAsia="Times New Roman" w:hAnsi="Arial" w:cs="Arial"/>
          <w:sz w:val="24"/>
          <w:szCs w:val="24"/>
          <w:lang w:val="en-ZA" w:eastAsia="en-GB"/>
        </w:rPr>
        <w:footnoteReference w:id="5"/>
      </w:r>
      <w:r w:rsidR="0059619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F5180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principle of taking the law in to one’s own hands and 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>self-help</w:t>
      </w:r>
      <w:r w:rsidR="00BF5180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is inimical to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a society</w:t>
      </w:r>
      <w:r w:rsidR="00BF5180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 founded on the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r</w:t>
      </w:r>
      <w:r w:rsidR="00BF5180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ule of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BF5180">
        <w:rPr>
          <w:rFonts w:ascii="Arial" w:eastAsia="Times New Roman" w:hAnsi="Arial" w:cs="Arial"/>
          <w:sz w:val="24"/>
          <w:szCs w:val="24"/>
          <w:lang w:val="en-ZA" w:eastAsia="en-GB"/>
        </w:rPr>
        <w:t>aw and principles of democracy.</w:t>
      </w:r>
      <w:r w:rsidR="00BF5180">
        <w:rPr>
          <w:rStyle w:val="FootnoteReference"/>
          <w:rFonts w:ascii="Arial" w:eastAsia="Times New Roman" w:hAnsi="Arial" w:cs="Arial"/>
          <w:sz w:val="24"/>
          <w:szCs w:val="24"/>
          <w:lang w:val="en-ZA" w:eastAsia="en-GB"/>
        </w:rPr>
        <w:footnoteReference w:id="6"/>
      </w:r>
      <w:r w:rsidR="00BF5180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>Reasons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being that the practice of self-help does not only create disorder, chaos and 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>vigilantes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in society, but  is likely to put at risk or even lead to </w:t>
      </w:r>
      <w:r w:rsidR="0062133C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death of innocent 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>people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. In the present matter innocent members of the public were prevented from accessing the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M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>unicipality</w:t>
      </w:r>
      <w:r w:rsidR="0062133C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premises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and consequently from accessing services</w:t>
      </w:r>
      <w:r w:rsidR="00FD432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>because the entrance to the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67435">
        <w:rPr>
          <w:rFonts w:ascii="Arial" w:eastAsia="Times New Roman" w:hAnsi="Arial" w:cs="Arial"/>
          <w:sz w:val="24"/>
          <w:szCs w:val="24"/>
          <w:lang w:val="en-ZA" w:eastAsia="en-GB"/>
        </w:rPr>
        <w:t>office was blocked.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conduct of  taking the law into their hands and preventing the second applicant from taking up his appointment at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lastRenderedPageBreak/>
        <w:t xml:space="preserve">the 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Municipality is unlawful and 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respondents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should be restrained and interdicted accordingly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:rsidR="006521CB" w:rsidRDefault="00955B6F" w:rsidP="00F02603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</w:p>
    <w:p w:rsidR="00955B6F" w:rsidRPr="00596195" w:rsidRDefault="00955B6F" w:rsidP="00F0260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b/>
          <w:sz w:val="24"/>
          <w:szCs w:val="24"/>
          <w:lang w:val="en-ZA" w:eastAsia="en-GB"/>
        </w:rPr>
        <w:t>Costs</w:t>
      </w:r>
    </w:p>
    <w:p w:rsidR="00F3637C" w:rsidRDefault="00033C27" w:rsidP="00F02603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FA020D">
        <w:rPr>
          <w:rFonts w:ascii="Arial" w:eastAsia="Times New Roman" w:hAnsi="Arial" w:cs="Arial"/>
          <w:sz w:val="24"/>
          <w:szCs w:val="24"/>
          <w:lang w:val="en-ZA" w:eastAsia="en-GB"/>
        </w:rPr>
        <w:t>18</w:t>
      </w:r>
      <w:r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955B6F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842AA3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="00955B6F">
        <w:rPr>
          <w:rFonts w:ascii="Arial" w:eastAsia="Times New Roman" w:hAnsi="Arial" w:cs="Arial"/>
          <w:sz w:val="24"/>
          <w:szCs w:val="24"/>
          <w:lang w:val="en-ZA" w:eastAsia="en-GB"/>
        </w:rPr>
        <w:t>pplicants submitted that the second to fourth respondents</w:t>
      </w:r>
      <w:r w:rsidR="00FD432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955B6F">
        <w:rPr>
          <w:rFonts w:ascii="Arial" w:eastAsia="Times New Roman" w:hAnsi="Arial" w:cs="Arial"/>
          <w:sz w:val="24"/>
          <w:szCs w:val="24"/>
          <w:lang w:val="en-ZA" w:eastAsia="en-GB"/>
        </w:rPr>
        <w:t>should be</w:t>
      </w:r>
      <w:r w:rsidR="00AC4C0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ar the costs of this application </w:t>
      </w:r>
      <w:r w:rsidR="00955B6F">
        <w:rPr>
          <w:rFonts w:ascii="Arial" w:eastAsia="Times New Roman" w:hAnsi="Arial" w:cs="Arial"/>
          <w:sz w:val="24"/>
          <w:szCs w:val="24"/>
          <w:lang w:val="en-ZA" w:eastAsia="en-GB"/>
        </w:rPr>
        <w:t>because they associated themselves with the conduct of those people who blocked the entrance to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955B6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and prevented the second applicant from assuming duties at the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Municipality</w:t>
      </w:r>
      <w:r w:rsidR="00955B6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premises.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334CE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respondents</w:t>
      </w:r>
      <w:r w:rsidR="00955B6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submitted</w:t>
      </w:r>
      <w:r w:rsidR="00334CE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that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issue of costs should be reserved for determination </w:t>
      </w:r>
      <w:r w:rsidR="00334CE1">
        <w:rPr>
          <w:rFonts w:ascii="Arial" w:eastAsia="Times New Roman" w:hAnsi="Arial" w:cs="Arial"/>
          <w:sz w:val="24"/>
          <w:szCs w:val="24"/>
          <w:lang w:val="en-ZA" w:eastAsia="en-GB"/>
        </w:rPr>
        <w:t>together with the review application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pending 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before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another court because by then the court would have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formed a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clear picture </w:t>
      </w:r>
      <w:r w:rsidR="00AC4C04">
        <w:rPr>
          <w:rFonts w:ascii="Arial" w:eastAsia="Times New Roman" w:hAnsi="Arial" w:cs="Arial"/>
          <w:sz w:val="24"/>
          <w:szCs w:val="24"/>
          <w:lang w:val="en-ZA" w:eastAsia="en-GB"/>
        </w:rPr>
        <w:t>regarding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conduct of the litigants in 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>this litigation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>. In determining the issue of costs</w:t>
      </w:r>
      <w:r w:rsidR="00334CE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 have</w:t>
      </w:r>
      <w:r w:rsidR="006521C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had</w:t>
      </w:r>
      <w:r w:rsidR="00334CE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regard to  the conduct of the parties </w:t>
      </w:r>
      <w:r w:rsidR="00CD3189">
        <w:rPr>
          <w:rFonts w:ascii="Arial" w:eastAsia="Times New Roman" w:hAnsi="Arial" w:cs="Arial"/>
          <w:sz w:val="24"/>
          <w:szCs w:val="24"/>
          <w:lang w:val="en-ZA" w:eastAsia="en-GB"/>
        </w:rPr>
        <w:t>involved in the litigation</w:t>
      </w:r>
      <w:r w:rsidR="00334CE1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334CE1">
        <w:rPr>
          <w:rStyle w:val="FootnoteReference"/>
          <w:rFonts w:ascii="Arial" w:eastAsia="Times New Roman" w:hAnsi="Arial" w:cs="Arial"/>
          <w:sz w:val="24"/>
          <w:szCs w:val="24"/>
          <w:lang w:val="en-ZA" w:eastAsia="en-GB"/>
        </w:rPr>
        <w:footnoteReference w:id="7"/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papers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before cou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rt show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that 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that </w:t>
      </w:r>
      <w:r w:rsidR="000346BD">
        <w:rPr>
          <w:rFonts w:ascii="Arial" w:eastAsia="Times New Roman" w:hAnsi="Arial" w:cs="Arial"/>
          <w:sz w:val="24"/>
          <w:szCs w:val="24"/>
          <w:lang w:val="en-ZA" w:eastAsia="en-GB"/>
        </w:rPr>
        <w:t>p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>eople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who were 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wearing </w:t>
      </w:r>
      <w:r w:rsidR="00842AA3">
        <w:rPr>
          <w:rFonts w:ascii="Arial" w:eastAsia="Times New Roman" w:hAnsi="Arial" w:cs="Arial"/>
          <w:sz w:val="24"/>
          <w:szCs w:val="24"/>
          <w:lang w:val="en-ZA" w:eastAsia="en-GB"/>
        </w:rPr>
        <w:t>t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-shirts 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of a political party 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>were blocking the entrance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and prevented the second 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from entering the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M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>unicipality. T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he second to fourth respondents are cited in their capacities 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as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office bearers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of the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M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unicipality without attributing any role played by them in 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>blocking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entrance to the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M</w:t>
      </w:r>
      <w:r w:rsidR="001608FB">
        <w:rPr>
          <w:rFonts w:ascii="Arial" w:eastAsia="Times New Roman" w:hAnsi="Arial" w:cs="Arial"/>
          <w:sz w:val="24"/>
          <w:szCs w:val="24"/>
          <w:lang w:val="en-ZA" w:eastAsia="en-GB"/>
        </w:rPr>
        <w:t>unicipality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5E402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70554">
        <w:rPr>
          <w:rFonts w:ascii="Arial" w:eastAsia="Times New Roman" w:hAnsi="Arial" w:cs="Arial"/>
          <w:sz w:val="24"/>
          <w:szCs w:val="24"/>
          <w:lang w:val="en-ZA" w:eastAsia="en-GB"/>
        </w:rPr>
        <w:t>With regard to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reserv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ation of costs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for determination by the court adjudicating the review application, 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in my view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346BD">
        <w:rPr>
          <w:rFonts w:ascii="Arial" w:eastAsia="Times New Roman" w:hAnsi="Arial" w:cs="Arial"/>
          <w:sz w:val="24"/>
          <w:szCs w:val="24"/>
          <w:lang w:val="en-ZA" w:eastAsia="en-GB"/>
        </w:rPr>
        <w:t>i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>t may not be appropriate for th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at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court to de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termine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issue of cost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for a</w:t>
      </w:r>
      <w:r w:rsidR="000346BD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9F0232">
        <w:rPr>
          <w:rFonts w:ascii="Arial" w:eastAsia="Times New Roman" w:hAnsi="Arial" w:cs="Arial"/>
          <w:sz w:val="24"/>
          <w:szCs w:val="24"/>
          <w:lang w:val="en-ZA" w:eastAsia="en-GB"/>
        </w:rPr>
        <w:t>matter heard by another court.</w:t>
      </w:r>
      <w:r w:rsidR="005E402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 am not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convinced that the conduct of the second to fourth respondents in th</w:t>
      </w:r>
      <w:r w:rsidR="00FD4326">
        <w:rPr>
          <w:rFonts w:ascii="Arial" w:eastAsia="Times New Roman" w:hAnsi="Arial" w:cs="Arial"/>
          <w:sz w:val="24"/>
          <w:szCs w:val="24"/>
          <w:lang w:val="en-ZA" w:eastAsia="en-GB"/>
        </w:rPr>
        <w:t>is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litigation </w:t>
      </w:r>
      <w:r w:rsidR="005E4022">
        <w:rPr>
          <w:rFonts w:ascii="Arial" w:eastAsia="Times New Roman" w:hAnsi="Arial" w:cs="Arial"/>
          <w:sz w:val="24"/>
          <w:szCs w:val="24"/>
          <w:lang w:val="en-ZA" w:eastAsia="en-GB"/>
        </w:rPr>
        <w:t>justifies that they personally bear the costs of this application</w:t>
      </w:r>
      <w:r w:rsidR="004F6D25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Further, in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my view, it 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is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not desirable to </w:t>
      </w:r>
      <w:r w:rsidR="00BF2EE9">
        <w:rPr>
          <w:rFonts w:ascii="Arial" w:eastAsia="Times New Roman" w:hAnsi="Arial" w:cs="Arial"/>
          <w:sz w:val="24"/>
          <w:szCs w:val="24"/>
          <w:lang w:val="en-ZA" w:eastAsia="en-GB"/>
        </w:rPr>
        <w:t>order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M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uni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>c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ipality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F2EE9">
        <w:rPr>
          <w:rFonts w:ascii="Arial" w:eastAsia="Times New Roman" w:hAnsi="Arial" w:cs="Arial"/>
          <w:sz w:val="24"/>
          <w:szCs w:val="24"/>
          <w:lang w:val="en-ZA" w:eastAsia="en-GB"/>
        </w:rPr>
        <w:t>to bear costs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>, in an instance such as the present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where the conduct of blocking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>entrance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and preventing the second applicant from taking up his appointment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is attributed to people wearing </w:t>
      </w:r>
      <w:r w:rsidR="00E65E45">
        <w:rPr>
          <w:rFonts w:ascii="Arial" w:eastAsia="Times New Roman" w:hAnsi="Arial" w:cs="Arial"/>
          <w:sz w:val="24"/>
          <w:szCs w:val="24"/>
          <w:lang w:val="en-ZA" w:eastAsia="en-GB"/>
        </w:rPr>
        <w:t>colours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of a political party</w:t>
      </w:r>
      <w:r w:rsidR="00E2266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whose role to the </w:t>
      </w:r>
      <w:r w:rsidR="00817F98">
        <w:rPr>
          <w:rFonts w:ascii="Arial" w:eastAsia="Times New Roman" w:hAnsi="Arial" w:cs="Arial"/>
          <w:sz w:val="24"/>
          <w:szCs w:val="24"/>
          <w:lang w:val="en-ZA" w:eastAsia="en-GB"/>
        </w:rPr>
        <w:t>M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>unicipality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is not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determinable</w:t>
      </w:r>
      <w:r w:rsidR="003350F7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:rsidR="00596195" w:rsidRDefault="00596195" w:rsidP="00F02603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:rsidR="000346BD" w:rsidRPr="00596195" w:rsidRDefault="00596195" w:rsidP="00F0260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596195">
        <w:rPr>
          <w:rFonts w:ascii="Arial" w:eastAsia="Times New Roman" w:hAnsi="Arial" w:cs="Arial"/>
          <w:b/>
          <w:sz w:val="24"/>
          <w:szCs w:val="24"/>
          <w:lang w:val="en-ZA" w:eastAsia="en-GB"/>
        </w:rPr>
        <w:t>Order</w:t>
      </w:r>
    </w:p>
    <w:p w:rsidR="00F84269" w:rsidRDefault="000346BD" w:rsidP="00F02603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FA020D">
        <w:rPr>
          <w:rFonts w:ascii="Arial" w:eastAsia="Times New Roman" w:hAnsi="Arial" w:cs="Arial"/>
          <w:sz w:val="24"/>
          <w:szCs w:val="24"/>
          <w:lang w:val="en-ZA" w:eastAsia="en-GB"/>
        </w:rPr>
        <w:t>19</w:t>
      </w:r>
      <w:r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="00596195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ZA" w:eastAsia="en-GB"/>
        </w:rPr>
        <w:t xml:space="preserve">In the premises, </w:t>
      </w:r>
      <w:r w:rsidR="00295AE2">
        <w:rPr>
          <w:rFonts w:ascii="Arial" w:eastAsia="Times New Roman" w:hAnsi="Arial" w:cs="Arial"/>
          <w:sz w:val="24"/>
          <w:szCs w:val="24"/>
          <w:lang w:val="en-ZA" w:eastAsia="en-GB"/>
        </w:rPr>
        <w:t>the following order is made</w:t>
      </w:r>
      <w:r>
        <w:rPr>
          <w:rFonts w:ascii="Arial" w:eastAsia="Times New Roman" w:hAnsi="Arial" w:cs="Arial"/>
          <w:sz w:val="24"/>
          <w:szCs w:val="24"/>
          <w:lang w:val="en-ZA" w:eastAsia="en-GB"/>
        </w:rPr>
        <w:t>:</w:t>
      </w:r>
    </w:p>
    <w:p w:rsidR="005E4022" w:rsidRPr="00650D36" w:rsidRDefault="00650D36" w:rsidP="00650D36">
      <w:p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295AE2">
        <w:rPr>
          <w:rFonts w:ascii="Arial" w:eastAsia="Times New Roman" w:hAnsi="Arial" w:cs="Arial"/>
          <w:sz w:val="24"/>
          <w:szCs w:val="24"/>
          <w:lang w:val="en-ZA" w:eastAsia="en-GB"/>
        </w:rPr>
        <w:lastRenderedPageBreak/>
        <w:t>1.</w:t>
      </w:r>
      <w:r w:rsidRPr="00295AE2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5E4022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>r</w:t>
      </w:r>
      <w:r w:rsidR="005E4022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espondents are hereby interdicted and restrained from preventing the </w:t>
      </w:r>
      <w:r w:rsidR="00254226" w:rsidRPr="00650D3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5E4022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econd </w:t>
      </w:r>
      <w:r w:rsidR="00254226" w:rsidRPr="00650D36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="005E4022" w:rsidRPr="00650D36">
        <w:rPr>
          <w:rFonts w:ascii="Arial" w:eastAsia="Times New Roman" w:hAnsi="Arial" w:cs="Arial"/>
          <w:sz w:val="24"/>
          <w:szCs w:val="24"/>
          <w:lang w:val="en-ZA" w:eastAsia="en-GB"/>
        </w:rPr>
        <w:t>pplicant</w:t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from taking up his position as ministerial representative at </w:t>
      </w:r>
      <w:r w:rsidR="00817F98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>Mtubatuba Local Municipality</w:t>
      </w:r>
      <w:r w:rsidR="00254226" w:rsidRPr="00650D3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:rsidR="004F6D25" w:rsidRPr="00650D36" w:rsidRDefault="00650D36" w:rsidP="00650D36">
      <w:p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sz w:val="24"/>
          <w:szCs w:val="24"/>
          <w:lang w:val="en-ZA" w:eastAsia="en-GB"/>
        </w:rPr>
        <w:t>2.</w:t>
      </w:r>
      <w:r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respondents are hereby directed to facilitate the </w:t>
      </w:r>
      <w:r w:rsidR="00254226" w:rsidRPr="00650D3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econd </w:t>
      </w:r>
      <w:r w:rsidR="00254226" w:rsidRPr="00650D36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pplicant’s appointment as ministerial representative at </w:t>
      </w:r>
      <w:r w:rsidR="00817F98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>Municipality by providing him with access to the offices used by the ministerial representative and all necessary facilities and by co-operating with the second applicant to enable him</w:t>
      </w:r>
      <w:r w:rsidR="00817F98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to</w:t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fulfil his statutory duties at the Municipality</w:t>
      </w:r>
      <w:r w:rsidR="00254226" w:rsidRPr="00650D3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:rsidR="004F6D25" w:rsidRPr="00650D36" w:rsidRDefault="00650D36" w:rsidP="00650D36">
      <w:p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5E4022">
        <w:rPr>
          <w:rFonts w:ascii="Arial" w:eastAsia="Times New Roman" w:hAnsi="Arial" w:cs="Arial"/>
          <w:sz w:val="24"/>
          <w:szCs w:val="24"/>
          <w:lang w:val="en-ZA" w:eastAsia="en-GB"/>
        </w:rPr>
        <w:t>3.</w:t>
      </w:r>
      <w:r w:rsidRPr="005E4022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4F6D25" w:rsidRPr="00650D36">
        <w:rPr>
          <w:rFonts w:ascii="Arial" w:eastAsia="Times New Roman" w:hAnsi="Arial" w:cs="Arial"/>
          <w:sz w:val="24"/>
          <w:szCs w:val="24"/>
          <w:lang w:val="en-ZA" w:eastAsia="en-GB"/>
        </w:rPr>
        <w:t>No order as to costs</w:t>
      </w:r>
      <w:r w:rsidR="00254226" w:rsidRPr="00650D3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:rsidR="000346BD" w:rsidRDefault="000346BD" w:rsidP="00F02603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:rsidR="00D0051E" w:rsidRPr="00605D06" w:rsidRDefault="00D0051E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:rsidR="00816C65" w:rsidRPr="00605D06" w:rsidRDefault="00816C65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:rsidR="00CD0DFD" w:rsidRPr="00605D06" w:rsidRDefault="00271B58" w:rsidP="000F5D5A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n-ZA"/>
        </w:rPr>
      </w:pPr>
      <w:r w:rsidRPr="00605D06">
        <w:rPr>
          <w:rFonts w:ascii="Arial" w:hAnsi="Arial" w:cs="Arial"/>
          <w:b/>
          <w:sz w:val="24"/>
          <w:szCs w:val="24"/>
          <w:lang w:val="en-ZA"/>
        </w:rPr>
        <w:t>_____________________</w:t>
      </w:r>
    </w:p>
    <w:p w:rsidR="00E07D0A" w:rsidRPr="00605D06" w:rsidRDefault="00AE4636" w:rsidP="000F5D5A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n-ZA"/>
        </w:rPr>
      </w:pPr>
      <w:r w:rsidRPr="00605D06">
        <w:rPr>
          <w:rFonts w:ascii="Arial" w:hAnsi="Arial" w:cs="Arial"/>
          <w:b/>
          <w:sz w:val="24"/>
          <w:szCs w:val="24"/>
          <w:lang w:val="en-ZA"/>
        </w:rPr>
        <w:t xml:space="preserve">MATHENJWA AJ </w:t>
      </w:r>
    </w:p>
    <w:p w:rsidR="00C12E8F" w:rsidRPr="00605D06" w:rsidRDefault="00C12E8F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F84269" w:rsidRDefault="00F84269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271B58" w:rsidRDefault="00A64CFA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 xml:space="preserve">Date of hearing: </w:t>
      </w:r>
      <w:r w:rsidR="00033C27">
        <w:rPr>
          <w:rFonts w:ascii="Arial" w:hAnsi="Arial" w:cs="Arial"/>
          <w:sz w:val="24"/>
          <w:szCs w:val="24"/>
          <w:lang w:val="en-ZA"/>
        </w:rPr>
        <w:t>11</w:t>
      </w:r>
      <w:r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033C27">
        <w:rPr>
          <w:rFonts w:ascii="Arial" w:hAnsi="Arial" w:cs="Arial"/>
          <w:sz w:val="24"/>
          <w:szCs w:val="24"/>
          <w:lang w:val="en-ZA"/>
        </w:rPr>
        <w:t>August</w:t>
      </w:r>
      <w:r w:rsidR="00465A7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F640C3" w:rsidRPr="00605D06">
        <w:rPr>
          <w:rFonts w:ascii="Arial" w:hAnsi="Arial" w:cs="Arial"/>
          <w:sz w:val="24"/>
          <w:szCs w:val="24"/>
          <w:lang w:val="en-ZA"/>
        </w:rPr>
        <w:t>2</w:t>
      </w:r>
      <w:r w:rsidRPr="00605D06">
        <w:rPr>
          <w:rFonts w:ascii="Arial" w:hAnsi="Arial" w:cs="Arial"/>
          <w:sz w:val="24"/>
          <w:szCs w:val="24"/>
          <w:lang w:val="en-ZA"/>
        </w:rPr>
        <w:t>023</w:t>
      </w:r>
    </w:p>
    <w:p w:rsidR="005C6F18" w:rsidRDefault="005C6F18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Date of  </w:t>
      </w:r>
      <w:r w:rsidR="00254226">
        <w:rPr>
          <w:rFonts w:ascii="Arial" w:hAnsi="Arial" w:cs="Arial"/>
          <w:sz w:val="24"/>
          <w:szCs w:val="24"/>
          <w:lang w:val="en-ZA"/>
        </w:rPr>
        <w:t>judgment</w:t>
      </w:r>
      <w:r>
        <w:rPr>
          <w:rFonts w:ascii="Arial" w:hAnsi="Arial" w:cs="Arial"/>
          <w:sz w:val="24"/>
          <w:szCs w:val="24"/>
          <w:lang w:val="en-ZA"/>
        </w:rPr>
        <w:t xml:space="preserve">: </w:t>
      </w:r>
      <w:r w:rsidR="00033C27">
        <w:rPr>
          <w:rFonts w:ascii="Arial" w:hAnsi="Arial" w:cs="Arial"/>
          <w:sz w:val="24"/>
          <w:szCs w:val="24"/>
          <w:lang w:val="en-ZA"/>
        </w:rPr>
        <w:t>1</w:t>
      </w:r>
      <w:r w:rsidR="00F32FED">
        <w:rPr>
          <w:rFonts w:ascii="Arial" w:hAnsi="Arial" w:cs="Arial"/>
          <w:sz w:val="24"/>
          <w:szCs w:val="24"/>
          <w:lang w:val="en-ZA"/>
        </w:rPr>
        <w:t>5</w:t>
      </w:r>
      <w:r w:rsidR="00033C27">
        <w:rPr>
          <w:rFonts w:ascii="Arial" w:hAnsi="Arial" w:cs="Arial"/>
          <w:sz w:val="24"/>
          <w:szCs w:val="24"/>
          <w:lang w:val="en-ZA"/>
        </w:rPr>
        <w:t xml:space="preserve"> August</w:t>
      </w:r>
      <w:r>
        <w:rPr>
          <w:rFonts w:ascii="Arial" w:hAnsi="Arial" w:cs="Arial"/>
          <w:sz w:val="24"/>
          <w:szCs w:val="24"/>
          <w:lang w:val="en-ZA"/>
        </w:rPr>
        <w:t xml:space="preserve"> 2023</w:t>
      </w:r>
    </w:p>
    <w:p w:rsidR="005C6F18" w:rsidRDefault="005C6F18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271B58" w:rsidRPr="00605D06" w:rsidRDefault="00271B58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8244A6" w:rsidRPr="00605D06" w:rsidRDefault="008244A6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C12E8F" w:rsidRPr="00605D06" w:rsidRDefault="002E245D" w:rsidP="008049BA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605D06">
        <w:rPr>
          <w:rFonts w:ascii="Arial" w:hAnsi="Arial" w:cs="Arial"/>
          <w:b/>
          <w:bCs/>
          <w:sz w:val="24"/>
          <w:szCs w:val="24"/>
          <w:u w:val="single"/>
          <w:lang w:val="en-ZA"/>
        </w:rPr>
        <w:t>Appearances:</w:t>
      </w:r>
    </w:p>
    <w:p w:rsidR="002E245D" w:rsidRDefault="002E245D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 xml:space="preserve">For the </w:t>
      </w:r>
      <w:r w:rsidR="008049BA" w:rsidRPr="00605D06">
        <w:rPr>
          <w:rFonts w:ascii="Arial" w:hAnsi="Arial" w:cs="Arial"/>
          <w:sz w:val="24"/>
          <w:szCs w:val="24"/>
          <w:lang w:val="en-ZA"/>
        </w:rPr>
        <w:t>applicants</w:t>
      </w:r>
      <w:r w:rsidRPr="00605D06">
        <w:rPr>
          <w:rFonts w:ascii="Arial" w:hAnsi="Arial" w:cs="Arial"/>
          <w:sz w:val="24"/>
          <w:szCs w:val="24"/>
          <w:lang w:val="en-ZA"/>
        </w:rPr>
        <w:t>:</w:t>
      </w:r>
      <w:r w:rsidR="0053036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E444F3" w:rsidRPr="00605D06">
        <w:rPr>
          <w:rFonts w:ascii="Arial" w:hAnsi="Arial" w:cs="Arial"/>
          <w:sz w:val="24"/>
          <w:szCs w:val="24"/>
          <w:lang w:val="en-ZA"/>
        </w:rPr>
        <w:tab/>
        <w:t>Adv</w:t>
      </w:r>
      <w:r w:rsidR="00E15A84">
        <w:rPr>
          <w:rFonts w:ascii="Arial" w:hAnsi="Arial" w:cs="Arial"/>
          <w:sz w:val="24"/>
          <w:szCs w:val="24"/>
          <w:lang w:val="en-ZA"/>
        </w:rPr>
        <w:t xml:space="preserve"> Moerane SC</w:t>
      </w:r>
    </w:p>
    <w:p w:rsidR="00E15A84" w:rsidRPr="00605D06" w:rsidRDefault="00E15A84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Assisted by: </w:t>
      </w:r>
      <w:r>
        <w:rPr>
          <w:rFonts w:ascii="Arial" w:hAnsi="Arial" w:cs="Arial"/>
          <w:sz w:val="24"/>
          <w:szCs w:val="24"/>
          <w:lang w:val="en-ZA"/>
        </w:rPr>
        <w:tab/>
        <w:t>Adv M Mabonane</w:t>
      </w:r>
    </w:p>
    <w:p w:rsidR="00254226" w:rsidRDefault="002E245D" w:rsidP="00E15A84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 xml:space="preserve">Instructed by: </w:t>
      </w:r>
      <w:r w:rsidR="00254226">
        <w:rPr>
          <w:rFonts w:ascii="Arial" w:hAnsi="Arial" w:cs="Arial"/>
          <w:sz w:val="24"/>
          <w:szCs w:val="24"/>
          <w:lang w:val="en-ZA"/>
        </w:rPr>
        <w:tab/>
        <w:t>Tembe Kheswa Nxumalo Inc.</w:t>
      </w:r>
    </w:p>
    <w:p w:rsidR="007D0D08" w:rsidRPr="00605D06" w:rsidRDefault="00254226" w:rsidP="00E15A84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  <w:t>Durban</w:t>
      </w:r>
      <w:r w:rsidR="008049BA">
        <w:rPr>
          <w:rFonts w:ascii="Arial" w:hAnsi="Arial" w:cs="Arial"/>
          <w:sz w:val="24"/>
          <w:szCs w:val="24"/>
          <w:lang w:val="en-ZA"/>
        </w:rPr>
        <w:tab/>
      </w:r>
    </w:p>
    <w:p w:rsidR="00E15A84" w:rsidRDefault="00E15A84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2E245D" w:rsidRPr="00E15A84" w:rsidRDefault="002E245D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ED7D31" w:themeColor="accent2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>For the</w:t>
      </w:r>
      <w:r w:rsidR="0053036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8049BA" w:rsidRPr="00605D06">
        <w:rPr>
          <w:rFonts w:ascii="Arial" w:hAnsi="Arial" w:cs="Arial"/>
          <w:sz w:val="24"/>
          <w:szCs w:val="24"/>
          <w:lang w:val="en-ZA"/>
        </w:rPr>
        <w:t xml:space="preserve"> respondents</w:t>
      </w:r>
      <w:r w:rsidRPr="00605D06">
        <w:rPr>
          <w:rFonts w:ascii="Arial" w:hAnsi="Arial" w:cs="Arial"/>
          <w:sz w:val="24"/>
          <w:szCs w:val="24"/>
          <w:lang w:val="en-ZA"/>
        </w:rPr>
        <w:t>:</w:t>
      </w:r>
      <w:r w:rsidR="0053036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254226">
        <w:rPr>
          <w:rFonts w:ascii="Arial" w:hAnsi="Arial" w:cs="Arial"/>
          <w:sz w:val="24"/>
          <w:szCs w:val="24"/>
          <w:lang w:val="en-ZA"/>
        </w:rPr>
        <w:tab/>
        <w:t>Adv. U Lennard</w:t>
      </w:r>
      <w:r w:rsidR="008049BA">
        <w:rPr>
          <w:rFonts w:ascii="Arial" w:hAnsi="Arial" w:cs="Arial"/>
          <w:sz w:val="24"/>
          <w:szCs w:val="24"/>
          <w:lang w:val="en-ZA"/>
        </w:rPr>
        <w:tab/>
      </w:r>
    </w:p>
    <w:p w:rsidR="007D0D08" w:rsidRPr="00254226" w:rsidRDefault="007D0D08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254226">
        <w:rPr>
          <w:rFonts w:ascii="Arial" w:hAnsi="Arial" w:cs="Arial"/>
          <w:color w:val="000000" w:themeColor="text1"/>
          <w:sz w:val="24"/>
          <w:szCs w:val="24"/>
          <w:lang w:val="en-ZA"/>
        </w:rPr>
        <w:t>Assisted by:</w:t>
      </w:r>
      <w:r w:rsidRPr="00254226">
        <w:rPr>
          <w:rFonts w:ascii="Arial" w:hAnsi="Arial" w:cs="Arial"/>
          <w:color w:val="000000" w:themeColor="text1"/>
          <w:sz w:val="24"/>
          <w:szCs w:val="24"/>
          <w:lang w:val="en-ZA"/>
        </w:rPr>
        <w:tab/>
        <w:t xml:space="preserve">Adv </w:t>
      </w:r>
      <w:r w:rsidR="00254226" w:rsidRPr="00254226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N Xulu</w:t>
      </w:r>
    </w:p>
    <w:p w:rsidR="002E245D" w:rsidRPr="00254226" w:rsidRDefault="002E245D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254226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Instructed by: </w:t>
      </w:r>
      <w:r w:rsidR="008049BA" w:rsidRPr="00254226">
        <w:rPr>
          <w:rFonts w:ascii="Arial" w:hAnsi="Arial" w:cs="Arial"/>
          <w:color w:val="000000" w:themeColor="text1"/>
          <w:sz w:val="24"/>
          <w:szCs w:val="24"/>
          <w:lang w:val="en-ZA"/>
        </w:rPr>
        <w:tab/>
      </w:r>
      <w:r w:rsidR="00254226" w:rsidRPr="00254226">
        <w:rPr>
          <w:rFonts w:ascii="Arial" w:hAnsi="Arial" w:cs="Arial"/>
          <w:color w:val="000000" w:themeColor="text1"/>
          <w:sz w:val="24"/>
          <w:szCs w:val="24"/>
          <w:lang w:val="en-ZA"/>
        </w:rPr>
        <w:t>SM Mbatha Inc.</w:t>
      </w:r>
    </w:p>
    <w:p w:rsidR="00254226" w:rsidRPr="00254226" w:rsidRDefault="00254226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254226">
        <w:rPr>
          <w:rFonts w:ascii="Arial" w:hAnsi="Arial" w:cs="Arial"/>
          <w:color w:val="000000" w:themeColor="text1"/>
          <w:sz w:val="24"/>
          <w:szCs w:val="24"/>
          <w:lang w:val="en-ZA"/>
        </w:rPr>
        <w:tab/>
        <w:t>Durban</w:t>
      </w:r>
    </w:p>
    <w:p w:rsidR="00A64CFA" w:rsidRPr="00605D06" w:rsidRDefault="008049BA" w:rsidP="00254226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15A84">
        <w:rPr>
          <w:rFonts w:ascii="Arial" w:hAnsi="Arial" w:cs="Arial"/>
          <w:color w:val="ED7D31" w:themeColor="accent2"/>
          <w:sz w:val="24"/>
          <w:szCs w:val="24"/>
          <w:lang w:val="en-ZA"/>
        </w:rPr>
        <w:tab/>
      </w:r>
      <w:r w:rsidR="00A64CFA" w:rsidRPr="00605D06">
        <w:rPr>
          <w:rFonts w:ascii="Arial" w:hAnsi="Arial" w:cs="Arial"/>
          <w:sz w:val="24"/>
          <w:szCs w:val="24"/>
          <w:lang w:val="en-ZA"/>
        </w:rPr>
        <w:t xml:space="preserve"> </w:t>
      </w:r>
    </w:p>
    <w:sectPr w:rsidR="00A64CFA" w:rsidRPr="00605D06" w:rsidSect="00BF2BAE">
      <w:headerReference w:type="default" r:id="rId12"/>
      <w:pgSz w:w="12240" w:h="15840"/>
      <w:pgMar w:top="1276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90" w:rsidRDefault="00BB3E90" w:rsidP="00B75D68">
      <w:pPr>
        <w:spacing w:after="0" w:line="240" w:lineRule="auto"/>
      </w:pPr>
      <w:r>
        <w:separator/>
      </w:r>
    </w:p>
  </w:endnote>
  <w:endnote w:type="continuationSeparator" w:id="0">
    <w:p w:rsidR="00BB3E90" w:rsidRDefault="00BB3E90" w:rsidP="00B7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90" w:rsidRDefault="00BB3E90" w:rsidP="00B75D68">
      <w:pPr>
        <w:spacing w:after="0" w:line="240" w:lineRule="auto"/>
      </w:pPr>
      <w:r>
        <w:separator/>
      </w:r>
    </w:p>
  </w:footnote>
  <w:footnote w:type="continuationSeparator" w:id="0">
    <w:p w:rsidR="00BB3E90" w:rsidRDefault="00BB3E90" w:rsidP="00B75D68">
      <w:pPr>
        <w:spacing w:after="0" w:line="240" w:lineRule="auto"/>
      </w:pPr>
      <w:r>
        <w:continuationSeparator/>
      </w:r>
    </w:p>
  </w:footnote>
  <w:footnote w:id="1">
    <w:p w:rsidR="00596195" w:rsidRPr="00596195" w:rsidRDefault="00596195" w:rsidP="00596195">
      <w:pPr>
        <w:pStyle w:val="FootnoteText"/>
        <w:jc w:val="both"/>
        <w:rPr>
          <w:rFonts w:ascii="Arial" w:hAnsi="Arial" w:cs="Arial"/>
          <w:lang w:val="en-ZA"/>
        </w:rPr>
      </w:pPr>
      <w:r w:rsidRPr="00596195">
        <w:rPr>
          <w:rStyle w:val="FootnoteReference"/>
          <w:rFonts w:ascii="Arial" w:hAnsi="Arial" w:cs="Arial"/>
        </w:rPr>
        <w:footnoteRef/>
      </w:r>
      <w:r w:rsidR="00310893">
        <w:rPr>
          <w:rFonts w:ascii="Arial" w:hAnsi="Arial" w:cs="Arial"/>
        </w:rPr>
        <w:t xml:space="preserve"> </w:t>
      </w:r>
      <w:r w:rsidRPr="00596195">
        <w:rPr>
          <w:rFonts w:ascii="Arial" w:hAnsi="Arial" w:cs="Arial"/>
          <w:i/>
          <w:iCs/>
          <w:color w:val="000000" w:themeColor="text1"/>
        </w:rPr>
        <w:t xml:space="preserve">Nongoma Local Municipality and Others v MEC for Cooperative Governance and Traditional Affairs (KwaZulu-Natal) and </w:t>
      </w:r>
      <w:r w:rsidR="00820452">
        <w:rPr>
          <w:rFonts w:ascii="Arial" w:hAnsi="Arial" w:cs="Arial"/>
          <w:i/>
          <w:iCs/>
          <w:color w:val="000000" w:themeColor="text1"/>
        </w:rPr>
        <w:t>O</w:t>
      </w:r>
      <w:r w:rsidRPr="00596195">
        <w:rPr>
          <w:rFonts w:ascii="Arial" w:hAnsi="Arial" w:cs="Arial"/>
          <w:i/>
          <w:iCs/>
          <w:color w:val="000000" w:themeColor="text1"/>
        </w:rPr>
        <w:t>thers</w:t>
      </w:r>
      <w:r w:rsidRPr="00596195">
        <w:rPr>
          <w:rFonts w:ascii="Arial" w:hAnsi="Arial" w:cs="Arial"/>
          <w:color w:val="000000" w:themeColor="text1"/>
        </w:rPr>
        <w:t xml:space="preserve"> (846/2023P) [2023] ZAKZPHC 73 (3 July 2023).</w:t>
      </w:r>
    </w:p>
  </w:footnote>
  <w:footnote w:id="2">
    <w:p w:rsidR="00596195" w:rsidRPr="00596195" w:rsidRDefault="00596195" w:rsidP="00596195">
      <w:pPr>
        <w:pStyle w:val="FootnoteText"/>
        <w:jc w:val="both"/>
        <w:rPr>
          <w:lang w:val="en-ZA"/>
        </w:rPr>
      </w:pPr>
      <w:r w:rsidRPr="00596195">
        <w:rPr>
          <w:rStyle w:val="FootnoteReference"/>
          <w:rFonts w:ascii="Arial" w:hAnsi="Arial" w:cs="Arial"/>
        </w:rPr>
        <w:footnoteRef/>
      </w:r>
      <w:r w:rsidRPr="00596195">
        <w:rPr>
          <w:rFonts w:ascii="Arial" w:hAnsi="Arial" w:cs="Arial"/>
        </w:rPr>
        <w:t xml:space="preserve"> </w:t>
      </w:r>
      <w:r w:rsidRPr="00596195">
        <w:rPr>
          <w:rFonts w:ascii="Arial" w:eastAsia="Times New Roman" w:hAnsi="Arial" w:cs="Arial"/>
          <w:i/>
          <w:iCs/>
          <w:color w:val="000000" w:themeColor="text1"/>
          <w:lang w:val="en-ZA" w:eastAsia="en-GB"/>
        </w:rPr>
        <w:t>N</w:t>
      </w:r>
      <w:r w:rsidR="00B77674">
        <w:rPr>
          <w:rFonts w:ascii="Arial" w:eastAsia="Times New Roman" w:hAnsi="Arial" w:cs="Arial"/>
          <w:i/>
          <w:iCs/>
          <w:color w:val="000000" w:themeColor="text1"/>
          <w:lang w:val="en-ZA" w:eastAsia="en-GB"/>
        </w:rPr>
        <w:t>g</w:t>
      </w:r>
      <w:r w:rsidRPr="00596195">
        <w:rPr>
          <w:rFonts w:ascii="Arial" w:eastAsia="Times New Roman" w:hAnsi="Arial" w:cs="Arial"/>
          <w:i/>
          <w:iCs/>
          <w:color w:val="000000" w:themeColor="text1"/>
          <w:lang w:val="en-ZA" w:eastAsia="en-GB"/>
        </w:rPr>
        <w:t>qukumba v Minister of Safety and Security</w:t>
      </w:r>
      <w:r w:rsidRPr="00596195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B77674" w:rsidRPr="00B77674">
        <w:rPr>
          <w:rFonts w:ascii="Arial" w:eastAsia="Times New Roman" w:hAnsi="Arial" w:cs="Arial"/>
          <w:i/>
          <w:color w:val="000000" w:themeColor="text1"/>
          <w:lang w:val="en-ZA" w:eastAsia="en-GB"/>
        </w:rPr>
        <w:t>and Others</w:t>
      </w:r>
      <w:r w:rsidR="00B77674">
        <w:rPr>
          <w:rFonts w:ascii="Arial" w:eastAsia="Times New Roman" w:hAnsi="Arial" w:cs="Arial"/>
          <w:color w:val="000000" w:themeColor="text1"/>
          <w:lang w:val="en-ZA" w:eastAsia="en-GB"/>
        </w:rPr>
        <w:t xml:space="preserve"> 2014 (5) SA 112 (CC); </w:t>
      </w:r>
      <w:r w:rsidRPr="00596195">
        <w:rPr>
          <w:rFonts w:ascii="Arial" w:eastAsia="Times New Roman" w:hAnsi="Arial" w:cs="Arial"/>
          <w:color w:val="000000" w:themeColor="text1"/>
          <w:lang w:val="en-ZA" w:eastAsia="en-GB"/>
        </w:rPr>
        <w:t>2014 (7) BCLR 788 (CC) para 21.</w:t>
      </w:r>
    </w:p>
  </w:footnote>
  <w:footnote w:id="3">
    <w:p w:rsidR="00596195" w:rsidRPr="00596195" w:rsidRDefault="00596195" w:rsidP="00596195">
      <w:pPr>
        <w:pStyle w:val="FootnoteText"/>
        <w:jc w:val="both"/>
        <w:rPr>
          <w:rFonts w:ascii="Arial" w:hAnsi="Arial" w:cs="Arial"/>
          <w:lang w:val="en-ZA"/>
        </w:rPr>
      </w:pPr>
      <w:r w:rsidRPr="00596195">
        <w:rPr>
          <w:rStyle w:val="FootnoteReference"/>
          <w:rFonts w:ascii="Arial" w:hAnsi="Arial" w:cs="Arial"/>
        </w:rPr>
        <w:footnoteRef/>
      </w:r>
      <w:r w:rsidRPr="00596195">
        <w:rPr>
          <w:rFonts w:ascii="Arial" w:hAnsi="Arial" w:cs="Arial"/>
        </w:rPr>
        <w:t xml:space="preserve"> </w:t>
      </w:r>
      <w:r w:rsidRPr="00596195">
        <w:rPr>
          <w:rFonts w:ascii="Arial" w:eastAsia="Times New Roman" w:hAnsi="Arial" w:cs="Arial"/>
          <w:color w:val="000000" w:themeColor="text1"/>
          <w:lang w:val="en-ZA" w:eastAsia="en-GB"/>
        </w:rPr>
        <w:t xml:space="preserve">Intergovernmental Relations Framework </w:t>
      </w:r>
      <w:r w:rsidRPr="00596195">
        <w:rPr>
          <w:rFonts w:ascii="Arial" w:eastAsia="Times New Roman" w:hAnsi="Arial" w:cs="Arial"/>
          <w:bCs/>
          <w:iCs/>
          <w:lang w:val="en-ZA" w:eastAsia="en-GB"/>
        </w:rPr>
        <w:t>Act 13 of 2005.</w:t>
      </w:r>
    </w:p>
  </w:footnote>
  <w:footnote w:id="4">
    <w:p w:rsidR="00FD060A" w:rsidRPr="00596195" w:rsidRDefault="00FD060A" w:rsidP="00596195">
      <w:pPr>
        <w:pStyle w:val="FootnoteText"/>
        <w:jc w:val="both"/>
        <w:rPr>
          <w:rFonts w:ascii="Arial" w:hAnsi="Arial" w:cs="Arial"/>
        </w:rPr>
      </w:pPr>
      <w:r w:rsidRPr="00596195">
        <w:rPr>
          <w:rStyle w:val="FootnoteReference"/>
          <w:rFonts w:ascii="Arial" w:hAnsi="Arial" w:cs="Arial"/>
        </w:rPr>
        <w:footnoteRef/>
      </w:r>
      <w:r w:rsidR="00310893">
        <w:rPr>
          <w:rFonts w:ascii="Arial" w:hAnsi="Arial" w:cs="Arial"/>
        </w:rPr>
        <w:t xml:space="preserve"> </w:t>
      </w:r>
      <w:r w:rsidRPr="00596195">
        <w:rPr>
          <w:rFonts w:ascii="Arial" w:hAnsi="Arial" w:cs="Arial"/>
          <w:i/>
        </w:rPr>
        <w:t>Chief L</w:t>
      </w:r>
      <w:r w:rsidR="00817F98">
        <w:rPr>
          <w:rFonts w:ascii="Arial" w:hAnsi="Arial" w:cs="Arial"/>
          <w:i/>
        </w:rPr>
        <w:t>esapo</w:t>
      </w:r>
      <w:r w:rsidRPr="00596195">
        <w:rPr>
          <w:rFonts w:ascii="Arial" w:hAnsi="Arial" w:cs="Arial"/>
          <w:i/>
        </w:rPr>
        <w:t>o v North West Agricultural Bank</w:t>
      </w:r>
      <w:r w:rsidRPr="00596195">
        <w:rPr>
          <w:rFonts w:ascii="Arial" w:hAnsi="Arial" w:cs="Arial"/>
        </w:rPr>
        <w:t xml:space="preserve"> </w:t>
      </w:r>
      <w:r w:rsidR="00817F98" w:rsidRPr="00817F98">
        <w:rPr>
          <w:rFonts w:ascii="Arial" w:hAnsi="Arial" w:cs="Arial"/>
          <w:i/>
        </w:rPr>
        <w:t>and Another</w:t>
      </w:r>
      <w:r w:rsidR="00817F98">
        <w:rPr>
          <w:rFonts w:ascii="Arial" w:hAnsi="Arial" w:cs="Arial"/>
        </w:rPr>
        <w:t xml:space="preserve"> </w:t>
      </w:r>
      <w:r w:rsidRPr="00596195">
        <w:rPr>
          <w:rFonts w:ascii="Arial" w:hAnsi="Arial" w:cs="Arial"/>
        </w:rPr>
        <w:t>2000 (1) SA 409 (CC) para 22</w:t>
      </w:r>
      <w:r w:rsidR="00596195">
        <w:rPr>
          <w:rFonts w:ascii="Arial" w:hAnsi="Arial" w:cs="Arial"/>
        </w:rPr>
        <w:t>.</w:t>
      </w:r>
    </w:p>
  </w:footnote>
  <w:footnote w:id="5">
    <w:p w:rsidR="00FD060A" w:rsidRPr="00596195" w:rsidRDefault="00FD060A" w:rsidP="00596195">
      <w:pPr>
        <w:pStyle w:val="FootnoteText"/>
        <w:jc w:val="both"/>
        <w:rPr>
          <w:rFonts w:ascii="Arial" w:hAnsi="Arial" w:cs="Arial"/>
        </w:rPr>
      </w:pPr>
      <w:r w:rsidRPr="00596195">
        <w:rPr>
          <w:rStyle w:val="FootnoteReference"/>
          <w:rFonts w:ascii="Arial" w:hAnsi="Arial" w:cs="Arial"/>
        </w:rPr>
        <w:footnoteRef/>
      </w:r>
      <w:r w:rsidR="00310893">
        <w:rPr>
          <w:rFonts w:ascii="Arial" w:hAnsi="Arial" w:cs="Arial"/>
        </w:rPr>
        <w:t xml:space="preserve"> </w:t>
      </w:r>
      <w:r w:rsidRPr="00596195">
        <w:rPr>
          <w:rFonts w:ascii="Arial" w:hAnsi="Arial" w:cs="Arial"/>
        </w:rPr>
        <w:t xml:space="preserve">Section 1 </w:t>
      </w:r>
      <w:r w:rsidRPr="00817F98">
        <w:rPr>
          <w:rFonts w:ascii="Arial" w:hAnsi="Arial" w:cs="Arial"/>
          <w:i/>
        </w:rPr>
        <w:t>(</w:t>
      </w:r>
      <w:r w:rsidR="00842AA3" w:rsidRPr="00817F98">
        <w:rPr>
          <w:rFonts w:ascii="Arial" w:hAnsi="Arial" w:cs="Arial"/>
          <w:i/>
        </w:rPr>
        <w:t>c</w:t>
      </w:r>
      <w:r w:rsidRPr="00817F98">
        <w:rPr>
          <w:rFonts w:ascii="Arial" w:hAnsi="Arial" w:cs="Arial"/>
          <w:i/>
        </w:rPr>
        <w:t xml:space="preserve">) </w:t>
      </w:r>
      <w:r w:rsidRPr="00596195">
        <w:rPr>
          <w:rFonts w:ascii="Arial" w:hAnsi="Arial" w:cs="Arial"/>
        </w:rPr>
        <w:t xml:space="preserve">of the Constitution. </w:t>
      </w:r>
    </w:p>
  </w:footnote>
  <w:footnote w:id="6">
    <w:p w:rsidR="00BF5180" w:rsidRDefault="00BF5180" w:rsidP="00596195">
      <w:pPr>
        <w:pStyle w:val="FootnoteText"/>
        <w:jc w:val="both"/>
      </w:pPr>
      <w:r w:rsidRPr="00596195">
        <w:rPr>
          <w:rStyle w:val="FootnoteReference"/>
          <w:rFonts w:ascii="Arial" w:hAnsi="Arial" w:cs="Arial"/>
        </w:rPr>
        <w:footnoteRef/>
      </w:r>
      <w:r w:rsidRPr="00596195">
        <w:rPr>
          <w:rFonts w:ascii="Arial" w:hAnsi="Arial" w:cs="Arial"/>
        </w:rPr>
        <w:t xml:space="preserve"> </w:t>
      </w:r>
      <w:r w:rsidRPr="00596195">
        <w:rPr>
          <w:rFonts w:ascii="Arial" w:hAnsi="Arial" w:cs="Arial"/>
          <w:i/>
        </w:rPr>
        <w:t>Chief L</w:t>
      </w:r>
      <w:r w:rsidR="00817F98">
        <w:rPr>
          <w:rFonts w:ascii="Arial" w:hAnsi="Arial" w:cs="Arial"/>
          <w:i/>
        </w:rPr>
        <w:t>esapo</w:t>
      </w:r>
      <w:r w:rsidRPr="00596195">
        <w:rPr>
          <w:rFonts w:ascii="Arial" w:hAnsi="Arial" w:cs="Arial"/>
        </w:rPr>
        <w:t xml:space="preserve"> </w:t>
      </w:r>
      <w:r w:rsidR="00596195">
        <w:rPr>
          <w:rFonts w:ascii="Arial" w:hAnsi="Arial" w:cs="Arial"/>
        </w:rPr>
        <w:t xml:space="preserve">above fn </w:t>
      </w:r>
      <w:r w:rsidR="00842AA3">
        <w:rPr>
          <w:rFonts w:ascii="Arial" w:hAnsi="Arial" w:cs="Arial"/>
        </w:rPr>
        <w:t>4</w:t>
      </w:r>
      <w:r w:rsidRPr="00596195">
        <w:rPr>
          <w:rFonts w:ascii="Arial" w:hAnsi="Arial" w:cs="Arial"/>
        </w:rPr>
        <w:t xml:space="preserve"> para 11</w:t>
      </w:r>
      <w:r w:rsidR="00596195">
        <w:rPr>
          <w:rFonts w:ascii="Arial" w:hAnsi="Arial" w:cs="Arial"/>
        </w:rPr>
        <w:t>.</w:t>
      </w:r>
    </w:p>
  </w:footnote>
  <w:footnote w:id="7">
    <w:p w:rsidR="00334CE1" w:rsidRPr="00596195" w:rsidRDefault="00334CE1" w:rsidP="00596195">
      <w:pPr>
        <w:pStyle w:val="FootnoteText"/>
        <w:jc w:val="both"/>
        <w:rPr>
          <w:rFonts w:ascii="Arial" w:hAnsi="Arial" w:cs="Arial"/>
        </w:rPr>
      </w:pPr>
      <w:r w:rsidRPr="00596195">
        <w:rPr>
          <w:rStyle w:val="FootnoteReference"/>
          <w:rFonts w:ascii="Arial" w:hAnsi="Arial" w:cs="Arial"/>
        </w:rPr>
        <w:footnoteRef/>
      </w:r>
      <w:r w:rsidR="00310893">
        <w:rPr>
          <w:rFonts w:ascii="Arial" w:hAnsi="Arial" w:cs="Arial"/>
        </w:rPr>
        <w:t xml:space="preserve"> </w:t>
      </w:r>
      <w:r w:rsidRPr="00596195">
        <w:rPr>
          <w:rFonts w:ascii="Arial" w:hAnsi="Arial" w:cs="Arial"/>
          <w:i/>
        </w:rPr>
        <w:t>Catling and Another v Constas NO and Another</w:t>
      </w:r>
      <w:r w:rsidRPr="00596195">
        <w:rPr>
          <w:rFonts w:ascii="Arial" w:hAnsi="Arial" w:cs="Arial"/>
        </w:rPr>
        <w:t xml:space="preserve"> (2647/2016) [2016] ZAGPJHC 3</w:t>
      </w:r>
      <w:r w:rsidR="00817F98">
        <w:rPr>
          <w:rFonts w:ascii="Arial" w:hAnsi="Arial" w:cs="Arial"/>
        </w:rPr>
        <w:t>5</w:t>
      </w:r>
      <w:r w:rsidRPr="00596195">
        <w:rPr>
          <w:rFonts w:ascii="Arial" w:hAnsi="Arial" w:cs="Arial"/>
        </w:rPr>
        <w:t>0 (17 September 2019) para 39</w:t>
      </w:r>
      <w:r w:rsidR="001608FB" w:rsidRPr="00596195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698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35B8" w:rsidRDefault="00DF35B8" w:rsidP="00C872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D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35B8" w:rsidRDefault="00DF3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6E7"/>
    <w:multiLevelType w:val="hybridMultilevel"/>
    <w:tmpl w:val="C7221E18"/>
    <w:lvl w:ilvl="0" w:tplc="E9668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A1FC1"/>
    <w:multiLevelType w:val="hybridMultilevel"/>
    <w:tmpl w:val="7716FF70"/>
    <w:lvl w:ilvl="0" w:tplc="ABD6D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0F07"/>
    <w:multiLevelType w:val="hybridMultilevel"/>
    <w:tmpl w:val="C24EE2D8"/>
    <w:lvl w:ilvl="0" w:tplc="1AF8F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104"/>
    <w:multiLevelType w:val="hybridMultilevel"/>
    <w:tmpl w:val="A34405B0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C2A94"/>
    <w:multiLevelType w:val="hybridMultilevel"/>
    <w:tmpl w:val="D40A2BFE"/>
    <w:lvl w:ilvl="0" w:tplc="C276A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7774"/>
    <w:multiLevelType w:val="hybridMultilevel"/>
    <w:tmpl w:val="D75202A8"/>
    <w:lvl w:ilvl="0" w:tplc="BBD42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06D8"/>
    <w:multiLevelType w:val="hybridMultilevel"/>
    <w:tmpl w:val="5DDE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4D41"/>
    <w:multiLevelType w:val="hybridMultilevel"/>
    <w:tmpl w:val="36D880E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7C68"/>
    <w:multiLevelType w:val="hybridMultilevel"/>
    <w:tmpl w:val="FA426D0C"/>
    <w:lvl w:ilvl="0" w:tplc="B1883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47EA0"/>
    <w:multiLevelType w:val="hybridMultilevel"/>
    <w:tmpl w:val="30B2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3B33"/>
    <w:multiLevelType w:val="hybridMultilevel"/>
    <w:tmpl w:val="DA34A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5513"/>
    <w:multiLevelType w:val="hybridMultilevel"/>
    <w:tmpl w:val="48624D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8"/>
    <w:rsid w:val="00003325"/>
    <w:rsid w:val="00005602"/>
    <w:rsid w:val="00013366"/>
    <w:rsid w:val="00033C27"/>
    <w:rsid w:val="000346BD"/>
    <w:rsid w:val="000378FD"/>
    <w:rsid w:val="000419D5"/>
    <w:rsid w:val="00045274"/>
    <w:rsid w:val="00060B6E"/>
    <w:rsid w:val="00062532"/>
    <w:rsid w:val="00064094"/>
    <w:rsid w:val="000663F6"/>
    <w:rsid w:val="00070554"/>
    <w:rsid w:val="00071152"/>
    <w:rsid w:val="00072BE2"/>
    <w:rsid w:val="00072F74"/>
    <w:rsid w:val="00073022"/>
    <w:rsid w:val="000819FC"/>
    <w:rsid w:val="00084304"/>
    <w:rsid w:val="00084A94"/>
    <w:rsid w:val="00085F1D"/>
    <w:rsid w:val="000A4465"/>
    <w:rsid w:val="000A5EBB"/>
    <w:rsid w:val="000B16D0"/>
    <w:rsid w:val="000B4E65"/>
    <w:rsid w:val="000B5B8B"/>
    <w:rsid w:val="000C208C"/>
    <w:rsid w:val="000C28C9"/>
    <w:rsid w:val="000C4114"/>
    <w:rsid w:val="000C7159"/>
    <w:rsid w:val="000D65AC"/>
    <w:rsid w:val="000D77FA"/>
    <w:rsid w:val="000F5A40"/>
    <w:rsid w:val="000F5D5A"/>
    <w:rsid w:val="00101953"/>
    <w:rsid w:val="00106314"/>
    <w:rsid w:val="00110781"/>
    <w:rsid w:val="0011386E"/>
    <w:rsid w:val="00113B67"/>
    <w:rsid w:val="0011456C"/>
    <w:rsid w:val="00121DC9"/>
    <w:rsid w:val="00125BAA"/>
    <w:rsid w:val="00126E6A"/>
    <w:rsid w:val="00145E54"/>
    <w:rsid w:val="00153DDB"/>
    <w:rsid w:val="00155306"/>
    <w:rsid w:val="001608FB"/>
    <w:rsid w:val="00166DF6"/>
    <w:rsid w:val="00171ACA"/>
    <w:rsid w:val="00182E03"/>
    <w:rsid w:val="001A150B"/>
    <w:rsid w:val="001A3FD8"/>
    <w:rsid w:val="001B4EA6"/>
    <w:rsid w:val="001C2169"/>
    <w:rsid w:val="001C41E6"/>
    <w:rsid w:val="001C7427"/>
    <w:rsid w:val="001E637F"/>
    <w:rsid w:val="001E6FD0"/>
    <w:rsid w:val="001E7B8D"/>
    <w:rsid w:val="001F11AD"/>
    <w:rsid w:val="001F13C8"/>
    <w:rsid w:val="001F2AF7"/>
    <w:rsid w:val="002043B8"/>
    <w:rsid w:val="00205995"/>
    <w:rsid w:val="0021348E"/>
    <w:rsid w:val="002159F2"/>
    <w:rsid w:val="0021686B"/>
    <w:rsid w:val="002216E5"/>
    <w:rsid w:val="00222E6E"/>
    <w:rsid w:val="002328EF"/>
    <w:rsid w:val="0024099A"/>
    <w:rsid w:val="00241431"/>
    <w:rsid w:val="002475BB"/>
    <w:rsid w:val="00250D4D"/>
    <w:rsid w:val="00252EAF"/>
    <w:rsid w:val="00254226"/>
    <w:rsid w:val="00262E6D"/>
    <w:rsid w:val="0026695D"/>
    <w:rsid w:val="0027042B"/>
    <w:rsid w:val="002708AD"/>
    <w:rsid w:val="00271B58"/>
    <w:rsid w:val="002778D2"/>
    <w:rsid w:val="00284675"/>
    <w:rsid w:val="00284D5A"/>
    <w:rsid w:val="002916D0"/>
    <w:rsid w:val="002957EA"/>
    <w:rsid w:val="00295AE2"/>
    <w:rsid w:val="002B2118"/>
    <w:rsid w:val="002B50D6"/>
    <w:rsid w:val="002C12A3"/>
    <w:rsid w:val="002C2256"/>
    <w:rsid w:val="002C56E9"/>
    <w:rsid w:val="002D058F"/>
    <w:rsid w:val="002D74AB"/>
    <w:rsid w:val="002E245D"/>
    <w:rsid w:val="002F19BD"/>
    <w:rsid w:val="002F4B4F"/>
    <w:rsid w:val="002F7797"/>
    <w:rsid w:val="00300260"/>
    <w:rsid w:val="00310893"/>
    <w:rsid w:val="00312AF4"/>
    <w:rsid w:val="00323D06"/>
    <w:rsid w:val="00323E32"/>
    <w:rsid w:val="00323EB5"/>
    <w:rsid w:val="00326647"/>
    <w:rsid w:val="00326D37"/>
    <w:rsid w:val="003270A8"/>
    <w:rsid w:val="0033070F"/>
    <w:rsid w:val="003309DB"/>
    <w:rsid w:val="00332B45"/>
    <w:rsid w:val="00334CE1"/>
    <w:rsid w:val="003350F7"/>
    <w:rsid w:val="00336743"/>
    <w:rsid w:val="00343B9A"/>
    <w:rsid w:val="00350FC1"/>
    <w:rsid w:val="00364B5A"/>
    <w:rsid w:val="00371EEF"/>
    <w:rsid w:val="00383760"/>
    <w:rsid w:val="00383A02"/>
    <w:rsid w:val="00393D65"/>
    <w:rsid w:val="003959A4"/>
    <w:rsid w:val="003A28B7"/>
    <w:rsid w:val="003A69C4"/>
    <w:rsid w:val="003A763B"/>
    <w:rsid w:val="003A7F1B"/>
    <w:rsid w:val="003B1160"/>
    <w:rsid w:val="003B3C2F"/>
    <w:rsid w:val="003B626A"/>
    <w:rsid w:val="003C476B"/>
    <w:rsid w:val="003D0021"/>
    <w:rsid w:val="003D210B"/>
    <w:rsid w:val="003D2E94"/>
    <w:rsid w:val="003D3815"/>
    <w:rsid w:val="003D7A0B"/>
    <w:rsid w:val="003E25F7"/>
    <w:rsid w:val="003E30E4"/>
    <w:rsid w:val="003E3A2D"/>
    <w:rsid w:val="003F0DB8"/>
    <w:rsid w:val="003F1242"/>
    <w:rsid w:val="003F304A"/>
    <w:rsid w:val="00400BAA"/>
    <w:rsid w:val="00400FAB"/>
    <w:rsid w:val="00401265"/>
    <w:rsid w:val="00403510"/>
    <w:rsid w:val="004067EB"/>
    <w:rsid w:val="004114A3"/>
    <w:rsid w:val="00413247"/>
    <w:rsid w:val="00414BB2"/>
    <w:rsid w:val="00420106"/>
    <w:rsid w:val="00420FF4"/>
    <w:rsid w:val="00425C72"/>
    <w:rsid w:val="00425CF9"/>
    <w:rsid w:val="00425DBC"/>
    <w:rsid w:val="00425F14"/>
    <w:rsid w:val="00426BA8"/>
    <w:rsid w:val="0043052E"/>
    <w:rsid w:val="00431CB9"/>
    <w:rsid w:val="0043392D"/>
    <w:rsid w:val="00435911"/>
    <w:rsid w:val="00440058"/>
    <w:rsid w:val="00444354"/>
    <w:rsid w:val="00464ADF"/>
    <w:rsid w:val="00465A77"/>
    <w:rsid w:val="00467A12"/>
    <w:rsid w:val="004808CF"/>
    <w:rsid w:val="00482562"/>
    <w:rsid w:val="004A4A98"/>
    <w:rsid w:val="004B3F8D"/>
    <w:rsid w:val="004B5FBC"/>
    <w:rsid w:val="004B60F2"/>
    <w:rsid w:val="004C3D8D"/>
    <w:rsid w:val="004C4DDC"/>
    <w:rsid w:val="004C551F"/>
    <w:rsid w:val="004D6887"/>
    <w:rsid w:val="004E08DD"/>
    <w:rsid w:val="004E42AB"/>
    <w:rsid w:val="004F6D25"/>
    <w:rsid w:val="005131C7"/>
    <w:rsid w:val="00516108"/>
    <w:rsid w:val="00521C48"/>
    <w:rsid w:val="00530004"/>
    <w:rsid w:val="00530367"/>
    <w:rsid w:val="00533323"/>
    <w:rsid w:val="00534907"/>
    <w:rsid w:val="005367E6"/>
    <w:rsid w:val="00541D3D"/>
    <w:rsid w:val="005429CA"/>
    <w:rsid w:val="00545231"/>
    <w:rsid w:val="0054631A"/>
    <w:rsid w:val="00554D18"/>
    <w:rsid w:val="00561B3B"/>
    <w:rsid w:val="00573443"/>
    <w:rsid w:val="0057361B"/>
    <w:rsid w:val="00576B4C"/>
    <w:rsid w:val="00580313"/>
    <w:rsid w:val="005831F0"/>
    <w:rsid w:val="00596195"/>
    <w:rsid w:val="00596ABA"/>
    <w:rsid w:val="005A3D84"/>
    <w:rsid w:val="005B1758"/>
    <w:rsid w:val="005C6860"/>
    <w:rsid w:val="005C6F18"/>
    <w:rsid w:val="005D210E"/>
    <w:rsid w:val="005D4A93"/>
    <w:rsid w:val="005E2A2F"/>
    <w:rsid w:val="005E4022"/>
    <w:rsid w:val="005E52C8"/>
    <w:rsid w:val="005E62BE"/>
    <w:rsid w:val="005F2B53"/>
    <w:rsid w:val="005F386A"/>
    <w:rsid w:val="005F6C70"/>
    <w:rsid w:val="00605D06"/>
    <w:rsid w:val="0061148D"/>
    <w:rsid w:val="00611FE1"/>
    <w:rsid w:val="006167AF"/>
    <w:rsid w:val="0062133C"/>
    <w:rsid w:val="00621FD9"/>
    <w:rsid w:val="0062527B"/>
    <w:rsid w:val="0063407E"/>
    <w:rsid w:val="006413A9"/>
    <w:rsid w:val="00641A74"/>
    <w:rsid w:val="00646010"/>
    <w:rsid w:val="0064663A"/>
    <w:rsid w:val="00650B32"/>
    <w:rsid w:val="00650D36"/>
    <w:rsid w:val="006521CB"/>
    <w:rsid w:val="006557B1"/>
    <w:rsid w:val="00664CD1"/>
    <w:rsid w:val="00674FD8"/>
    <w:rsid w:val="0068591F"/>
    <w:rsid w:val="006907EB"/>
    <w:rsid w:val="006A2027"/>
    <w:rsid w:val="006A43DD"/>
    <w:rsid w:val="006B09DD"/>
    <w:rsid w:val="006B5982"/>
    <w:rsid w:val="006B6214"/>
    <w:rsid w:val="006B7CC9"/>
    <w:rsid w:val="006C15B1"/>
    <w:rsid w:val="006C525B"/>
    <w:rsid w:val="006D10DD"/>
    <w:rsid w:val="006D2D6A"/>
    <w:rsid w:val="006D4889"/>
    <w:rsid w:val="006D4E22"/>
    <w:rsid w:val="006E39DF"/>
    <w:rsid w:val="006F3BE4"/>
    <w:rsid w:val="00702FC9"/>
    <w:rsid w:val="0070421C"/>
    <w:rsid w:val="00707392"/>
    <w:rsid w:val="00717793"/>
    <w:rsid w:val="00725E97"/>
    <w:rsid w:val="00727844"/>
    <w:rsid w:val="00737046"/>
    <w:rsid w:val="0074024E"/>
    <w:rsid w:val="00751F12"/>
    <w:rsid w:val="007538D0"/>
    <w:rsid w:val="00763E95"/>
    <w:rsid w:val="007711D7"/>
    <w:rsid w:val="007729CB"/>
    <w:rsid w:val="00773EE1"/>
    <w:rsid w:val="00775201"/>
    <w:rsid w:val="00785A62"/>
    <w:rsid w:val="00786650"/>
    <w:rsid w:val="00793C86"/>
    <w:rsid w:val="00793F28"/>
    <w:rsid w:val="007A1968"/>
    <w:rsid w:val="007A64B6"/>
    <w:rsid w:val="007B3679"/>
    <w:rsid w:val="007B4D61"/>
    <w:rsid w:val="007C1D80"/>
    <w:rsid w:val="007C31CC"/>
    <w:rsid w:val="007C4712"/>
    <w:rsid w:val="007C4F06"/>
    <w:rsid w:val="007D0D08"/>
    <w:rsid w:val="007D44E8"/>
    <w:rsid w:val="007E610F"/>
    <w:rsid w:val="007F2A22"/>
    <w:rsid w:val="007F68F1"/>
    <w:rsid w:val="00803EDC"/>
    <w:rsid w:val="008049BA"/>
    <w:rsid w:val="00810DB6"/>
    <w:rsid w:val="00811D5B"/>
    <w:rsid w:val="00812538"/>
    <w:rsid w:val="0081515C"/>
    <w:rsid w:val="00816C65"/>
    <w:rsid w:val="00817F98"/>
    <w:rsid w:val="00820452"/>
    <w:rsid w:val="008243C2"/>
    <w:rsid w:val="008244A6"/>
    <w:rsid w:val="00825B6C"/>
    <w:rsid w:val="00830E26"/>
    <w:rsid w:val="00833093"/>
    <w:rsid w:val="008340B1"/>
    <w:rsid w:val="00836A99"/>
    <w:rsid w:val="00842AA3"/>
    <w:rsid w:val="0084774B"/>
    <w:rsid w:val="008536FC"/>
    <w:rsid w:val="00872690"/>
    <w:rsid w:val="00874F59"/>
    <w:rsid w:val="008809A9"/>
    <w:rsid w:val="0088784B"/>
    <w:rsid w:val="00894625"/>
    <w:rsid w:val="00896629"/>
    <w:rsid w:val="008B11D7"/>
    <w:rsid w:val="008B5340"/>
    <w:rsid w:val="008B682C"/>
    <w:rsid w:val="008C0282"/>
    <w:rsid w:val="008C7574"/>
    <w:rsid w:val="008D2061"/>
    <w:rsid w:val="008D2878"/>
    <w:rsid w:val="008E59CA"/>
    <w:rsid w:val="008E6B67"/>
    <w:rsid w:val="008F0415"/>
    <w:rsid w:val="008F1097"/>
    <w:rsid w:val="008F7E0E"/>
    <w:rsid w:val="00901BB5"/>
    <w:rsid w:val="00907AB7"/>
    <w:rsid w:val="00911D7F"/>
    <w:rsid w:val="00913CC4"/>
    <w:rsid w:val="00917196"/>
    <w:rsid w:val="00923C5A"/>
    <w:rsid w:val="009245E0"/>
    <w:rsid w:val="00925757"/>
    <w:rsid w:val="00932930"/>
    <w:rsid w:val="00951783"/>
    <w:rsid w:val="00955B6F"/>
    <w:rsid w:val="00957AE9"/>
    <w:rsid w:val="0096796F"/>
    <w:rsid w:val="0098086F"/>
    <w:rsid w:val="00994C01"/>
    <w:rsid w:val="009A7976"/>
    <w:rsid w:val="009B641C"/>
    <w:rsid w:val="009C13C6"/>
    <w:rsid w:val="009C3B9A"/>
    <w:rsid w:val="009D40B5"/>
    <w:rsid w:val="009E6A30"/>
    <w:rsid w:val="009F0232"/>
    <w:rsid w:val="009F499B"/>
    <w:rsid w:val="009F67B1"/>
    <w:rsid w:val="009F7B02"/>
    <w:rsid w:val="00A00038"/>
    <w:rsid w:val="00A00A20"/>
    <w:rsid w:val="00A01188"/>
    <w:rsid w:val="00A0282E"/>
    <w:rsid w:val="00A02992"/>
    <w:rsid w:val="00A074BE"/>
    <w:rsid w:val="00A13DF8"/>
    <w:rsid w:val="00A3209F"/>
    <w:rsid w:val="00A3234F"/>
    <w:rsid w:val="00A32CD6"/>
    <w:rsid w:val="00A32DA2"/>
    <w:rsid w:val="00A37D1E"/>
    <w:rsid w:val="00A5188B"/>
    <w:rsid w:val="00A64C83"/>
    <w:rsid w:val="00A64CFA"/>
    <w:rsid w:val="00A77C8C"/>
    <w:rsid w:val="00A85201"/>
    <w:rsid w:val="00A852C0"/>
    <w:rsid w:val="00A85A4D"/>
    <w:rsid w:val="00A868CA"/>
    <w:rsid w:val="00A92D07"/>
    <w:rsid w:val="00AA17C0"/>
    <w:rsid w:val="00AA38F9"/>
    <w:rsid w:val="00AA7289"/>
    <w:rsid w:val="00AB2F42"/>
    <w:rsid w:val="00AB7FE4"/>
    <w:rsid w:val="00AC3E8E"/>
    <w:rsid w:val="00AC4C04"/>
    <w:rsid w:val="00AD7DB8"/>
    <w:rsid w:val="00AE309B"/>
    <w:rsid w:val="00AE4636"/>
    <w:rsid w:val="00AE5E0B"/>
    <w:rsid w:val="00AF0917"/>
    <w:rsid w:val="00AF3B51"/>
    <w:rsid w:val="00B11C12"/>
    <w:rsid w:val="00B12E5F"/>
    <w:rsid w:val="00B227E7"/>
    <w:rsid w:val="00B232DE"/>
    <w:rsid w:val="00B23CC6"/>
    <w:rsid w:val="00B27399"/>
    <w:rsid w:val="00B27DB7"/>
    <w:rsid w:val="00B301E8"/>
    <w:rsid w:val="00B35354"/>
    <w:rsid w:val="00B364C7"/>
    <w:rsid w:val="00B567C4"/>
    <w:rsid w:val="00B64842"/>
    <w:rsid w:val="00B67435"/>
    <w:rsid w:val="00B75D68"/>
    <w:rsid w:val="00B77674"/>
    <w:rsid w:val="00B965D8"/>
    <w:rsid w:val="00BA0135"/>
    <w:rsid w:val="00BA2B65"/>
    <w:rsid w:val="00BB0856"/>
    <w:rsid w:val="00BB3211"/>
    <w:rsid w:val="00BB3E90"/>
    <w:rsid w:val="00BB7289"/>
    <w:rsid w:val="00BC0375"/>
    <w:rsid w:val="00BC4177"/>
    <w:rsid w:val="00BC5011"/>
    <w:rsid w:val="00BD7480"/>
    <w:rsid w:val="00BD7746"/>
    <w:rsid w:val="00BE1B02"/>
    <w:rsid w:val="00BE3D0A"/>
    <w:rsid w:val="00BF089D"/>
    <w:rsid w:val="00BF2BAE"/>
    <w:rsid w:val="00BF2EE9"/>
    <w:rsid w:val="00BF5180"/>
    <w:rsid w:val="00C05228"/>
    <w:rsid w:val="00C12E8F"/>
    <w:rsid w:val="00C142B4"/>
    <w:rsid w:val="00C157EC"/>
    <w:rsid w:val="00C213E2"/>
    <w:rsid w:val="00C241B1"/>
    <w:rsid w:val="00C373EF"/>
    <w:rsid w:val="00C41C4D"/>
    <w:rsid w:val="00C43A3C"/>
    <w:rsid w:val="00C51E8D"/>
    <w:rsid w:val="00C5633A"/>
    <w:rsid w:val="00C63DFA"/>
    <w:rsid w:val="00C70D1C"/>
    <w:rsid w:val="00C72FE4"/>
    <w:rsid w:val="00C860FE"/>
    <w:rsid w:val="00C8721A"/>
    <w:rsid w:val="00C92607"/>
    <w:rsid w:val="00C92922"/>
    <w:rsid w:val="00C97AF6"/>
    <w:rsid w:val="00C97F46"/>
    <w:rsid w:val="00CA24E5"/>
    <w:rsid w:val="00CA32DD"/>
    <w:rsid w:val="00CA5747"/>
    <w:rsid w:val="00CB2CD7"/>
    <w:rsid w:val="00CB6164"/>
    <w:rsid w:val="00CC1C56"/>
    <w:rsid w:val="00CC272A"/>
    <w:rsid w:val="00CD0DFD"/>
    <w:rsid w:val="00CD2226"/>
    <w:rsid w:val="00CD3189"/>
    <w:rsid w:val="00CD6D47"/>
    <w:rsid w:val="00CE1E3D"/>
    <w:rsid w:val="00CE38D1"/>
    <w:rsid w:val="00CE3ACE"/>
    <w:rsid w:val="00CE4D0F"/>
    <w:rsid w:val="00CF1286"/>
    <w:rsid w:val="00CF49B7"/>
    <w:rsid w:val="00D0051E"/>
    <w:rsid w:val="00D0569C"/>
    <w:rsid w:val="00D0638F"/>
    <w:rsid w:val="00D126A5"/>
    <w:rsid w:val="00D20B6D"/>
    <w:rsid w:val="00D21A3F"/>
    <w:rsid w:val="00D222A5"/>
    <w:rsid w:val="00D350EF"/>
    <w:rsid w:val="00D46A79"/>
    <w:rsid w:val="00D5156D"/>
    <w:rsid w:val="00D52350"/>
    <w:rsid w:val="00D54720"/>
    <w:rsid w:val="00D54DFA"/>
    <w:rsid w:val="00D571EA"/>
    <w:rsid w:val="00D61A4F"/>
    <w:rsid w:val="00D63094"/>
    <w:rsid w:val="00D64DBD"/>
    <w:rsid w:val="00D660BF"/>
    <w:rsid w:val="00D74C1F"/>
    <w:rsid w:val="00D8240C"/>
    <w:rsid w:val="00D92B8B"/>
    <w:rsid w:val="00D93BB2"/>
    <w:rsid w:val="00D957A7"/>
    <w:rsid w:val="00D975B5"/>
    <w:rsid w:val="00DA6EDF"/>
    <w:rsid w:val="00DA788D"/>
    <w:rsid w:val="00DB19BA"/>
    <w:rsid w:val="00DB2A71"/>
    <w:rsid w:val="00DB3A32"/>
    <w:rsid w:val="00DC2049"/>
    <w:rsid w:val="00DD1308"/>
    <w:rsid w:val="00DE27DD"/>
    <w:rsid w:val="00DF117D"/>
    <w:rsid w:val="00DF35B8"/>
    <w:rsid w:val="00DF70D8"/>
    <w:rsid w:val="00E004CF"/>
    <w:rsid w:val="00E040F4"/>
    <w:rsid w:val="00E05DBC"/>
    <w:rsid w:val="00E07A17"/>
    <w:rsid w:val="00E07D0A"/>
    <w:rsid w:val="00E1099C"/>
    <w:rsid w:val="00E15A84"/>
    <w:rsid w:val="00E209E1"/>
    <w:rsid w:val="00E22666"/>
    <w:rsid w:val="00E25807"/>
    <w:rsid w:val="00E313A6"/>
    <w:rsid w:val="00E345D2"/>
    <w:rsid w:val="00E34BF9"/>
    <w:rsid w:val="00E41EFC"/>
    <w:rsid w:val="00E444F3"/>
    <w:rsid w:val="00E44D47"/>
    <w:rsid w:val="00E45D77"/>
    <w:rsid w:val="00E55AAD"/>
    <w:rsid w:val="00E56805"/>
    <w:rsid w:val="00E56950"/>
    <w:rsid w:val="00E640F7"/>
    <w:rsid w:val="00E65E45"/>
    <w:rsid w:val="00E66447"/>
    <w:rsid w:val="00E67995"/>
    <w:rsid w:val="00E72FCE"/>
    <w:rsid w:val="00E75A25"/>
    <w:rsid w:val="00E95029"/>
    <w:rsid w:val="00EA1B15"/>
    <w:rsid w:val="00EA3F13"/>
    <w:rsid w:val="00EB4A35"/>
    <w:rsid w:val="00EB67DA"/>
    <w:rsid w:val="00EC776C"/>
    <w:rsid w:val="00ED67A6"/>
    <w:rsid w:val="00EE2F8C"/>
    <w:rsid w:val="00EE3845"/>
    <w:rsid w:val="00EF5D22"/>
    <w:rsid w:val="00F02603"/>
    <w:rsid w:val="00F02766"/>
    <w:rsid w:val="00F16E22"/>
    <w:rsid w:val="00F246B2"/>
    <w:rsid w:val="00F24877"/>
    <w:rsid w:val="00F32FED"/>
    <w:rsid w:val="00F3637C"/>
    <w:rsid w:val="00F41D3B"/>
    <w:rsid w:val="00F50788"/>
    <w:rsid w:val="00F53E74"/>
    <w:rsid w:val="00F55B83"/>
    <w:rsid w:val="00F62D0F"/>
    <w:rsid w:val="00F62D2A"/>
    <w:rsid w:val="00F640C3"/>
    <w:rsid w:val="00F647F5"/>
    <w:rsid w:val="00F6651C"/>
    <w:rsid w:val="00F714BD"/>
    <w:rsid w:val="00F716C4"/>
    <w:rsid w:val="00F71D09"/>
    <w:rsid w:val="00F75C40"/>
    <w:rsid w:val="00F84269"/>
    <w:rsid w:val="00F87621"/>
    <w:rsid w:val="00F94954"/>
    <w:rsid w:val="00FA020D"/>
    <w:rsid w:val="00FA081D"/>
    <w:rsid w:val="00FA1424"/>
    <w:rsid w:val="00FA79FD"/>
    <w:rsid w:val="00FB12BC"/>
    <w:rsid w:val="00FB3231"/>
    <w:rsid w:val="00FD060A"/>
    <w:rsid w:val="00FD4326"/>
    <w:rsid w:val="00FD58AE"/>
    <w:rsid w:val="00FE438D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9D565D-A8C5-4AD5-986E-430D7E4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68"/>
  </w:style>
  <w:style w:type="paragraph" w:styleId="Footer">
    <w:name w:val="footer"/>
    <w:basedOn w:val="Normal"/>
    <w:link w:val="FooterChar"/>
    <w:uiPriority w:val="99"/>
    <w:unhideWhenUsed/>
    <w:rsid w:val="00B7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68"/>
  </w:style>
  <w:style w:type="paragraph" w:styleId="FootnoteText">
    <w:name w:val="footnote text"/>
    <w:basedOn w:val="Normal"/>
    <w:link w:val="FootnoteTextChar"/>
    <w:uiPriority w:val="99"/>
    <w:semiHidden/>
    <w:unhideWhenUsed/>
    <w:rsid w:val="003A7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F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F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6ACDD21E2248AAD8EC020B268C60" ma:contentTypeVersion="8" ma:contentTypeDescription="Create a new document." ma:contentTypeScope="" ma:versionID="5594c958edbf0a0185f762f396b4fb47">
  <xsd:schema xmlns:xsd="http://www.w3.org/2001/XMLSchema" xmlns:xs="http://www.w3.org/2001/XMLSchema" xmlns:p="http://schemas.microsoft.com/office/2006/metadata/properties" xmlns:ns3="ec14f804-e730-47a5-b9c6-c5e326b23f54" targetNamespace="http://schemas.microsoft.com/office/2006/metadata/properties" ma:root="true" ma:fieldsID="0958f29a9237d2696feb058ad712aacc" ns3:_="">
    <xsd:import namespace="ec14f804-e730-47a5-b9c6-c5e326b23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4f804-e730-47a5-b9c6-c5e326b23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B7F9-7957-4DB5-850C-C8B00482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4f804-e730-47a5-b9c6-c5e326b23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4B2A9-1FCD-4265-9ACC-695976510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306A-7232-48CD-BDD4-117AAEC30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4714B-A2F5-4D7A-BD3C-D596F785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Bruce</cp:lastModifiedBy>
  <cp:revision>3</cp:revision>
  <cp:lastPrinted>2023-08-15T09:40:00Z</cp:lastPrinted>
  <dcterms:created xsi:type="dcterms:W3CDTF">2023-08-15T08:11:00Z</dcterms:created>
  <dcterms:modified xsi:type="dcterms:W3CDTF">2023-08-15T10:04:00Z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0x010100FC7C6ACDD21E2248AAD8EC020B268C60</vt:lpwstr>
  </property>
</Properties>
</file>