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DB8" w14:textId="77777777" w:rsidR="00BC3D91" w:rsidRPr="002A5631" w:rsidRDefault="00CF49E7" w:rsidP="00FE5579">
      <w:pPr>
        <w:pStyle w:val="ListParagraph"/>
        <w:tabs>
          <w:tab w:val="right" w:pos="8789"/>
        </w:tabs>
        <w:spacing w:after="0" w:line="360" w:lineRule="auto"/>
        <w:ind w:left="0"/>
        <w:jc w:val="center"/>
        <w:rPr>
          <w:rFonts w:ascii="Arial" w:hAnsi="Arial" w:cs="Arial"/>
          <w:sz w:val="24"/>
          <w:szCs w:val="24"/>
        </w:rPr>
      </w:pPr>
      <w:r w:rsidRPr="002A5631">
        <w:rPr>
          <w:rFonts w:ascii="Arial" w:hAnsi="Arial" w:cs="Arial"/>
          <w:noProof/>
          <w:lang w:eastAsia="en-ZA"/>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2A5631" w:rsidRDefault="00BC3D91" w:rsidP="00FE5579">
      <w:pPr>
        <w:tabs>
          <w:tab w:val="right" w:pos="8789"/>
        </w:tabs>
        <w:spacing w:after="0" w:line="360" w:lineRule="auto"/>
        <w:contextualSpacing/>
        <w:jc w:val="center"/>
        <w:rPr>
          <w:rFonts w:ascii="Arial" w:eastAsia="Times New Roman" w:hAnsi="Arial" w:cs="Arial"/>
          <w:b/>
          <w:sz w:val="24"/>
          <w:szCs w:val="24"/>
          <w:lang w:eastAsia="en-GB"/>
        </w:rPr>
      </w:pPr>
      <w:r w:rsidRPr="002A5631">
        <w:rPr>
          <w:rFonts w:ascii="Arial" w:eastAsia="Times New Roman" w:hAnsi="Arial" w:cs="Arial"/>
          <w:b/>
          <w:sz w:val="24"/>
          <w:szCs w:val="24"/>
          <w:lang w:eastAsia="en-GB"/>
        </w:rPr>
        <w:t>IN THE HIGH COURT OF SOUTH AFRICA</w:t>
      </w:r>
    </w:p>
    <w:p w14:paraId="2B14F496" w14:textId="61A5126A" w:rsidR="00BC3D91" w:rsidRPr="002A5631" w:rsidRDefault="00BC3D91" w:rsidP="00FE5579">
      <w:pPr>
        <w:tabs>
          <w:tab w:val="right" w:pos="8789"/>
        </w:tabs>
        <w:spacing w:after="0" w:line="360" w:lineRule="auto"/>
        <w:contextualSpacing/>
        <w:jc w:val="center"/>
        <w:rPr>
          <w:rFonts w:ascii="Arial" w:eastAsia="Times New Roman" w:hAnsi="Arial" w:cs="Arial"/>
          <w:b/>
          <w:sz w:val="24"/>
          <w:szCs w:val="24"/>
          <w:u w:val="single"/>
          <w:lang w:eastAsia="en-GB"/>
        </w:rPr>
      </w:pPr>
      <w:r w:rsidRPr="002A5631">
        <w:rPr>
          <w:rFonts w:ascii="Arial" w:eastAsia="Times New Roman" w:hAnsi="Arial" w:cs="Arial"/>
          <w:b/>
          <w:sz w:val="24"/>
          <w:szCs w:val="24"/>
          <w:lang w:eastAsia="en-GB"/>
        </w:rPr>
        <w:t>KWAZULU-NATAL DIVISION,</w:t>
      </w:r>
      <w:r w:rsidR="00CF49E7" w:rsidRPr="002A5631">
        <w:rPr>
          <w:rFonts w:ascii="Arial" w:eastAsia="Times New Roman" w:hAnsi="Arial" w:cs="Arial"/>
          <w:b/>
          <w:sz w:val="24"/>
          <w:szCs w:val="24"/>
          <w:lang w:eastAsia="en-GB"/>
        </w:rPr>
        <w:t xml:space="preserve"> </w:t>
      </w:r>
      <w:r w:rsidR="00442650" w:rsidRPr="002A5631">
        <w:rPr>
          <w:rFonts w:ascii="Arial" w:eastAsia="Times New Roman" w:hAnsi="Arial" w:cs="Arial"/>
          <w:b/>
          <w:sz w:val="24"/>
          <w:szCs w:val="24"/>
          <w:lang w:eastAsia="en-GB"/>
        </w:rPr>
        <w:t>PIETERMARITZBURG</w:t>
      </w:r>
    </w:p>
    <w:p w14:paraId="5DF7E1C7" w14:textId="7CBDBDD9" w:rsidR="00967CE7" w:rsidRPr="0099798C" w:rsidRDefault="0099798C" w:rsidP="0099798C">
      <w:pPr>
        <w:rPr>
          <w:color w:val="FF0000"/>
          <w:u w:val="single"/>
        </w:rPr>
      </w:pPr>
      <w:r>
        <w:rPr>
          <w:rFonts w:ascii="Arial" w:hAnsi="Arial" w:cs="Arial"/>
          <w:color w:val="FF0000"/>
        </w:rPr>
        <w:t>Editorial note: Certain information has been redacted from this judgment in compliance with the law.</w:t>
      </w:r>
    </w:p>
    <w:p w14:paraId="099D6D7B" w14:textId="4F706A04" w:rsidR="00967CE7" w:rsidRPr="002A5631" w:rsidRDefault="00724F8E" w:rsidP="00FE5579">
      <w:pPr>
        <w:tabs>
          <w:tab w:val="right" w:pos="8789"/>
        </w:tabs>
        <w:spacing w:after="0" w:line="360" w:lineRule="auto"/>
        <w:contextualSpacing/>
        <w:jc w:val="right"/>
        <w:rPr>
          <w:rFonts w:ascii="Arial" w:hAnsi="Arial" w:cs="Arial"/>
          <w:b/>
          <w:sz w:val="24"/>
          <w:szCs w:val="24"/>
        </w:rPr>
      </w:pPr>
      <w:r w:rsidRPr="002A5631">
        <w:rPr>
          <w:rFonts w:ascii="Arial" w:hAnsi="Arial" w:cs="Arial"/>
          <w:b/>
          <w:sz w:val="24"/>
          <w:szCs w:val="24"/>
        </w:rPr>
        <w:t xml:space="preserve">Case No: </w:t>
      </w:r>
      <w:r w:rsidR="00323503" w:rsidRPr="002A5631">
        <w:rPr>
          <w:rFonts w:ascii="Arial" w:hAnsi="Arial" w:cs="Arial"/>
          <w:b/>
          <w:sz w:val="24"/>
          <w:szCs w:val="24"/>
        </w:rPr>
        <w:t>16011/</w:t>
      </w:r>
      <w:r w:rsidR="00113987" w:rsidRPr="002A5631">
        <w:rPr>
          <w:rFonts w:ascii="Arial" w:hAnsi="Arial" w:cs="Arial"/>
          <w:b/>
          <w:sz w:val="24"/>
          <w:szCs w:val="24"/>
        </w:rPr>
        <w:t>20</w:t>
      </w:r>
      <w:r w:rsidR="00323503" w:rsidRPr="002A5631">
        <w:rPr>
          <w:rFonts w:ascii="Arial" w:hAnsi="Arial" w:cs="Arial"/>
          <w:b/>
          <w:sz w:val="24"/>
          <w:szCs w:val="24"/>
        </w:rPr>
        <w:t>22P</w:t>
      </w:r>
    </w:p>
    <w:p w14:paraId="3072ED99" w14:textId="77777777" w:rsidR="00795BE0" w:rsidRPr="002A5631" w:rsidRDefault="00795BE0" w:rsidP="00FE5579">
      <w:pPr>
        <w:tabs>
          <w:tab w:val="right" w:pos="8789"/>
        </w:tabs>
        <w:spacing w:after="0" w:line="360" w:lineRule="auto"/>
        <w:contextualSpacing/>
        <w:jc w:val="both"/>
        <w:rPr>
          <w:rFonts w:ascii="Arial" w:hAnsi="Arial" w:cs="Arial"/>
          <w:b/>
          <w:sz w:val="24"/>
          <w:szCs w:val="24"/>
        </w:rPr>
      </w:pPr>
    </w:p>
    <w:p w14:paraId="777DC785" w14:textId="19BD2AC5" w:rsidR="00967CE7" w:rsidRPr="002A5631" w:rsidRDefault="00F8539B" w:rsidP="00FE5579">
      <w:pPr>
        <w:tabs>
          <w:tab w:val="right" w:pos="8789"/>
        </w:tabs>
        <w:spacing w:after="0" w:line="360" w:lineRule="auto"/>
        <w:contextualSpacing/>
        <w:jc w:val="both"/>
        <w:rPr>
          <w:rFonts w:ascii="Arial" w:hAnsi="Arial" w:cs="Arial"/>
          <w:sz w:val="24"/>
          <w:szCs w:val="24"/>
        </w:rPr>
      </w:pPr>
      <w:r w:rsidRPr="002A5631">
        <w:rPr>
          <w:rFonts w:ascii="Arial" w:hAnsi="Arial" w:cs="Arial"/>
          <w:sz w:val="24"/>
          <w:szCs w:val="24"/>
        </w:rPr>
        <w:t>In the matter between:</w:t>
      </w:r>
    </w:p>
    <w:p w14:paraId="7EB30519" w14:textId="6D13B141" w:rsidR="00967CE7" w:rsidRPr="002A5631" w:rsidRDefault="00323503" w:rsidP="00FE5579">
      <w:pPr>
        <w:tabs>
          <w:tab w:val="right" w:pos="8789"/>
        </w:tabs>
        <w:spacing w:after="0" w:line="360" w:lineRule="auto"/>
        <w:contextualSpacing/>
        <w:jc w:val="both"/>
        <w:rPr>
          <w:rFonts w:ascii="Arial" w:hAnsi="Arial" w:cs="Arial"/>
          <w:b/>
          <w:sz w:val="24"/>
          <w:szCs w:val="24"/>
        </w:rPr>
      </w:pPr>
      <w:r w:rsidRPr="002A5631">
        <w:rPr>
          <w:rFonts w:ascii="Arial" w:hAnsi="Arial" w:cs="Arial"/>
          <w:b/>
          <w:sz w:val="24"/>
          <w:szCs w:val="24"/>
        </w:rPr>
        <w:t>VICTORIA IVY MTHEMBU</w:t>
      </w:r>
      <w:r w:rsidR="007F1A47" w:rsidRPr="002A5631">
        <w:rPr>
          <w:rFonts w:ascii="Arial" w:hAnsi="Arial" w:cs="Arial"/>
          <w:b/>
          <w:sz w:val="24"/>
          <w:szCs w:val="24"/>
        </w:rPr>
        <w:tab/>
      </w:r>
      <w:r w:rsidR="008B564F" w:rsidRPr="002A5631">
        <w:rPr>
          <w:rFonts w:ascii="Arial" w:hAnsi="Arial" w:cs="Arial"/>
          <w:b/>
          <w:sz w:val="24"/>
          <w:szCs w:val="24"/>
        </w:rPr>
        <w:t>APP</w:t>
      </w:r>
      <w:r w:rsidR="00A64A49" w:rsidRPr="002A5631">
        <w:rPr>
          <w:rFonts w:ascii="Arial" w:hAnsi="Arial" w:cs="Arial"/>
          <w:b/>
          <w:sz w:val="24"/>
          <w:szCs w:val="24"/>
        </w:rPr>
        <w:t>LICANT</w:t>
      </w:r>
      <w:r w:rsidR="006949D0" w:rsidRPr="002A5631">
        <w:rPr>
          <w:rFonts w:ascii="Arial" w:hAnsi="Arial" w:cs="Arial"/>
          <w:b/>
          <w:sz w:val="24"/>
          <w:szCs w:val="24"/>
        </w:rPr>
        <w:t xml:space="preserve"> </w:t>
      </w:r>
    </w:p>
    <w:p w14:paraId="34D77CBB" w14:textId="77777777" w:rsidR="00182EEB" w:rsidRPr="002A5631" w:rsidRDefault="00182EEB" w:rsidP="00FE5579">
      <w:pPr>
        <w:tabs>
          <w:tab w:val="right" w:pos="8789"/>
        </w:tabs>
        <w:spacing w:after="0" w:line="360" w:lineRule="auto"/>
        <w:contextualSpacing/>
        <w:jc w:val="both"/>
        <w:rPr>
          <w:rFonts w:ascii="Arial" w:hAnsi="Arial" w:cs="Arial"/>
          <w:sz w:val="24"/>
          <w:szCs w:val="24"/>
        </w:rPr>
      </w:pPr>
    </w:p>
    <w:p w14:paraId="49D8D418" w14:textId="77777777" w:rsidR="00967CE7" w:rsidRPr="002A5631" w:rsidRDefault="00CF49E7" w:rsidP="00FE5579">
      <w:pPr>
        <w:tabs>
          <w:tab w:val="right" w:pos="8789"/>
        </w:tabs>
        <w:spacing w:after="0" w:line="360" w:lineRule="auto"/>
        <w:contextualSpacing/>
        <w:jc w:val="both"/>
        <w:rPr>
          <w:rFonts w:ascii="Arial" w:hAnsi="Arial" w:cs="Arial"/>
          <w:sz w:val="24"/>
          <w:szCs w:val="24"/>
        </w:rPr>
      </w:pPr>
      <w:r w:rsidRPr="002A5631">
        <w:rPr>
          <w:rFonts w:ascii="Arial" w:hAnsi="Arial" w:cs="Arial"/>
          <w:sz w:val="24"/>
          <w:szCs w:val="24"/>
        </w:rPr>
        <w:t>a</w:t>
      </w:r>
      <w:r w:rsidR="00967CE7" w:rsidRPr="002A5631">
        <w:rPr>
          <w:rFonts w:ascii="Arial" w:hAnsi="Arial" w:cs="Arial"/>
          <w:sz w:val="24"/>
          <w:szCs w:val="24"/>
        </w:rPr>
        <w:t>nd</w:t>
      </w:r>
    </w:p>
    <w:p w14:paraId="1E4D8579" w14:textId="77777777" w:rsidR="00182EEB" w:rsidRPr="002A5631" w:rsidRDefault="00182EEB" w:rsidP="00FE5579">
      <w:pPr>
        <w:tabs>
          <w:tab w:val="right" w:pos="8789"/>
        </w:tabs>
        <w:spacing w:after="0" w:line="360" w:lineRule="auto"/>
        <w:contextualSpacing/>
        <w:jc w:val="both"/>
        <w:rPr>
          <w:rFonts w:ascii="Arial" w:hAnsi="Arial" w:cs="Arial"/>
          <w:sz w:val="24"/>
          <w:szCs w:val="24"/>
        </w:rPr>
      </w:pPr>
    </w:p>
    <w:p w14:paraId="6EC7A03F" w14:textId="5221EEA6" w:rsidR="00795BE0" w:rsidRPr="002A5631" w:rsidRDefault="00323503" w:rsidP="00FE5579">
      <w:pPr>
        <w:pStyle w:val="NoSpacing"/>
        <w:tabs>
          <w:tab w:val="right" w:pos="8789"/>
        </w:tabs>
        <w:spacing w:line="360" w:lineRule="auto"/>
        <w:contextualSpacing/>
        <w:rPr>
          <w:rFonts w:ascii="Arial" w:hAnsi="Arial" w:cs="Arial"/>
          <w:b/>
          <w:sz w:val="24"/>
          <w:szCs w:val="24"/>
        </w:rPr>
      </w:pPr>
      <w:r w:rsidRPr="002A5631">
        <w:rPr>
          <w:rFonts w:ascii="Arial" w:hAnsi="Arial" w:cs="Arial"/>
          <w:b/>
          <w:sz w:val="24"/>
          <w:szCs w:val="24"/>
        </w:rPr>
        <w:t>PHINDILE EUNICE MPUNGOSE</w:t>
      </w:r>
      <w:r w:rsidR="00795BE0" w:rsidRPr="002A5631">
        <w:rPr>
          <w:rFonts w:ascii="Arial" w:hAnsi="Arial" w:cs="Arial"/>
          <w:b/>
          <w:sz w:val="24"/>
          <w:szCs w:val="24"/>
        </w:rPr>
        <w:t xml:space="preserve"> </w:t>
      </w:r>
      <w:r w:rsidR="00795BE0" w:rsidRPr="002A5631">
        <w:rPr>
          <w:rFonts w:ascii="Arial" w:hAnsi="Arial" w:cs="Arial"/>
          <w:b/>
          <w:sz w:val="24"/>
          <w:szCs w:val="24"/>
        </w:rPr>
        <w:tab/>
      </w:r>
      <w:r w:rsidR="00DA6BD4" w:rsidRPr="002A5631">
        <w:rPr>
          <w:rFonts w:ascii="Arial" w:hAnsi="Arial" w:cs="Arial"/>
          <w:b/>
          <w:sz w:val="24"/>
          <w:szCs w:val="24"/>
        </w:rPr>
        <w:t>F</w:t>
      </w:r>
      <w:r w:rsidR="00E923D5" w:rsidRPr="002A5631">
        <w:rPr>
          <w:rFonts w:ascii="Arial" w:hAnsi="Arial" w:cs="Arial"/>
          <w:b/>
          <w:sz w:val="24"/>
          <w:szCs w:val="24"/>
        </w:rPr>
        <w:t xml:space="preserve">IRST </w:t>
      </w:r>
      <w:r w:rsidR="00795BE0" w:rsidRPr="002A5631">
        <w:rPr>
          <w:rFonts w:ascii="Arial" w:hAnsi="Arial" w:cs="Arial"/>
          <w:b/>
          <w:sz w:val="24"/>
          <w:szCs w:val="24"/>
        </w:rPr>
        <w:t>RESPONDENT</w:t>
      </w:r>
    </w:p>
    <w:p w14:paraId="1F79BCFB" w14:textId="114F0C7B" w:rsidR="00ED18EC" w:rsidRPr="002A5631" w:rsidRDefault="00E923D5" w:rsidP="00FE5579">
      <w:pPr>
        <w:pStyle w:val="NoSpacing"/>
        <w:tabs>
          <w:tab w:val="right" w:pos="8789"/>
        </w:tabs>
        <w:spacing w:line="360" w:lineRule="auto"/>
        <w:contextualSpacing/>
        <w:rPr>
          <w:rFonts w:ascii="Arial" w:hAnsi="Arial" w:cs="Arial"/>
          <w:b/>
          <w:sz w:val="24"/>
          <w:szCs w:val="24"/>
        </w:rPr>
      </w:pPr>
      <w:r w:rsidRPr="002A5631">
        <w:rPr>
          <w:rFonts w:ascii="Arial" w:hAnsi="Arial" w:cs="Arial"/>
          <w:b/>
          <w:sz w:val="24"/>
          <w:szCs w:val="24"/>
        </w:rPr>
        <w:t>THE RE</w:t>
      </w:r>
      <w:r w:rsidR="004820A3" w:rsidRPr="002A5631">
        <w:rPr>
          <w:rFonts w:ascii="Arial" w:hAnsi="Arial" w:cs="Arial"/>
          <w:b/>
          <w:sz w:val="24"/>
          <w:szCs w:val="24"/>
        </w:rPr>
        <w:t>GISTRAR OF DEEDS</w:t>
      </w:r>
      <w:r w:rsidR="004E2027" w:rsidRPr="002A5631">
        <w:rPr>
          <w:rFonts w:ascii="Arial" w:hAnsi="Arial" w:cs="Arial"/>
          <w:b/>
          <w:sz w:val="24"/>
          <w:szCs w:val="24"/>
        </w:rPr>
        <w:t xml:space="preserve"> </w:t>
      </w:r>
      <w:r w:rsidR="00FE5579" w:rsidRPr="002A5631">
        <w:rPr>
          <w:rFonts w:ascii="Arial" w:hAnsi="Arial" w:cs="Arial"/>
          <w:b/>
          <w:sz w:val="24"/>
          <w:szCs w:val="24"/>
        </w:rPr>
        <w:tab/>
      </w:r>
      <w:r w:rsidR="00AF5272" w:rsidRPr="002A5631">
        <w:rPr>
          <w:rFonts w:ascii="Arial" w:hAnsi="Arial" w:cs="Arial"/>
          <w:b/>
          <w:sz w:val="24"/>
          <w:szCs w:val="24"/>
        </w:rPr>
        <w:t>SECOND RESPONDENT</w:t>
      </w:r>
    </w:p>
    <w:p w14:paraId="340DA7FB" w14:textId="77777777" w:rsidR="00AF5272" w:rsidRPr="002A5631" w:rsidRDefault="00AF5272" w:rsidP="00FF7F72">
      <w:pPr>
        <w:pStyle w:val="NoSpacing"/>
        <w:rPr>
          <w:rFonts w:ascii="Arial" w:hAnsi="Arial" w:cs="Arial"/>
          <w:b/>
          <w:sz w:val="24"/>
          <w:szCs w:val="24"/>
        </w:rPr>
      </w:pPr>
    </w:p>
    <w:p w14:paraId="047DA3F6" w14:textId="77777777" w:rsidR="00AF5272" w:rsidRPr="002A5631" w:rsidRDefault="00AF5272" w:rsidP="00FF7F72">
      <w:pPr>
        <w:pStyle w:val="NoSpacing"/>
        <w:rPr>
          <w:rFonts w:ascii="Arial" w:hAnsi="Arial" w:cs="Arial"/>
          <w:b/>
          <w:sz w:val="24"/>
          <w:szCs w:val="24"/>
        </w:rPr>
      </w:pPr>
    </w:p>
    <w:p w14:paraId="62D55A8D" w14:textId="77777777" w:rsidR="00113987" w:rsidRPr="002A5631" w:rsidRDefault="00113987" w:rsidP="00A64A49">
      <w:pPr>
        <w:pBdr>
          <w:top w:val="single" w:sz="6" w:space="1" w:color="auto"/>
          <w:bottom w:val="single" w:sz="6" w:space="1" w:color="auto"/>
        </w:pBdr>
        <w:spacing w:after="0" w:line="240" w:lineRule="auto"/>
        <w:jc w:val="center"/>
        <w:rPr>
          <w:rFonts w:ascii="Arial" w:hAnsi="Arial" w:cs="Arial"/>
          <w:b/>
          <w:sz w:val="24"/>
          <w:szCs w:val="24"/>
        </w:rPr>
      </w:pPr>
    </w:p>
    <w:p w14:paraId="6706675F" w14:textId="0A9A7709" w:rsidR="00A64A49" w:rsidRPr="002A5631" w:rsidRDefault="00F8232C" w:rsidP="00A64A49">
      <w:pPr>
        <w:pBdr>
          <w:top w:val="single" w:sz="6" w:space="1" w:color="auto"/>
          <w:bottom w:val="single" w:sz="6" w:space="1" w:color="auto"/>
        </w:pBdr>
        <w:spacing w:after="0" w:line="240" w:lineRule="auto"/>
        <w:jc w:val="center"/>
        <w:rPr>
          <w:rFonts w:ascii="Arial" w:hAnsi="Arial" w:cs="Arial"/>
          <w:b/>
          <w:sz w:val="24"/>
          <w:szCs w:val="24"/>
        </w:rPr>
      </w:pPr>
      <w:r w:rsidRPr="002A5631">
        <w:rPr>
          <w:rFonts w:ascii="Arial" w:hAnsi="Arial" w:cs="Arial"/>
          <w:b/>
          <w:sz w:val="24"/>
          <w:szCs w:val="24"/>
        </w:rPr>
        <w:t>ORDER</w:t>
      </w:r>
    </w:p>
    <w:p w14:paraId="1C6595A1" w14:textId="44EA3B59" w:rsidR="00967CE7" w:rsidRPr="002A5631" w:rsidRDefault="006949D0" w:rsidP="0065349E">
      <w:pPr>
        <w:pBdr>
          <w:top w:val="single" w:sz="6" w:space="1" w:color="auto"/>
          <w:bottom w:val="single" w:sz="6" w:space="1" w:color="auto"/>
        </w:pBdr>
        <w:spacing w:after="0" w:line="360" w:lineRule="auto"/>
        <w:contextualSpacing/>
        <w:jc w:val="center"/>
        <w:rPr>
          <w:rFonts w:ascii="Arial" w:hAnsi="Arial" w:cs="Arial"/>
          <w:b/>
          <w:sz w:val="20"/>
          <w:szCs w:val="20"/>
        </w:rPr>
      </w:pPr>
      <w:r w:rsidRPr="002A5631">
        <w:rPr>
          <w:rFonts w:ascii="Arial" w:hAnsi="Arial" w:cs="Arial"/>
          <w:b/>
          <w:sz w:val="20"/>
          <w:szCs w:val="20"/>
        </w:rPr>
        <w:t xml:space="preserve"> </w:t>
      </w:r>
    </w:p>
    <w:p w14:paraId="78FADB69" w14:textId="77777777" w:rsidR="0065349E" w:rsidRPr="002A5631" w:rsidRDefault="0065349E" w:rsidP="0065349E">
      <w:pPr>
        <w:spacing w:after="0" w:line="360" w:lineRule="auto"/>
        <w:contextualSpacing/>
        <w:rPr>
          <w:rFonts w:ascii="Arial" w:eastAsia="Times New Roman" w:hAnsi="Arial" w:cs="Arial"/>
          <w:sz w:val="24"/>
          <w:szCs w:val="24"/>
          <w:lang w:eastAsia="en-GB"/>
        </w:rPr>
      </w:pPr>
    </w:p>
    <w:p w14:paraId="5D7775D3" w14:textId="3FBE0CB9" w:rsidR="00FE5579" w:rsidRPr="00A2581C" w:rsidRDefault="00FE5579" w:rsidP="0065349E">
      <w:pPr>
        <w:spacing w:after="0" w:line="360" w:lineRule="auto"/>
        <w:contextualSpacing/>
        <w:rPr>
          <w:rFonts w:ascii="Arial" w:eastAsia="Times New Roman" w:hAnsi="Arial" w:cs="Arial"/>
          <w:sz w:val="24"/>
          <w:szCs w:val="24"/>
          <w:lang w:eastAsia="en-GB"/>
        </w:rPr>
      </w:pPr>
      <w:r w:rsidRPr="00A2581C">
        <w:rPr>
          <w:rFonts w:ascii="Arial" w:eastAsia="Times New Roman" w:hAnsi="Arial" w:cs="Arial"/>
          <w:sz w:val="24"/>
          <w:szCs w:val="24"/>
          <w:lang w:eastAsia="en-GB"/>
        </w:rPr>
        <w:t>The following order is granted:</w:t>
      </w:r>
    </w:p>
    <w:p w14:paraId="5B961C9D" w14:textId="52D37045" w:rsidR="000E0083" w:rsidRPr="002A5631" w:rsidRDefault="000E0083" w:rsidP="000E0083">
      <w:pPr>
        <w:spacing w:after="0" w:line="360" w:lineRule="auto"/>
        <w:contextualSpacing/>
        <w:jc w:val="both"/>
        <w:rPr>
          <w:rFonts w:ascii="Arial" w:eastAsia="Times New Roman" w:hAnsi="Arial" w:cs="Arial"/>
          <w:bCs/>
          <w:sz w:val="24"/>
          <w:szCs w:val="24"/>
          <w:lang w:eastAsia="en-GB"/>
        </w:rPr>
      </w:pPr>
      <w:bookmarkStart w:id="0" w:name="_Hlk162174713"/>
      <w:r w:rsidRPr="002A5631">
        <w:rPr>
          <w:rFonts w:ascii="Arial" w:eastAsia="Times New Roman" w:hAnsi="Arial" w:cs="Arial"/>
          <w:bCs/>
          <w:sz w:val="24"/>
          <w:szCs w:val="24"/>
          <w:lang w:eastAsia="en-GB"/>
        </w:rPr>
        <w:t>1.</w:t>
      </w:r>
      <w:r w:rsidRPr="002A5631">
        <w:rPr>
          <w:rFonts w:ascii="Arial" w:eastAsia="Times New Roman" w:hAnsi="Arial" w:cs="Arial"/>
          <w:bCs/>
          <w:sz w:val="24"/>
          <w:szCs w:val="24"/>
          <w:lang w:eastAsia="en-GB"/>
        </w:rPr>
        <w:tab/>
        <w:t>The applicant’s application</w:t>
      </w:r>
      <w:r w:rsidR="00905DEE">
        <w:rPr>
          <w:rFonts w:ascii="Arial" w:eastAsia="Times New Roman" w:hAnsi="Arial" w:cs="Arial"/>
          <w:bCs/>
          <w:sz w:val="24"/>
          <w:szCs w:val="24"/>
          <w:lang w:eastAsia="en-GB"/>
        </w:rPr>
        <w:t>, which includes the application for referral for oral evidence,</w:t>
      </w:r>
      <w:r w:rsidRPr="002A5631">
        <w:rPr>
          <w:rFonts w:ascii="Arial" w:eastAsia="Times New Roman" w:hAnsi="Arial" w:cs="Arial"/>
          <w:bCs/>
          <w:sz w:val="24"/>
          <w:szCs w:val="24"/>
          <w:lang w:eastAsia="en-GB"/>
        </w:rPr>
        <w:t xml:space="preserve"> is dismissed with costs.</w:t>
      </w:r>
    </w:p>
    <w:p w14:paraId="28D49618" w14:textId="77777777" w:rsidR="000E0083" w:rsidRPr="002A5631" w:rsidRDefault="000E0083" w:rsidP="000E0083">
      <w:pPr>
        <w:spacing w:after="0" w:line="360" w:lineRule="auto"/>
        <w:contextualSpacing/>
        <w:jc w:val="both"/>
        <w:rPr>
          <w:rFonts w:ascii="Arial" w:eastAsia="Times New Roman" w:hAnsi="Arial" w:cs="Arial"/>
          <w:bCs/>
          <w:sz w:val="24"/>
          <w:szCs w:val="24"/>
          <w:lang w:eastAsia="en-GB"/>
        </w:rPr>
      </w:pPr>
      <w:r w:rsidRPr="002A5631">
        <w:rPr>
          <w:rFonts w:ascii="Arial" w:eastAsia="Times New Roman" w:hAnsi="Arial" w:cs="Arial"/>
          <w:bCs/>
          <w:sz w:val="24"/>
          <w:szCs w:val="24"/>
          <w:lang w:eastAsia="en-GB"/>
        </w:rPr>
        <w:t>2.</w:t>
      </w:r>
      <w:r w:rsidRPr="002A5631">
        <w:rPr>
          <w:rFonts w:ascii="Arial" w:eastAsia="Times New Roman" w:hAnsi="Arial" w:cs="Arial"/>
          <w:bCs/>
          <w:sz w:val="24"/>
          <w:szCs w:val="24"/>
          <w:lang w:eastAsia="en-GB"/>
        </w:rPr>
        <w:tab/>
        <w:t>The respondent’s counter-application succeeds.</w:t>
      </w:r>
    </w:p>
    <w:p w14:paraId="7E8EE624" w14:textId="7ABEAF1A" w:rsidR="000E0083" w:rsidRPr="002A5631" w:rsidRDefault="000E0083" w:rsidP="000E0083">
      <w:pPr>
        <w:spacing w:after="0" w:line="360" w:lineRule="auto"/>
        <w:contextualSpacing/>
        <w:jc w:val="both"/>
        <w:rPr>
          <w:rFonts w:ascii="Arial" w:eastAsia="Times New Roman" w:hAnsi="Arial" w:cs="Arial"/>
          <w:bCs/>
          <w:sz w:val="24"/>
          <w:szCs w:val="24"/>
          <w:lang w:eastAsia="en-GB"/>
        </w:rPr>
      </w:pPr>
      <w:r w:rsidRPr="002A5631">
        <w:rPr>
          <w:rFonts w:ascii="Arial" w:eastAsia="Times New Roman" w:hAnsi="Arial" w:cs="Arial"/>
          <w:bCs/>
          <w:sz w:val="24"/>
          <w:szCs w:val="24"/>
          <w:lang w:eastAsia="en-GB"/>
        </w:rPr>
        <w:t>3.</w:t>
      </w:r>
      <w:r w:rsidRPr="002A5631">
        <w:rPr>
          <w:rFonts w:ascii="Arial" w:eastAsia="Times New Roman" w:hAnsi="Arial" w:cs="Arial"/>
          <w:bCs/>
          <w:sz w:val="24"/>
          <w:szCs w:val="24"/>
          <w:lang w:eastAsia="en-GB"/>
        </w:rPr>
        <w:tab/>
        <w:t xml:space="preserve">The applicant is directed to return the keys and title deed in respect of the property described as Erf </w:t>
      </w:r>
      <w:r w:rsidR="00A153ED">
        <w:rPr>
          <w:rFonts w:ascii="Arial" w:eastAsia="Times New Roman" w:hAnsi="Arial" w:cs="Arial"/>
          <w:bCs/>
          <w:sz w:val="24"/>
          <w:szCs w:val="24"/>
          <w:lang w:eastAsia="en-GB"/>
        </w:rPr>
        <w:t>[…]</w:t>
      </w:r>
      <w:r w:rsidRPr="002A5631">
        <w:rPr>
          <w:rFonts w:ascii="Arial" w:eastAsia="Times New Roman" w:hAnsi="Arial" w:cs="Arial"/>
          <w:bCs/>
          <w:sz w:val="24"/>
          <w:szCs w:val="24"/>
          <w:lang w:eastAsia="en-GB"/>
        </w:rPr>
        <w:t xml:space="preserve">, Registration Division FU, situated in the Dolphin Coast Local Authority Area, Province of KwaZulu-Natal, measuring 300 (three hundred) square metres, and held by Certificate of Registered Title No T </w:t>
      </w:r>
      <w:r w:rsidR="00A153ED">
        <w:rPr>
          <w:rFonts w:ascii="Arial" w:eastAsia="Times New Roman" w:hAnsi="Arial" w:cs="Arial"/>
          <w:bCs/>
          <w:sz w:val="24"/>
          <w:szCs w:val="24"/>
          <w:lang w:eastAsia="en-GB"/>
        </w:rPr>
        <w:t>[…]</w:t>
      </w:r>
      <w:r w:rsidRPr="002A5631">
        <w:rPr>
          <w:rFonts w:ascii="Arial" w:eastAsia="Times New Roman" w:hAnsi="Arial" w:cs="Arial"/>
          <w:bCs/>
          <w:sz w:val="24"/>
          <w:szCs w:val="24"/>
          <w:lang w:eastAsia="en-GB"/>
        </w:rPr>
        <w:t>, within 5 (five) days of service of this order.</w:t>
      </w:r>
    </w:p>
    <w:p w14:paraId="4B1FE199" w14:textId="77777777" w:rsidR="000E0083" w:rsidRPr="002A5631" w:rsidRDefault="000E0083" w:rsidP="000E0083">
      <w:pPr>
        <w:spacing w:after="0" w:line="360" w:lineRule="auto"/>
        <w:contextualSpacing/>
        <w:jc w:val="both"/>
        <w:rPr>
          <w:rFonts w:ascii="Arial" w:eastAsia="Times New Roman" w:hAnsi="Arial" w:cs="Arial"/>
          <w:bCs/>
          <w:sz w:val="24"/>
          <w:szCs w:val="24"/>
          <w:u w:val="single"/>
          <w:lang w:eastAsia="en-GB"/>
        </w:rPr>
      </w:pPr>
      <w:r w:rsidRPr="002A5631">
        <w:rPr>
          <w:rFonts w:ascii="Arial" w:eastAsia="Times New Roman" w:hAnsi="Arial" w:cs="Arial"/>
          <w:bCs/>
          <w:sz w:val="24"/>
          <w:szCs w:val="24"/>
          <w:lang w:eastAsia="en-GB"/>
        </w:rPr>
        <w:t>4.</w:t>
      </w:r>
      <w:r w:rsidRPr="002A5631">
        <w:rPr>
          <w:rFonts w:ascii="Arial" w:eastAsia="Times New Roman" w:hAnsi="Arial" w:cs="Arial"/>
          <w:bCs/>
          <w:sz w:val="24"/>
          <w:szCs w:val="24"/>
          <w:lang w:eastAsia="en-GB"/>
        </w:rPr>
        <w:tab/>
        <w:t>The applicant is directed to pay the costs of the counter</w:t>
      </w:r>
      <w:r>
        <w:rPr>
          <w:rFonts w:ascii="Arial" w:eastAsia="Times New Roman" w:hAnsi="Arial" w:cs="Arial"/>
          <w:bCs/>
          <w:sz w:val="24"/>
          <w:szCs w:val="24"/>
          <w:lang w:eastAsia="en-GB"/>
        </w:rPr>
        <w:t>-</w:t>
      </w:r>
      <w:r w:rsidRPr="002A5631">
        <w:rPr>
          <w:rFonts w:ascii="Arial" w:eastAsia="Times New Roman" w:hAnsi="Arial" w:cs="Arial"/>
          <w:bCs/>
          <w:sz w:val="24"/>
          <w:szCs w:val="24"/>
          <w:lang w:eastAsia="en-GB"/>
        </w:rPr>
        <w:t>application.</w:t>
      </w:r>
    </w:p>
    <w:p w14:paraId="6703DF36" w14:textId="44040928" w:rsidR="00C542A4" w:rsidRPr="002A5631" w:rsidRDefault="00C542A4" w:rsidP="00C542A4">
      <w:pPr>
        <w:pStyle w:val="ListParagraph"/>
        <w:spacing w:after="0" w:line="240" w:lineRule="auto"/>
        <w:rPr>
          <w:rFonts w:ascii="Arial" w:eastAsia="Times New Roman" w:hAnsi="Arial" w:cs="Arial"/>
          <w:bCs/>
          <w:sz w:val="24"/>
          <w:szCs w:val="24"/>
          <w:u w:val="single"/>
          <w:lang w:eastAsia="en-GB"/>
        </w:rPr>
      </w:pPr>
    </w:p>
    <w:bookmarkEnd w:id="0"/>
    <w:p w14:paraId="47E25042" w14:textId="7602FBC9" w:rsidR="00F8232C" w:rsidRPr="002A5631" w:rsidRDefault="00F8232C" w:rsidP="00F8232C">
      <w:pPr>
        <w:spacing w:after="0" w:line="240" w:lineRule="auto"/>
        <w:rPr>
          <w:rFonts w:ascii="Arial" w:eastAsia="Times New Roman" w:hAnsi="Arial" w:cs="Arial"/>
          <w:sz w:val="24"/>
          <w:szCs w:val="24"/>
          <w:lang w:eastAsia="en-GB"/>
        </w:rPr>
      </w:pPr>
      <w:r w:rsidRPr="002A5631">
        <w:rPr>
          <w:rFonts w:ascii="Arial" w:eastAsia="Times New Roman" w:hAnsi="Arial" w:cs="Arial"/>
          <w:sz w:val="24"/>
          <w:szCs w:val="24"/>
          <w:lang w:eastAsia="en-GB"/>
        </w:rPr>
        <w:t>___________________________________________________________________</w:t>
      </w:r>
    </w:p>
    <w:p w14:paraId="18AE6B8F" w14:textId="77777777" w:rsidR="00DE4064" w:rsidRPr="002A5631" w:rsidRDefault="00DE4064" w:rsidP="00BC3D91">
      <w:pPr>
        <w:spacing w:after="0" w:line="240" w:lineRule="auto"/>
        <w:rPr>
          <w:rFonts w:ascii="Arial" w:eastAsia="Times New Roman" w:hAnsi="Arial" w:cs="Arial"/>
          <w:b/>
          <w:sz w:val="24"/>
          <w:szCs w:val="24"/>
          <w:lang w:eastAsia="en-GB"/>
        </w:rPr>
      </w:pPr>
    </w:p>
    <w:p w14:paraId="67242D2A" w14:textId="4A54D784" w:rsidR="00DE4064" w:rsidRPr="002A5631" w:rsidRDefault="00DE4064" w:rsidP="00DE4064">
      <w:pPr>
        <w:spacing w:after="0" w:line="240" w:lineRule="auto"/>
        <w:jc w:val="center"/>
        <w:rPr>
          <w:rFonts w:ascii="Arial" w:eastAsia="Times New Roman" w:hAnsi="Arial" w:cs="Arial"/>
          <w:b/>
          <w:sz w:val="24"/>
          <w:szCs w:val="24"/>
          <w:lang w:eastAsia="en-GB"/>
        </w:rPr>
      </w:pPr>
      <w:r w:rsidRPr="002A5631">
        <w:rPr>
          <w:rFonts w:ascii="Arial" w:eastAsia="Times New Roman" w:hAnsi="Arial" w:cs="Arial"/>
          <w:b/>
          <w:sz w:val="24"/>
          <w:szCs w:val="24"/>
          <w:lang w:eastAsia="en-GB"/>
        </w:rPr>
        <w:lastRenderedPageBreak/>
        <w:t>JUDGMENT</w:t>
      </w:r>
    </w:p>
    <w:p w14:paraId="73FEA963" w14:textId="169C1ABB" w:rsidR="00DE4064" w:rsidRPr="002A5631" w:rsidRDefault="00DE4064" w:rsidP="00BC3D91">
      <w:pPr>
        <w:spacing w:after="0" w:line="240" w:lineRule="auto"/>
        <w:rPr>
          <w:rFonts w:ascii="Arial" w:eastAsia="Times New Roman" w:hAnsi="Arial" w:cs="Arial"/>
          <w:sz w:val="24"/>
          <w:szCs w:val="24"/>
          <w:lang w:eastAsia="en-GB"/>
        </w:rPr>
      </w:pPr>
      <w:r w:rsidRPr="002A5631">
        <w:rPr>
          <w:rFonts w:ascii="Arial" w:eastAsia="Times New Roman" w:hAnsi="Arial" w:cs="Arial"/>
          <w:sz w:val="24"/>
          <w:szCs w:val="24"/>
          <w:lang w:eastAsia="en-GB"/>
        </w:rPr>
        <w:t>___________________________________________________________________</w:t>
      </w:r>
    </w:p>
    <w:p w14:paraId="05CD5980" w14:textId="77777777" w:rsidR="00656167" w:rsidRPr="002A5631" w:rsidRDefault="00656167" w:rsidP="007F1A47">
      <w:pPr>
        <w:spacing w:after="0" w:line="360" w:lineRule="auto"/>
        <w:contextualSpacing/>
        <w:rPr>
          <w:rFonts w:ascii="Arial" w:eastAsia="Times New Roman" w:hAnsi="Arial" w:cs="Arial"/>
          <w:b/>
          <w:sz w:val="24"/>
          <w:szCs w:val="24"/>
          <w:lang w:eastAsia="en-GB"/>
        </w:rPr>
      </w:pPr>
    </w:p>
    <w:p w14:paraId="6625C833" w14:textId="5C9C5EE1" w:rsidR="00BC3D91" w:rsidRPr="002A5631" w:rsidRDefault="003636B1" w:rsidP="00A6674F">
      <w:pPr>
        <w:spacing w:after="0" w:line="360" w:lineRule="auto"/>
        <w:contextualSpacing/>
        <w:rPr>
          <w:rFonts w:ascii="Arial" w:eastAsia="Times New Roman" w:hAnsi="Arial" w:cs="Arial"/>
          <w:b/>
          <w:sz w:val="24"/>
          <w:szCs w:val="24"/>
          <w:lang w:eastAsia="en-GB"/>
        </w:rPr>
      </w:pPr>
      <w:r w:rsidRPr="002A5631">
        <w:rPr>
          <w:rFonts w:ascii="Arial" w:eastAsia="Times New Roman" w:hAnsi="Arial" w:cs="Arial"/>
          <w:b/>
          <w:sz w:val="24"/>
          <w:szCs w:val="24"/>
          <w:lang w:eastAsia="en-GB"/>
        </w:rPr>
        <w:t>E</w:t>
      </w:r>
      <w:r w:rsidR="00656167" w:rsidRPr="002A5631">
        <w:rPr>
          <w:rFonts w:ascii="Arial" w:eastAsia="Times New Roman" w:hAnsi="Arial" w:cs="Arial"/>
          <w:b/>
          <w:sz w:val="24"/>
          <w:szCs w:val="24"/>
          <w:lang w:eastAsia="en-GB"/>
        </w:rPr>
        <w:t xml:space="preserve"> </w:t>
      </w:r>
      <w:proofErr w:type="spellStart"/>
      <w:r w:rsidR="008B564F" w:rsidRPr="002A5631">
        <w:rPr>
          <w:rFonts w:ascii="Arial" w:eastAsia="Times New Roman" w:hAnsi="Arial" w:cs="Arial"/>
          <w:b/>
          <w:sz w:val="24"/>
          <w:szCs w:val="24"/>
          <w:lang w:eastAsia="en-GB"/>
        </w:rPr>
        <w:t>Bezuidenhout</w:t>
      </w:r>
      <w:proofErr w:type="spellEnd"/>
      <w:r w:rsidR="00C80685" w:rsidRPr="002A5631">
        <w:rPr>
          <w:rFonts w:ascii="Arial" w:eastAsia="Times New Roman" w:hAnsi="Arial" w:cs="Arial"/>
          <w:b/>
          <w:sz w:val="24"/>
          <w:szCs w:val="24"/>
          <w:lang w:eastAsia="en-GB"/>
        </w:rPr>
        <w:t xml:space="preserve"> </w:t>
      </w:r>
      <w:r w:rsidR="00BC3D91" w:rsidRPr="002A5631">
        <w:rPr>
          <w:rFonts w:ascii="Arial" w:eastAsia="Times New Roman" w:hAnsi="Arial" w:cs="Arial"/>
          <w:b/>
          <w:sz w:val="24"/>
          <w:szCs w:val="24"/>
          <w:lang w:eastAsia="en-GB"/>
        </w:rPr>
        <w:t xml:space="preserve">J </w:t>
      </w:r>
    </w:p>
    <w:p w14:paraId="5E23A2DF" w14:textId="77777777" w:rsidR="00DE4064" w:rsidRPr="002A5631" w:rsidRDefault="00DE4064" w:rsidP="00A6674F">
      <w:pPr>
        <w:spacing w:after="0" w:line="360" w:lineRule="auto"/>
        <w:contextualSpacing/>
        <w:jc w:val="both"/>
        <w:rPr>
          <w:rFonts w:ascii="Arial" w:eastAsia="Times New Roman" w:hAnsi="Arial" w:cs="Arial"/>
          <w:b/>
          <w:sz w:val="24"/>
          <w:szCs w:val="24"/>
          <w:u w:val="single"/>
          <w:lang w:eastAsia="en-GB"/>
        </w:rPr>
      </w:pPr>
    </w:p>
    <w:p w14:paraId="7063A772" w14:textId="10CBEF1B" w:rsidR="00F8232C" w:rsidRPr="002A5631" w:rsidRDefault="00F155EB"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b/>
          <w:sz w:val="24"/>
          <w:szCs w:val="24"/>
          <w:lang w:eastAsia="en-GB"/>
        </w:rPr>
        <w:t>Introduction</w:t>
      </w:r>
    </w:p>
    <w:p w14:paraId="4E0056B2" w14:textId="450D0ED6" w:rsidR="00DE77EC" w:rsidRPr="002A5631" w:rsidRDefault="00BC3D91" w:rsidP="00A6674F">
      <w:pPr>
        <w:spacing w:after="0" w:line="360" w:lineRule="auto"/>
        <w:contextualSpacing/>
        <w:jc w:val="both"/>
        <w:rPr>
          <w:rFonts w:ascii="Arial" w:hAnsi="Arial" w:cs="Arial"/>
          <w:sz w:val="24"/>
          <w:szCs w:val="24"/>
        </w:rPr>
      </w:pPr>
      <w:r w:rsidRPr="002A5631">
        <w:rPr>
          <w:rFonts w:ascii="Arial" w:hAnsi="Arial" w:cs="Arial"/>
          <w:sz w:val="24"/>
          <w:szCs w:val="24"/>
        </w:rPr>
        <w:t>[1]</w:t>
      </w:r>
      <w:r w:rsidR="00F84090" w:rsidRPr="002A5631">
        <w:rPr>
          <w:rFonts w:ascii="Arial" w:hAnsi="Arial" w:cs="Arial"/>
          <w:sz w:val="24"/>
          <w:szCs w:val="24"/>
        </w:rPr>
        <w:tab/>
      </w:r>
      <w:r w:rsidR="00DE77EC" w:rsidRPr="002A5631">
        <w:rPr>
          <w:rFonts w:ascii="Arial" w:hAnsi="Arial" w:cs="Arial"/>
          <w:sz w:val="24"/>
          <w:szCs w:val="24"/>
        </w:rPr>
        <w:t>This matter came before me as an opposed motion. The applicant</w:t>
      </w:r>
      <w:r w:rsidR="00361FFE" w:rsidRPr="002A5631">
        <w:rPr>
          <w:rFonts w:ascii="Arial" w:hAnsi="Arial" w:cs="Arial"/>
          <w:sz w:val="24"/>
          <w:szCs w:val="24"/>
        </w:rPr>
        <w:t xml:space="preserve">, Mrs V </w:t>
      </w:r>
      <w:proofErr w:type="spellStart"/>
      <w:r w:rsidR="00361FFE" w:rsidRPr="002A5631">
        <w:rPr>
          <w:rFonts w:ascii="Arial" w:hAnsi="Arial" w:cs="Arial"/>
          <w:sz w:val="24"/>
          <w:szCs w:val="24"/>
        </w:rPr>
        <w:t>Mthembu</w:t>
      </w:r>
      <w:proofErr w:type="spellEnd"/>
      <w:r w:rsidR="00361FFE" w:rsidRPr="002A5631">
        <w:rPr>
          <w:rFonts w:ascii="Arial" w:hAnsi="Arial" w:cs="Arial"/>
          <w:sz w:val="24"/>
          <w:szCs w:val="24"/>
        </w:rPr>
        <w:t>,</w:t>
      </w:r>
      <w:r w:rsidR="00DE77EC" w:rsidRPr="002A5631">
        <w:rPr>
          <w:rFonts w:ascii="Arial" w:hAnsi="Arial" w:cs="Arial"/>
          <w:sz w:val="24"/>
          <w:szCs w:val="24"/>
        </w:rPr>
        <w:t xml:space="preserve"> s</w:t>
      </w:r>
      <w:r w:rsidR="00361FFE" w:rsidRPr="002A5631">
        <w:rPr>
          <w:rFonts w:ascii="Arial" w:hAnsi="Arial" w:cs="Arial"/>
          <w:sz w:val="24"/>
          <w:szCs w:val="24"/>
        </w:rPr>
        <w:t>ought</w:t>
      </w:r>
      <w:r w:rsidR="00DE77EC" w:rsidRPr="002A5631">
        <w:rPr>
          <w:rFonts w:ascii="Arial" w:hAnsi="Arial" w:cs="Arial"/>
          <w:sz w:val="24"/>
          <w:szCs w:val="24"/>
        </w:rPr>
        <w:t xml:space="preserve"> the following relief:</w:t>
      </w:r>
    </w:p>
    <w:p w14:paraId="4983DBC8" w14:textId="0F038A4D" w:rsidR="00DE77EC" w:rsidRPr="002A5631" w:rsidRDefault="00C71672"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DE77EC" w:rsidRPr="002A5631">
        <w:rPr>
          <w:rFonts w:ascii="Arial" w:hAnsi="Arial" w:cs="Arial"/>
          <w:sz w:val="24"/>
          <w:szCs w:val="24"/>
        </w:rPr>
        <w:t>a</w:t>
      </w:r>
      <w:r w:rsidRPr="002A5631">
        <w:rPr>
          <w:rFonts w:ascii="Arial" w:hAnsi="Arial" w:cs="Arial"/>
          <w:sz w:val="24"/>
          <w:szCs w:val="24"/>
        </w:rPr>
        <w:t>)</w:t>
      </w:r>
      <w:r w:rsidRPr="002A5631">
        <w:rPr>
          <w:rFonts w:ascii="Arial" w:hAnsi="Arial" w:cs="Arial"/>
          <w:sz w:val="24"/>
          <w:szCs w:val="24"/>
        </w:rPr>
        <w:tab/>
      </w:r>
      <w:r w:rsidR="00D91C61" w:rsidRPr="002A5631">
        <w:rPr>
          <w:rFonts w:ascii="Arial" w:hAnsi="Arial" w:cs="Arial"/>
          <w:sz w:val="24"/>
          <w:szCs w:val="24"/>
        </w:rPr>
        <w:t xml:space="preserve">That the first respondent be ordered to sign all documents and to do everything necessary to effect the registration of transfer of Erf </w:t>
      </w:r>
      <w:r w:rsidR="00A153ED">
        <w:rPr>
          <w:rFonts w:ascii="Arial" w:hAnsi="Arial" w:cs="Arial"/>
          <w:sz w:val="24"/>
          <w:szCs w:val="24"/>
        </w:rPr>
        <w:t>[…]</w:t>
      </w:r>
      <w:r w:rsidR="00D91C61" w:rsidRPr="002A5631">
        <w:rPr>
          <w:rFonts w:ascii="Arial" w:hAnsi="Arial" w:cs="Arial"/>
          <w:sz w:val="24"/>
          <w:szCs w:val="24"/>
        </w:rPr>
        <w:t xml:space="preserve">, Registration </w:t>
      </w:r>
      <w:r w:rsidR="002A5631" w:rsidRPr="002A5631">
        <w:rPr>
          <w:rFonts w:ascii="Arial" w:hAnsi="Arial" w:cs="Arial"/>
          <w:sz w:val="24"/>
          <w:szCs w:val="24"/>
        </w:rPr>
        <w:t xml:space="preserve">Division </w:t>
      </w:r>
      <w:r w:rsidR="00D91C61" w:rsidRPr="002A5631">
        <w:rPr>
          <w:rFonts w:ascii="Arial" w:hAnsi="Arial" w:cs="Arial"/>
          <w:sz w:val="24"/>
          <w:szCs w:val="24"/>
        </w:rPr>
        <w:t xml:space="preserve">FU, which is situated at </w:t>
      </w:r>
      <w:proofErr w:type="spellStart"/>
      <w:r w:rsidR="00D91C61" w:rsidRPr="002A5631">
        <w:rPr>
          <w:rFonts w:ascii="Arial" w:hAnsi="Arial" w:cs="Arial"/>
          <w:sz w:val="24"/>
          <w:szCs w:val="24"/>
        </w:rPr>
        <w:t>eTete</w:t>
      </w:r>
      <w:proofErr w:type="spellEnd"/>
      <w:r w:rsidR="00D91C61" w:rsidRPr="002A5631">
        <w:rPr>
          <w:rFonts w:ascii="Arial" w:hAnsi="Arial" w:cs="Arial"/>
          <w:sz w:val="24"/>
          <w:szCs w:val="24"/>
        </w:rPr>
        <w:t xml:space="preserve">, Dolphin </w:t>
      </w:r>
      <w:r w:rsidR="00D03CB3" w:rsidRPr="002A5631">
        <w:rPr>
          <w:rFonts w:ascii="Arial" w:hAnsi="Arial" w:cs="Arial"/>
          <w:sz w:val="24"/>
          <w:szCs w:val="24"/>
        </w:rPr>
        <w:t>Coast</w:t>
      </w:r>
      <w:r w:rsidR="00D91C61" w:rsidRPr="002A5631">
        <w:rPr>
          <w:rFonts w:ascii="Arial" w:hAnsi="Arial" w:cs="Arial"/>
          <w:sz w:val="24"/>
          <w:szCs w:val="24"/>
        </w:rPr>
        <w:t>, KwaDukuza, KwaZulu-Na</w:t>
      </w:r>
      <w:r w:rsidR="00BD77C8" w:rsidRPr="002A5631">
        <w:rPr>
          <w:rFonts w:ascii="Arial" w:hAnsi="Arial" w:cs="Arial"/>
          <w:sz w:val="24"/>
          <w:szCs w:val="24"/>
        </w:rPr>
        <w:t>tal</w:t>
      </w:r>
      <w:r w:rsidR="00D91C61" w:rsidRPr="002A5631">
        <w:rPr>
          <w:rFonts w:ascii="Arial" w:hAnsi="Arial" w:cs="Arial"/>
          <w:sz w:val="24"/>
          <w:szCs w:val="24"/>
        </w:rPr>
        <w:t>.</w:t>
      </w:r>
    </w:p>
    <w:p w14:paraId="78679FE3" w14:textId="137DD01E" w:rsidR="00DE77EC" w:rsidRPr="002A5631" w:rsidRDefault="00C71672"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DE77EC" w:rsidRPr="002A5631">
        <w:rPr>
          <w:rFonts w:ascii="Arial" w:hAnsi="Arial" w:cs="Arial"/>
          <w:sz w:val="24"/>
          <w:szCs w:val="24"/>
        </w:rPr>
        <w:t>b</w:t>
      </w:r>
      <w:r w:rsidRPr="002A5631">
        <w:rPr>
          <w:rFonts w:ascii="Arial" w:hAnsi="Arial" w:cs="Arial"/>
          <w:sz w:val="24"/>
          <w:szCs w:val="24"/>
        </w:rPr>
        <w:t>)</w:t>
      </w:r>
      <w:r w:rsidRPr="002A5631">
        <w:rPr>
          <w:rFonts w:ascii="Arial" w:hAnsi="Arial" w:cs="Arial"/>
          <w:sz w:val="24"/>
          <w:szCs w:val="24"/>
        </w:rPr>
        <w:tab/>
      </w:r>
      <w:r w:rsidR="00BD77C8" w:rsidRPr="002A5631">
        <w:rPr>
          <w:rFonts w:ascii="Arial" w:hAnsi="Arial" w:cs="Arial"/>
          <w:sz w:val="24"/>
          <w:szCs w:val="24"/>
        </w:rPr>
        <w:t>That, should the first respondent fail to sign the documents or to do anything which is necessary for the transfer of the property into the name of the applicant within ten days</w:t>
      </w:r>
      <w:r w:rsidR="004E2027" w:rsidRPr="002A5631">
        <w:rPr>
          <w:rFonts w:ascii="Arial" w:hAnsi="Arial" w:cs="Arial"/>
          <w:sz w:val="24"/>
          <w:szCs w:val="24"/>
        </w:rPr>
        <w:t xml:space="preserve"> </w:t>
      </w:r>
      <w:r w:rsidR="00BD77C8" w:rsidRPr="002A5631">
        <w:rPr>
          <w:rFonts w:ascii="Arial" w:hAnsi="Arial" w:cs="Arial"/>
          <w:sz w:val="24"/>
          <w:szCs w:val="24"/>
        </w:rPr>
        <w:t xml:space="preserve">after being requested to do so by the applicant’s conveyancers, the sheriff be </w:t>
      </w:r>
      <w:r w:rsidR="00D41990" w:rsidRPr="002A5631">
        <w:rPr>
          <w:rFonts w:ascii="Arial" w:hAnsi="Arial" w:cs="Arial"/>
          <w:sz w:val="24"/>
          <w:szCs w:val="24"/>
        </w:rPr>
        <w:t xml:space="preserve">authorised </w:t>
      </w:r>
      <w:r w:rsidR="00BD77C8" w:rsidRPr="002A5631">
        <w:rPr>
          <w:rFonts w:ascii="Arial" w:hAnsi="Arial" w:cs="Arial"/>
          <w:sz w:val="24"/>
          <w:szCs w:val="24"/>
        </w:rPr>
        <w:t xml:space="preserve">and directed to sign </w:t>
      </w:r>
      <w:r w:rsidR="00D41990" w:rsidRPr="002A5631">
        <w:rPr>
          <w:rFonts w:ascii="Arial" w:hAnsi="Arial" w:cs="Arial"/>
          <w:sz w:val="24"/>
          <w:szCs w:val="24"/>
        </w:rPr>
        <w:t xml:space="preserve">all </w:t>
      </w:r>
      <w:r w:rsidR="00BD77C8" w:rsidRPr="002A5631">
        <w:rPr>
          <w:rFonts w:ascii="Arial" w:hAnsi="Arial" w:cs="Arial"/>
          <w:sz w:val="24"/>
          <w:szCs w:val="24"/>
        </w:rPr>
        <w:t>documents and to do anything necessary to transfer the property to the applicant on behalf of the first respondent.</w:t>
      </w:r>
    </w:p>
    <w:p w14:paraId="60A79610" w14:textId="2C89D82E" w:rsidR="00DE77EC" w:rsidRPr="002A5631" w:rsidRDefault="00C71672"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DE77EC" w:rsidRPr="002A5631">
        <w:rPr>
          <w:rFonts w:ascii="Arial" w:hAnsi="Arial" w:cs="Arial"/>
          <w:sz w:val="24"/>
          <w:szCs w:val="24"/>
        </w:rPr>
        <w:t>c</w:t>
      </w:r>
      <w:r w:rsidRPr="002A5631">
        <w:rPr>
          <w:rFonts w:ascii="Arial" w:hAnsi="Arial" w:cs="Arial"/>
          <w:sz w:val="24"/>
          <w:szCs w:val="24"/>
        </w:rPr>
        <w:t>)</w:t>
      </w:r>
      <w:r w:rsidRPr="002A5631">
        <w:rPr>
          <w:rFonts w:ascii="Arial" w:hAnsi="Arial" w:cs="Arial"/>
          <w:sz w:val="24"/>
          <w:szCs w:val="24"/>
        </w:rPr>
        <w:tab/>
      </w:r>
      <w:r w:rsidR="00BD77C8" w:rsidRPr="002A5631">
        <w:rPr>
          <w:rFonts w:ascii="Arial" w:hAnsi="Arial" w:cs="Arial"/>
          <w:sz w:val="24"/>
          <w:szCs w:val="24"/>
        </w:rPr>
        <w:t xml:space="preserve">That the costs of the application should be borne by any of the respondents who unsuccessfully opposes the </w:t>
      </w:r>
      <w:r w:rsidR="00D41990" w:rsidRPr="002A5631">
        <w:rPr>
          <w:rFonts w:ascii="Arial" w:hAnsi="Arial" w:cs="Arial"/>
          <w:sz w:val="24"/>
          <w:szCs w:val="24"/>
        </w:rPr>
        <w:t>application</w:t>
      </w:r>
      <w:r w:rsidR="00BD77C8" w:rsidRPr="002A5631">
        <w:rPr>
          <w:rFonts w:ascii="Arial" w:hAnsi="Arial" w:cs="Arial"/>
          <w:sz w:val="24"/>
          <w:szCs w:val="24"/>
        </w:rPr>
        <w:t>, otherwise, the cost should be borne by the applicant.</w:t>
      </w:r>
    </w:p>
    <w:p w14:paraId="26EB592B" w14:textId="77777777" w:rsidR="00BD77C8" w:rsidRPr="002A5631" w:rsidRDefault="00BD77C8" w:rsidP="00A6674F">
      <w:pPr>
        <w:spacing w:after="0" w:line="360" w:lineRule="auto"/>
        <w:contextualSpacing/>
        <w:jc w:val="both"/>
        <w:rPr>
          <w:rFonts w:ascii="Arial" w:hAnsi="Arial" w:cs="Arial"/>
          <w:sz w:val="24"/>
          <w:szCs w:val="24"/>
        </w:rPr>
      </w:pPr>
    </w:p>
    <w:p w14:paraId="10675934" w14:textId="3F371548" w:rsidR="00DE77EC" w:rsidRPr="002A5631" w:rsidRDefault="00F84090" w:rsidP="00A6674F">
      <w:pPr>
        <w:spacing w:after="0" w:line="360" w:lineRule="auto"/>
        <w:contextualSpacing/>
        <w:jc w:val="both"/>
        <w:rPr>
          <w:rFonts w:ascii="Arial" w:hAnsi="Arial" w:cs="Arial"/>
          <w:sz w:val="24"/>
          <w:szCs w:val="24"/>
        </w:rPr>
      </w:pPr>
      <w:r w:rsidRPr="002A5631">
        <w:rPr>
          <w:rFonts w:ascii="Arial" w:hAnsi="Arial" w:cs="Arial"/>
          <w:sz w:val="24"/>
          <w:szCs w:val="24"/>
        </w:rPr>
        <w:t>[2]</w:t>
      </w:r>
      <w:r w:rsidRPr="002A5631">
        <w:rPr>
          <w:rFonts w:ascii="Arial" w:hAnsi="Arial" w:cs="Arial"/>
          <w:sz w:val="24"/>
          <w:szCs w:val="24"/>
        </w:rPr>
        <w:tab/>
      </w:r>
      <w:r w:rsidR="00DE77EC" w:rsidRPr="002A5631">
        <w:rPr>
          <w:rFonts w:ascii="Arial" w:hAnsi="Arial" w:cs="Arial"/>
          <w:sz w:val="24"/>
          <w:szCs w:val="24"/>
        </w:rPr>
        <w:t xml:space="preserve">The </w:t>
      </w:r>
      <w:r w:rsidR="00AF5272" w:rsidRPr="002A5631">
        <w:rPr>
          <w:rFonts w:ascii="Arial" w:hAnsi="Arial" w:cs="Arial"/>
          <w:sz w:val="24"/>
          <w:szCs w:val="24"/>
        </w:rPr>
        <w:t xml:space="preserve">first </w:t>
      </w:r>
      <w:r w:rsidR="00DE77EC" w:rsidRPr="002A5631">
        <w:rPr>
          <w:rFonts w:ascii="Arial" w:hAnsi="Arial" w:cs="Arial"/>
          <w:sz w:val="24"/>
          <w:szCs w:val="24"/>
        </w:rPr>
        <w:t xml:space="preserve">respondent, Mrs P </w:t>
      </w:r>
      <w:proofErr w:type="spellStart"/>
      <w:r w:rsidR="00A356AD" w:rsidRPr="002A5631">
        <w:rPr>
          <w:rFonts w:ascii="Arial" w:hAnsi="Arial" w:cs="Arial"/>
          <w:sz w:val="24"/>
          <w:szCs w:val="24"/>
        </w:rPr>
        <w:t>Mp</w:t>
      </w:r>
      <w:r w:rsidR="00FE7892" w:rsidRPr="002A5631">
        <w:rPr>
          <w:rFonts w:ascii="Arial" w:hAnsi="Arial" w:cs="Arial"/>
          <w:sz w:val="24"/>
          <w:szCs w:val="24"/>
        </w:rPr>
        <w:t>u</w:t>
      </w:r>
      <w:r w:rsidR="00A356AD" w:rsidRPr="002A5631">
        <w:rPr>
          <w:rFonts w:ascii="Arial" w:hAnsi="Arial" w:cs="Arial"/>
          <w:sz w:val="24"/>
          <w:szCs w:val="24"/>
        </w:rPr>
        <w:t>ngose</w:t>
      </w:r>
      <w:proofErr w:type="spellEnd"/>
      <w:r w:rsidR="00A356AD" w:rsidRPr="002A5631">
        <w:rPr>
          <w:rFonts w:ascii="Arial" w:hAnsi="Arial" w:cs="Arial"/>
          <w:sz w:val="24"/>
          <w:szCs w:val="24"/>
        </w:rPr>
        <w:t>,</w:t>
      </w:r>
      <w:r w:rsidR="00DE77EC" w:rsidRPr="002A5631">
        <w:rPr>
          <w:rFonts w:ascii="Arial" w:hAnsi="Arial" w:cs="Arial"/>
          <w:sz w:val="24"/>
          <w:szCs w:val="24"/>
        </w:rPr>
        <w:t xml:space="preserve"> filed a </w:t>
      </w:r>
      <w:r w:rsidR="00A356AD" w:rsidRPr="002A5631">
        <w:rPr>
          <w:rFonts w:ascii="Arial" w:hAnsi="Arial" w:cs="Arial"/>
          <w:sz w:val="24"/>
          <w:szCs w:val="24"/>
        </w:rPr>
        <w:t>counter</w:t>
      </w:r>
      <w:r w:rsidR="00D41990" w:rsidRPr="002A5631">
        <w:rPr>
          <w:rFonts w:ascii="Arial" w:hAnsi="Arial" w:cs="Arial"/>
          <w:sz w:val="24"/>
          <w:szCs w:val="24"/>
        </w:rPr>
        <w:t>-</w:t>
      </w:r>
      <w:r w:rsidR="00A356AD" w:rsidRPr="002A5631">
        <w:rPr>
          <w:rFonts w:ascii="Arial" w:hAnsi="Arial" w:cs="Arial"/>
          <w:sz w:val="24"/>
          <w:szCs w:val="24"/>
        </w:rPr>
        <w:t>application</w:t>
      </w:r>
      <w:r w:rsidR="00DE77EC" w:rsidRPr="002A5631">
        <w:rPr>
          <w:rFonts w:ascii="Arial" w:hAnsi="Arial" w:cs="Arial"/>
          <w:sz w:val="24"/>
          <w:szCs w:val="24"/>
        </w:rPr>
        <w:t xml:space="preserve"> wherein she sought the following relief:</w:t>
      </w:r>
    </w:p>
    <w:p w14:paraId="04DA7F61" w14:textId="4D45B42B" w:rsidR="00BD77C8" w:rsidRPr="002A5631" w:rsidRDefault="00D419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BD77C8" w:rsidRPr="002A5631">
        <w:rPr>
          <w:rFonts w:ascii="Arial" w:hAnsi="Arial" w:cs="Arial"/>
          <w:sz w:val="24"/>
          <w:szCs w:val="24"/>
        </w:rPr>
        <w:t>a</w:t>
      </w:r>
      <w:r w:rsidRPr="002A5631">
        <w:rPr>
          <w:rFonts w:ascii="Arial" w:hAnsi="Arial" w:cs="Arial"/>
          <w:sz w:val="24"/>
          <w:szCs w:val="24"/>
        </w:rPr>
        <w:t>)</w:t>
      </w:r>
      <w:r w:rsidRPr="002A5631">
        <w:rPr>
          <w:rFonts w:ascii="Arial" w:hAnsi="Arial" w:cs="Arial"/>
          <w:sz w:val="24"/>
          <w:szCs w:val="24"/>
        </w:rPr>
        <w:tab/>
      </w:r>
      <w:r w:rsidR="00BD77C8" w:rsidRPr="002A5631">
        <w:rPr>
          <w:rFonts w:ascii="Arial" w:hAnsi="Arial" w:cs="Arial"/>
          <w:sz w:val="24"/>
          <w:szCs w:val="24"/>
        </w:rPr>
        <w:t xml:space="preserve">That </w:t>
      </w:r>
      <w:r w:rsidR="00363736" w:rsidRPr="002A5631">
        <w:rPr>
          <w:rFonts w:ascii="Arial" w:hAnsi="Arial" w:cs="Arial"/>
          <w:sz w:val="24"/>
          <w:szCs w:val="24"/>
        </w:rPr>
        <w:t>the applicant</w:t>
      </w:r>
      <w:r w:rsidR="00BD77C8" w:rsidRPr="002A5631">
        <w:rPr>
          <w:rFonts w:ascii="Arial" w:hAnsi="Arial" w:cs="Arial"/>
          <w:sz w:val="24"/>
          <w:szCs w:val="24"/>
        </w:rPr>
        <w:t xml:space="preserve"> be directed to return the title deed for Erf </w:t>
      </w:r>
      <w:r w:rsidR="00D12A2D">
        <w:rPr>
          <w:rFonts w:ascii="Arial" w:hAnsi="Arial" w:cs="Arial"/>
          <w:sz w:val="24"/>
          <w:szCs w:val="24"/>
        </w:rPr>
        <w:t>[…]</w:t>
      </w:r>
      <w:r w:rsidR="00BD77C8" w:rsidRPr="002A5631">
        <w:rPr>
          <w:rFonts w:ascii="Arial" w:hAnsi="Arial" w:cs="Arial"/>
          <w:sz w:val="24"/>
          <w:szCs w:val="24"/>
        </w:rPr>
        <w:t>, to the first respondent, upon the granting of this order.</w:t>
      </w:r>
    </w:p>
    <w:p w14:paraId="177F2BC7" w14:textId="64EAC64D" w:rsidR="00363736" w:rsidRPr="002A5631" w:rsidRDefault="00D419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363736" w:rsidRPr="002A5631">
        <w:rPr>
          <w:rFonts w:ascii="Arial" w:hAnsi="Arial" w:cs="Arial"/>
          <w:sz w:val="24"/>
          <w:szCs w:val="24"/>
        </w:rPr>
        <w:t>b</w:t>
      </w:r>
      <w:r w:rsidRPr="002A5631">
        <w:rPr>
          <w:rFonts w:ascii="Arial" w:hAnsi="Arial" w:cs="Arial"/>
          <w:sz w:val="24"/>
          <w:szCs w:val="24"/>
        </w:rPr>
        <w:t>)</w:t>
      </w:r>
      <w:r w:rsidRPr="002A5631">
        <w:rPr>
          <w:rFonts w:ascii="Arial" w:hAnsi="Arial" w:cs="Arial"/>
          <w:sz w:val="24"/>
          <w:szCs w:val="24"/>
        </w:rPr>
        <w:tab/>
      </w:r>
      <w:r w:rsidR="00363736" w:rsidRPr="002A5631">
        <w:rPr>
          <w:rFonts w:ascii="Arial" w:hAnsi="Arial" w:cs="Arial"/>
          <w:sz w:val="24"/>
          <w:szCs w:val="24"/>
        </w:rPr>
        <w:t>That the applicant be directed to return the keys for the property to the first respondent, upon the granting of this order.</w:t>
      </w:r>
    </w:p>
    <w:p w14:paraId="112CD2D4" w14:textId="61732E3A" w:rsidR="00363736" w:rsidRPr="002A5631" w:rsidRDefault="00D419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363736" w:rsidRPr="002A5631">
        <w:rPr>
          <w:rFonts w:ascii="Arial" w:hAnsi="Arial" w:cs="Arial"/>
          <w:sz w:val="24"/>
          <w:szCs w:val="24"/>
        </w:rPr>
        <w:t>c</w:t>
      </w:r>
      <w:r w:rsidRPr="002A5631">
        <w:rPr>
          <w:rFonts w:ascii="Arial" w:hAnsi="Arial" w:cs="Arial"/>
          <w:sz w:val="24"/>
          <w:szCs w:val="24"/>
        </w:rPr>
        <w:t>)</w:t>
      </w:r>
      <w:r w:rsidR="00BE4590" w:rsidRPr="002A5631">
        <w:rPr>
          <w:rFonts w:ascii="Arial" w:hAnsi="Arial" w:cs="Arial"/>
          <w:sz w:val="24"/>
          <w:szCs w:val="24"/>
        </w:rPr>
        <w:tab/>
      </w:r>
      <w:r w:rsidR="00363736" w:rsidRPr="002A5631">
        <w:rPr>
          <w:rFonts w:ascii="Arial" w:hAnsi="Arial" w:cs="Arial"/>
          <w:sz w:val="24"/>
          <w:szCs w:val="24"/>
        </w:rPr>
        <w:t xml:space="preserve">That the applicant </w:t>
      </w:r>
      <w:proofErr w:type="gramStart"/>
      <w:r w:rsidR="00363736" w:rsidRPr="002A5631">
        <w:rPr>
          <w:rFonts w:ascii="Arial" w:hAnsi="Arial" w:cs="Arial"/>
          <w:sz w:val="24"/>
          <w:szCs w:val="24"/>
        </w:rPr>
        <w:t>pay</w:t>
      </w:r>
      <w:proofErr w:type="gramEnd"/>
      <w:r w:rsidR="00363736" w:rsidRPr="002A5631">
        <w:rPr>
          <w:rFonts w:ascii="Arial" w:hAnsi="Arial" w:cs="Arial"/>
          <w:sz w:val="24"/>
          <w:szCs w:val="24"/>
        </w:rPr>
        <w:t xml:space="preserve"> the costs of this application on an attorney and client scale.</w:t>
      </w:r>
    </w:p>
    <w:p w14:paraId="10DE2324" w14:textId="77777777" w:rsidR="00BE4590" w:rsidRPr="002A5631" w:rsidRDefault="00BE4590" w:rsidP="00A6674F">
      <w:pPr>
        <w:spacing w:after="0" w:line="360" w:lineRule="auto"/>
        <w:contextualSpacing/>
        <w:jc w:val="both"/>
        <w:rPr>
          <w:rFonts w:ascii="Arial" w:hAnsi="Arial" w:cs="Arial"/>
          <w:sz w:val="24"/>
          <w:szCs w:val="24"/>
        </w:rPr>
      </w:pPr>
    </w:p>
    <w:p w14:paraId="35AF94FD" w14:textId="1AC14675" w:rsidR="00F359ED" w:rsidRPr="002A5631" w:rsidRDefault="00BE45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2A5595" w:rsidRPr="002A5631">
        <w:rPr>
          <w:rFonts w:ascii="Arial" w:hAnsi="Arial" w:cs="Arial"/>
          <w:sz w:val="24"/>
          <w:szCs w:val="24"/>
        </w:rPr>
        <w:t>3</w:t>
      </w:r>
      <w:r w:rsidRPr="002A5631">
        <w:rPr>
          <w:rFonts w:ascii="Arial" w:hAnsi="Arial" w:cs="Arial"/>
          <w:sz w:val="24"/>
          <w:szCs w:val="24"/>
        </w:rPr>
        <w:t>]</w:t>
      </w:r>
      <w:r w:rsidRPr="002A5631">
        <w:rPr>
          <w:rFonts w:ascii="Arial" w:hAnsi="Arial" w:cs="Arial"/>
          <w:sz w:val="24"/>
          <w:szCs w:val="24"/>
        </w:rPr>
        <w:tab/>
      </w:r>
      <w:r w:rsidR="00F359ED" w:rsidRPr="002A5631">
        <w:rPr>
          <w:rFonts w:ascii="Arial" w:hAnsi="Arial" w:cs="Arial"/>
          <w:sz w:val="24"/>
          <w:szCs w:val="24"/>
        </w:rPr>
        <w:t xml:space="preserve">The first respondent also raised three points in </w:t>
      </w:r>
      <w:proofErr w:type="spellStart"/>
      <w:r w:rsidR="00F359ED" w:rsidRPr="002A5631">
        <w:rPr>
          <w:rFonts w:ascii="Arial" w:hAnsi="Arial" w:cs="Arial"/>
          <w:sz w:val="24"/>
          <w:szCs w:val="24"/>
        </w:rPr>
        <w:t>limine</w:t>
      </w:r>
      <w:proofErr w:type="spellEnd"/>
      <w:r w:rsidR="00F359ED" w:rsidRPr="002A5631">
        <w:rPr>
          <w:rFonts w:ascii="Arial" w:hAnsi="Arial" w:cs="Arial"/>
          <w:sz w:val="24"/>
          <w:szCs w:val="24"/>
        </w:rPr>
        <w:t>, which I will deal with in due course.</w:t>
      </w:r>
    </w:p>
    <w:p w14:paraId="6D9EB1EF" w14:textId="77777777" w:rsidR="00FC7DC6" w:rsidRPr="002A5631" w:rsidRDefault="00FC7DC6" w:rsidP="00A6674F">
      <w:pPr>
        <w:spacing w:after="0" w:line="360" w:lineRule="auto"/>
        <w:contextualSpacing/>
        <w:jc w:val="both"/>
        <w:rPr>
          <w:rFonts w:ascii="Arial" w:hAnsi="Arial" w:cs="Arial"/>
          <w:sz w:val="24"/>
          <w:szCs w:val="24"/>
        </w:rPr>
      </w:pPr>
    </w:p>
    <w:p w14:paraId="03524D17" w14:textId="13CD75B1" w:rsidR="00FC7DC6" w:rsidRPr="002A5631" w:rsidRDefault="002A5595" w:rsidP="00A6674F">
      <w:pPr>
        <w:spacing w:after="0" w:line="360" w:lineRule="auto"/>
        <w:contextualSpacing/>
        <w:jc w:val="both"/>
        <w:rPr>
          <w:rFonts w:ascii="Arial" w:hAnsi="Arial" w:cs="Arial"/>
          <w:sz w:val="24"/>
          <w:szCs w:val="24"/>
        </w:rPr>
      </w:pPr>
      <w:r w:rsidRPr="002A5631">
        <w:rPr>
          <w:rFonts w:ascii="Arial" w:hAnsi="Arial" w:cs="Arial"/>
          <w:sz w:val="24"/>
          <w:szCs w:val="24"/>
        </w:rPr>
        <w:t>[4</w:t>
      </w:r>
      <w:r w:rsidR="00F84090" w:rsidRPr="002A5631">
        <w:rPr>
          <w:rFonts w:ascii="Arial" w:hAnsi="Arial" w:cs="Arial"/>
          <w:sz w:val="24"/>
          <w:szCs w:val="24"/>
        </w:rPr>
        <w:t>]</w:t>
      </w:r>
      <w:r w:rsidR="00F84090" w:rsidRPr="002A5631">
        <w:rPr>
          <w:rFonts w:ascii="Arial" w:hAnsi="Arial" w:cs="Arial"/>
          <w:sz w:val="24"/>
          <w:szCs w:val="24"/>
        </w:rPr>
        <w:tab/>
      </w:r>
      <w:r w:rsidR="00FC7DC6" w:rsidRPr="002A5631">
        <w:rPr>
          <w:rFonts w:ascii="Arial" w:hAnsi="Arial" w:cs="Arial"/>
          <w:sz w:val="24"/>
          <w:szCs w:val="24"/>
        </w:rPr>
        <w:t xml:space="preserve">No relief was sought </w:t>
      </w:r>
      <w:r w:rsidR="00C046BB" w:rsidRPr="002A5631">
        <w:rPr>
          <w:rFonts w:ascii="Arial" w:hAnsi="Arial" w:cs="Arial"/>
          <w:sz w:val="24"/>
          <w:szCs w:val="24"/>
        </w:rPr>
        <w:t>against the second respondent, the Registrar of Deeds.</w:t>
      </w:r>
    </w:p>
    <w:p w14:paraId="3863B150" w14:textId="77777777" w:rsidR="005323FE" w:rsidRPr="002A5631" w:rsidRDefault="005323FE" w:rsidP="00A6674F">
      <w:pPr>
        <w:spacing w:after="0" w:line="360" w:lineRule="auto"/>
        <w:contextualSpacing/>
        <w:jc w:val="both"/>
        <w:rPr>
          <w:rFonts w:ascii="Arial" w:hAnsi="Arial" w:cs="Arial"/>
          <w:sz w:val="24"/>
          <w:szCs w:val="24"/>
        </w:rPr>
      </w:pPr>
    </w:p>
    <w:p w14:paraId="35F8841B" w14:textId="03B8B2C0" w:rsidR="00361FFE" w:rsidRPr="002A5631" w:rsidRDefault="005E3AEF" w:rsidP="00A6674F">
      <w:pPr>
        <w:spacing w:after="0" w:line="360" w:lineRule="auto"/>
        <w:contextualSpacing/>
        <w:jc w:val="both"/>
        <w:rPr>
          <w:rFonts w:ascii="Arial" w:hAnsi="Arial" w:cs="Arial"/>
          <w:sz w:val="24"/>
          <w:szCs w:val="24"/>
        </w:rPr>
      </w:pPr>
      <w:r w:rsidRPr="002A5631">
        <w:rPr>
          <w:rFonts w:ascii="Arial" w:hAnsi="Arial" w:cs="Arial"/>
          <w:sz w:val="24"/>
          <w:szCs w:val="24"/>
        </w:rPr>
        <w:lastRenderedPageBreak/>
        <w:t>[</w:t>
      </w:r>
      <w:r w:rsidR="002A5595" w:rsidRPr="002A5631">
        <w:rPr>
          <w:rFonts w:ascii="Arial" w:hAnsi="Arial" w:cs="Arial"/>
          <w:sz w:val="24"/>
          <w:szCs w:val="24"/>
        </w:rPr>
        <w:t>5</w:t>
      </w:r>
      <w:r w:rsidR="00E1264A" w:rsidRPr="002A5631">
        <w:rPr>
          <w:rFonts w:ascii="Arial" w:hAnsi="Arial" w:cs="Arial"/>
          <w:sz w:val="24"/>
          <w:szCs w:val="24"/>
        </w:rPr>
        <w:t>]</w:t>
      </w:r>
      <w:r w:rsidR="00F84090" w:rsidRPr="002A5631">
        <w:rPr>
          <w:rFonts w:ascii="Arial" w:hAnsi="Arial" w:cs="Arial"/>
          <w:sz w:val="24"/>
          <w:szCs w:val="24"/>
        </w:rPr>
        <w:tab/>
      </w:r>
      <w:r w:rsidR="00E1264A" w:rsidRPr="002A5631">
        <w:rPr>
          <w:rFonts w:ascii="Arial" w:hAnsi="Arial" w:cs="Arial"/>
          <w:sz w:val="24"/>
          <w:szCs w:val="24"/>
        </w:rPr>
        <w:t>At</w:t>
      </w:r>
      <w:r w:rsidR="00DE77EC" w:rsidRPr="002A5631">
        <w:rPr>
          <w:rFonts w:ascii="Arial" w:hAnsi="Arial" w:cs="Arial"/>
          <w:sz w:val="24"/>
          <w:szCs w:val="24"/>
        </w:rPr>
        <w:t xml:space="preserve"> the commencement of </w:t>
      </w:r>
      <w:r w:rsidR="00363736" w:rsidRPr="002A5631">
        <w:rPr>
          <w:rFonts w:ascii="Arial" w:hAnsi="Arial" w:cs="Arial"/>
          <w:sz w:val="24"/>
          <w:szCs w:val="24"/>
        </w:rPr>
        <w:t>the hearing before me,</w:t>
      </w:r>
      <w:r w:rsidR="00DE77EC" w:rsidRPr="002A5631">
        <w:rPr>
          <w:rFonts w:ascii="Arial" w:hAnsi="Arial" w:cs="Arial"/>
          <w:sz w:val="24"/>
          <w:szCs w:val="24"/>
        </w:rPr>
        <w:t xml:space="preserve"> counsel for the applicant</w:t>
      </w:r>
      <w:r w:rsidR="00361FFE" w:rsidRPr="002A5631">
        <w:rPr>
          <w:rFonts w:ascii="Arial" w:hAnsi="Arial" w:cs="Arial"/>
          <w:sz w:val="24"/>
          <w:szCs w:val="24"/>
        </w:rPr>
        <w:t xml:space="preserve">, Mr </w:t>
      </w:r>
      <w:r w:rsidR="00C542A4" w:rsidRPr="002A5631">
        <w:rPr>
          <w:rFonts w:ascii="Arial" w:hAnsi="Arial" w:cs="Arial"/>
          <w:sz w:val="24"/>
          <w:szCs w:val="24"/>
        </w:rPr>
        <w:t xml:space="preserve">P </w:t>
      </w:r>
      <w:proofErr w:type="gramStart"/>
      <w:r w:rsidR="00C542A4" w:rsidRPr="002A5631">
        <w:rPr>
          <w:rFonts w:ascii="Arial" w:hAnsi="Arial" w:cs="Arial"/>
          <w:sz w:val="24"/>
          <w:szCs w:val="24"/>
        </w:rPr>
        <w:t>A</w:t>
      </w:r>
      <w:proofErr w:type="gramEnd"/>
      <w:r w:rsidR="00C542A4" w:rsidRPr="002A5631">
        <w:rPr>
          <w:rFonts w:ascii="Arial" w:hAnsi="Arial" w:cs="Arial"/>
          <w:sz w:val="24"/>
          <w:szCs w:val="24"/>
        </w:rPr>
        <w:t xml:space="preserve"> </w:t>
      </w:r>
      <w:proofErr w:type="spellStart"/>
      <w:r w:rsidR="00C046BB" w:rsidRPr="002A5631">
        <w:rPr>
          <w:rFonts w:ascii="Arial" w:hAnsi="Arial" w:cs="Arial"/>
          <w:sz w:val="24"/>
          <w:szCs w:val="24"/>
        </w:rPr>
        <w:t>Dlamini</w:t>
      </w:r>
      <w:proofErr w:type="spellEnd"/>
      <w:r w:rsidR="00C046BB" w:rsidRPr="002A5631">
        <w:rPr>
          <w:rFonts w:ascii="Arial" w:hAnsi="Arial" w:cs="Arial"/>
          <w:sz w:val="24"/>
          <w:szCs w:val="24"/>
        </w:rPr>
        <w:t>, indicated</w:t>
      </w:r>
      <w:r w:rsidR="009D3B2F" w:rsidRPr="002A5631">
        <w:rPr>
          <w:rFonts w:ascii="Arial" w:hAnsi="Arial" w:cs="Arial"/>
          <w:sz w:val="24"/>
          <w:szCs w:val="24"/>
        </w:rPr>
        <w:t xml:space="preserve"> from the bar </w:t>
      </w:r>
      <w:r w:rsidR="00DE77EC" w:rsidRPr="002A5631">
        <w:rPr>
          <w:rFonts w:ascii="Arial" w:hAnsi="Arial" w:cs="Arial"/>
          <w:sz w:val="24"/>
          <w:szCs w:val="24"/>
        </w:rPr>
        <w:t xml:space="preserve">that he wanted to apply for the matter to be referred for the hearing of oral </w:t>
      </w:r>
      <w:r w:rsidR="00361FFE" w:rsidRPr="002A5631">
        <w:rPr>
          <w:rFonts w:ascii="Arial" w:hAnsi="Arial" w:cs="Arial"/>
          <w:sz w:val="24"/>
          <w:szCs w:val="24"/>
        </w:rPr>
        <w:t>evidence.</w:t>
      </w:r>
      <w:r w:rsidR="00363736" w:rsidRPr="002A5631">
        <w:rPr>
          <w:rFonts w:ascii="Arial" w:hAnsi="Arial" w:cs="Arial"/>
          <w:sz w:val="24"/>
          <w:szCs w:val="24"/>
        </w:rPr>
        <w:t xml:space="preserve"> This was the first time that the issue of a referral was raised. No mention was made of it in his heads of argument or practi</w:t>
      </w:r>
      <w:r w:rsidR="00BE4590" w:rsidRPr="002A5631">
        <w:rPr>
          <w:rFonts w:ascii="Arial" w:hAnsi="Arial" w:cs="Arial"/>
          <w:sz w:val="24"/>
          <w:szCs w:val="24"/>
        </w:rPr>
        <w:t>c</w:t>
      </w:r>
      <w:r w:rsidR="00363736" w:rsidRPr="002A5631">
        <w:rPr>
          <w:rFonts w:ascii="Arial" w:hAnsi="Arial" w:cs="Arial"/>
          <w:sz w:val="24"/>
          <w:szCs w:val="24"/>
        </w:rPr>
        <w:t>e note.</w:t>
      </w:r>
      <w:r w:rsidR="00361FFE" w:rsidRPr="002A5631">
        <w:rPr>
          <w:rFonts w:ascii="Arial" w:hAnsi="Arial" w:cs="Arial"/>
          <w:sz w:val="24"/>
          <w:szCs w:val="24"/>
        </w:rPr>
        <w:t xml:space="preserve"> He sought the following order:</w:t>
      </w:r>
    </w:p>
    <w:p w14:paraId="1DC77899" w14:textId="3A7F2617" w:rsidR="00343BDC" w:rsidRPr="002A5631" w:rsidRDefault="00BE45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343BDC" w:rsidRPr="002A5631">
        <w:rPr>
          <w:rFonts w:ascii="Arial" w:hAnsi="Arial" w:cs="Arial"/>
          <w:sz w:val="24"/>
          <w:szCs w:val="24"/>
        </w:rPr>
        <w:t>a</w:t>
      </w:r>
      <w:r w:rsidRPr="002A5631">
        <w:rPr>
          <w:rFonts w:ascii="Arial" w:hAnsi="Arial" w:cs="Arial"/>
          <w:sz w:val="24"/>
          <w:szCs w:val="24"/>
        </w:rPr>
        <w:t>)</w:t>
      </w:r>
      <w:r w:rsidRPr="002A5631">
        <w:rPr>
          <w:rFonts w:ascii="Arial" w:hAnsi="Arial" w:cs="Arial"/>
          <w:sz w:val="24"/>
          <w:szCs w:val="24"/>
        </w:rPr>
        <w:tab/>
        <w:t xml:space="preserve">That </w:t>
      </w:r>
      <w:r w:rsidR="000C61FD">
        <w:rPr>
          <w:rFonts w:ascii="Arial" w:hAnsi="Arial" w:cs="Arial"/>
          <w:sz w:val="24"/>
          <w:szCs w:val="24"/>
        </w:rPr>
        <w:t>the</w:t>
      </w:r>
      <w:r w:rsidR="00F359ED" w:rsidRPr="002A5631">
        <w:rPr>
          <w:rFonts w:ascii="Arial" w:hAnsi="Arial" w:cs="Arial"/>
          <w:sz w:val="24"/>
          <w:szCs w:val="24"/>
        </w:rPr>
        <w:t xml:space="preserve"> matter </w:t>
      </w:r>
      <w:r w:rsidR="00523541">
        <w:rPr>
          <w:rFonts w:ascii="Arial" w:hAnsi="Arial" w:cs="Arial"/>
          <w:sz w:val="24"/>
          <w:szCs w:val="24"/>
        </w:rPr>
        <w:t>be</w:t>
      </w:r>
      <w:r w:rsidR="00523541" w:rsidRPr="002A5631">
        <w:rPr>
          <w:rFonts w:ascii="Arial" w:hAnsi="Arial" w:cs="Arial"/>
          <w:sz w:val="24"/>
          <w:szCs w:val="24"/>
        </w:rPr>
        <w:t xml:space="preserve"> </w:t>
      </w:r>
      <w:r w:rsidR="00F359ED" w:rsidRPr="002A5631">
        <w:rPr>
          <w:rFonts w:ascii="Arial" w:hAnsi="Arial" w:cs="Arial"/>
          <w:sz w:val="24"/>
          <w:szCs w:val="24"/>
        </w:rPr>
        <w:t xml:space="preserve">referred </w:t>
      </w:r>
      <w:r w:rsidR="00523541">
        <w:rPr>
          <w:rFonts w:ascii="Arial" w:hAnsi="Arial" w:cs="Arial"/>
          <w:sz w:val="24"/>
          <w:szCs w:val="24"/>
        </w:rPr>
        <w:t>for</w:t>
      </w:r>
      <w:r w:rsidR="00523541" w:rsidRPr="002A5631">
        <w:rPr>
          <w:rFonts w:ascii="Arial" w:hAnsi="Arial" w:cs="Arial"/>
          <w:sz w:val="24"/>
          <w:szCs w:val="24"/>
        </w:rPr>
        <w:t xml:space="preserve"> </w:t>
      </w:r>
      <w:r w:rsidR="00F359ED" w:rsidRPr="002A5631">
        <w:rPr>
          <w:rFonts w:ascii="Arial" w:hAnsi="Arial" w:cs="Arial"/>
          <w:sz w:val="24"/>
          <w:szCs w:val="24"/>
        </w:rPr>
        <w:t>the hearing of oral evidence on the issue of whether the payment of R12</w:t>
      </w:r>
      <w:r w:rsidRPr="002A5631">
        <w:rPr>
          <w:rFonts w:ascii="Arial" w:hAnsi="Arial" w:cs="Arial"/>
          <w:sz w:val="24"/>
          <w:szCs w:val="24"/>
        </w:rPr>
        <w:t> </w:t>
      </w:r>
      <w:r w:rsidR="00F359ED" w:rsidRPr="002A5631">
        <w:rPr>
          <w:rFonts w:ascii="Arial" w:hAnsi="Arial" w:cs="Arial"/>
          <w:sz w:val="24"/>
          <w:szCs w:val="24"/>
        </w:rPr>
        <w:t xml:space="preserve">000 to the first respondent by the applicant was a loan or </w:t>
      </w:r>
      <w:r w:rsidRPr="002A5631">
        <w:rPr>
          <w:rFonts w:ascii="Arial" w:hAnsi="Arial" w:cs="Arial"/>
          <w:sz w:val="24"/>
          <w:szCs w:val="24"/>
        </w:rPr>
        <w:t xml:space="preserve">was </w:t>
      </w:r>
      <w:r w:rsidR="00F359ED" w:rsidRPr="002A5631">
        <w:rPr>
          <w:rFonts w:ascii="Arial" w:hAnsi="Arial" w:cs="Arial"/>
          <w:sz w:val="24"/>
          <w:szCs w:val="24"/>
        </w:rPr>
        <w:t>in respect of the purchase of the first respondent’s immovable property,</w:t>
      </w:r>
      <w:r w:rsidRPr="002A5631">
        <w:rPr>
          <w:rFonts w:ascii="Arial" w:hAnsi="Arial" w:cs="Arial"/>
          <w:sz w:val="24"/>
          <w:szCs w:val="24"/>
        </w:rPr>
        <w:t xml:space="preserve"> </w:t>
      </w:r>
      <w:r w:rsidR="00D12A2D">
        <w:rPr>
          <w:rFonts w:ascii="Arial" w:hAnsi="Arial" w:cs="Arial"/>
          <w:sz w:val="24"/>
          <w:szCs w:val="24"/>
        </w:rPr>
        <w:t>described as Erf […]</w:t>
      </w:r>
      <w:r w:rsidR="00F359ED" w:rsidRPr="002A5631">
        <w:rPr>
          <w:rFonts w:ascii="Arial" w:hAnsi="Arial" w:cs="Arial"/>
          <w:sz w:val="24"/>
          <w:szCs w:val="24"/>
        </w:rPr>
        <w:t>.</w:t>
      </w:r>
    </w:p>
    <w:p w14:paraId="370AC7CC" w14:textId="3EB62CF5" w:rsidR="00F359ED" w:rsidRPr="002A5631" w:rsidRDefault="00BE4590" w:rsidP="00A6674F">
      <w:pPr>
        <w:spacing w:after="0" w:line="360" w:lineRule="auto"/>
        <w:contextualSpacing/>
        <w:jc w:val="both"/>
        <w:rPr>
          <w:rFonts w:ascii="Arial" w:hAnsi="Arial" w:cs="Arial"/>
          <w:sz w:val="24"/>
          <w:szCs w:val="24"/>
        </w:rPr>
      </w:pPr>
      <w:r w:rsidRPr="002A5631">
        <w:rPr>
          <w:rFonts w:ascii="Arial" w:hAnsi="Arial" w:cs="Arial"/>
          <w:sz w:val="24"/>
          <w:szCs w:val="24"/>
        </w:rPr>
        <w:t>(</w:t>
      </w:r>
      <w:r w:rsidR="00F359ED" w:rsidRPr="002A5631">
        <w:rPr>
          <w:rFonts w:ascii="Arial" w:hAnsi="Arial" w:cs="Arial"/>
          <w:sz w:val="24"/>
          <w:szCs w:val="24"/>
        </w:rPr>
        <w:t>b</w:t>
      </w:r>
      <w:r w:rsidRPr="002A5631">
        <w:rPr>
          <w:rFonts w:ascii="Arial" w:hAnsi="Arial" w:cs="Arial"/>
          <w:sz w:val="24"/>
          <w:szCs w:val="24"/>
        </w:rPr>
        <w:t>)</w:t>
      </w:r>
      <w:r w:rsidRPr="002A5631">
        <w:rPr>
          <w:rFonts w:ascii="Arial" w:hAnsi="Arial" w:cs="Arial"/>
          <w:sz w:val="24"/>
          <w:szCs w:val="24"/>
        </w:rPr>
        <w:tab/>
        <w:t>The a</w:t>
      </w:r>
      <w:r w:rsidR="00F359ED" w:rsidRPr="002A5631">
        <w:rPr>
          <w:rFonts w:ascii="Arial" w:hAnsi="Arial" w:cs="Arial"/>
          <w:sz w:val="24"/>
          <w:szCs w:val="24"/>
        </w:rPr>
        <w:t xml:space="preserve">pplicant </w:t>
      </w:r>
      <w:r w:rsidR="000C61FD">
        <w:rPr>
          <w:rFonts w:ascii="Arial" w:hAnsi="Arial" w:cs="Arial"/>
          <w:sz w:val="24"/>
          <w:szCs w:val="24"/>
        </w:rPr>
        <w:t>be</w:t>
      </w:r>
      <w:r w:rsidR="000C61FD" w:rsidRPr="002A5631">
        <w:rPr>
          <w:rFonts w:ascii="Arial" w:hAnsi="Arial" w:cs="Arial"/>
          <w:sz w:val="24"/>
          <w:szCs w:val="24"/>
        </w:rPr>
        <w:t xml:space="preserve"> </w:t>
      </w:r>
      <w:r w:rsidR="00F359ED" w:rsidRPr="002A5631">
        <w:rPr>
          <w:rFonts w:ascii="Arial" w:hAnsi="Arial" w:cs="Arial"/>
          <w:sz w:val="24"/>
          <w:szCs w:val="24"/>
        </w:rPr>
        <w:t>directed to pay the wasted costs for the day.</w:t>
      </w:r>
    </w:p>
    <w:p w14:paraId="0410621A" w14:textId="77777777" w:rsidR="007C2535" w:rsidRPr="002A5631" w:rsidRDefault="007C2535" w:rsidP="00A6674F">
      <w:pPr>
        <w:spacing w:after="0" w:line="360" w:lineRule="auto"/>
        <w:contextualSpacing/>
        <w:jc w:val="both"/>
        <w:rPr>
          <w:rFonts w:ascii="Arial" w:hAnsi="Arial" w:cs="Arial"/>
          <w:sz w:val="24"/>
          <w:szCs w:val="24"/>
        </w:rPr>
      </w:pPr>
    </w:p>
    <w:p w14:paraId="39C72675" w14:textId="6DE77709" w:rsidR="00E1264A" w:rsidRPr="002A5631" w:rsidRDefault="005E3AEF"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6</w:t>
      </w:r>
      <w:r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F359ED" w:rsidRPr="002A5631">
        <w:rPr>
          <w:rFonts w:ascii="Arial" w:eastAsia="Times New Roman" w:hAnsi="Arial" w:cs="Arial"/>
          <w:sz w:val="24"/>
          <w:szCs w:val="24"/>
          <w:lang w:eastAsia="en-GB"/>
        </w:rPr>
        <w:t xml:space="preserve">Counsel for the first respondent, Mr </w:t>
      </w:r>
      <w:r w:rsidR="00E1264A" w:rsidRPr="002A5631">
        <w:rPr>
          <w:rFonts w:ascii="Arial" w:eastAsia="Times New Roman" w:hAnsi="Arial" w:cs="Arial"/>
          <w:sz w:val="24"/>
          <w:szCs w:val="24"/>
          <w:lang w:eastAsia="en-GB"/>
        </w:rPr>
        <w:t xml:space="preserve">D </w:t>
      </w:r>
      <w:proofErr w:type="spellStart"/>
      <w:r w:rsidR="00E1264A" w:rsidRPr="002A5631">
        <w:rPr>
          <w:rFonts w:ascii="Arial" w:eastAsia="Times New Roman" w:hAnsi="Arial" w:cs="Arial"/>
          <w:sz w:val="24"/>
          <w:szCs w:val="24"/>
          <w:lang w:eastAsia="en-GB"/>
        </w:rPr>
        <w:t>Moodley</w:t>
      </w:r>
      <w:proofErr w:type="spellEnd"/>
      <w:r w:rsidR="00E1264A" w:rsidRPr="002A5631">
        <w:rPr>
          <w:rFonts w:ascii="Arial" w:eastAsia="Times New Roman" w:hAnsi="Arial" w:cs="Arial"/>
          <w:sz w:val="24"/>
          <w:szCs w:val="24"/>
          <w:lang w:eastAsia="en-GB"/>
        </w:rPr>
        <w:t xml:space="preserve">, indicated that the first respondent was opposed to the referral to oral evidence, mainly because it </w:t>
      </w:r>
      <w:r w:rsidR="00DB6A97" w:rsidRPr="002A5631">
        <w:rPr>
          <w:rFonts w:ascii="Arial" w:eastAsia="Times New Roman" w:hAnsi="Arial" w:cs="Arial"/>
          <w:sz w:val="24"/>
          <w:szCs w:val="24"/>
          <w:lang w:eastAsia="en-GB"/>
        </w:rPr>
        <w:t xml:space="preserve">would </w:t>
      </w:r>
      <w:r w:rsidR="00E1264A" w:rsidRPr="002A5631">
        <w:rPr>
          <w:rFonts w:ascii="Arial" w:eastAsia="Times New Roman" w:hAnsi="Arial" w:cs="Arial"/>
          <w:sz w:val="24"/>
          <w:szCs w:val="24"/>
          <w:lang w:eastAsia="en-GB"/>
        </w:rPr>
        <w:t>delay the finalisation of a case which has no prospects of success.</w:t>
      </w:r>
      <w:r w:rsidR="0051640A" w:rsidRPr="002A5631">
        <w:rPr>
          <w:rFonts w:ascii="Arial" w:eastAsia="Times New Roman" w:hAnsi="Arial" w:cs="Arial"/>
          <w:sz w:val="24"/>
          <w:szCs w:val="24"/>
          <w:lang w:eastAsia="en-GB"/>
        </w:rPr>
        <w:t xml:space="preserve"> The first respondent raised the issue of a material dispute of fact in her answering affidavit, which now formed the subject of the proposed referral to oral evidence by the applicant. More about this later.</w:t>
      </w:r>
    </w:p>
    <w:p w14:paraId="1D7E4122" w14:textId="33E6D6B1" w:rsidR="007F1A47" w:rsidRPr="002A5631" w:rsidRDefault="00EB532B"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p>
    <w:p w14:paraId="28F254BE" w14:textId="307ACC8E" w:rsidR="00890A8A"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7</w:t>
      </w:r>
      <w:r w:rsidR="00F84090"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E1264A" w:rsidRPr="002A5631">
        <w:rPr>
          <w:rFonts w:ascii="Arial" w:eastAsia="Times New Roman" w:hAnsi="Arial" w:cs="Arial"/>
          <w:sz w:val="24"/>
          <w:szCs w:val="24"/>
          <w:lang w:eastAsia="en-GB"/>
        </w:rPr>
        <w:t xml:space="preserve">The main issue to be determined </w:t>
      </w:r>
      <w:r w:rsidR="00203DC6" w:rsidRPr="002A5631">
        <w:rPr>
          <w:rFonts w:ascii="Arial" w:eastAsia="Times New Roman" w:hAnsi="Arial" w:cs="Arial"/>
          <w:sz w:val="24"/>
          <w:szCs w:val="24"/>
          <w:lang w:eastAsia="en-GB"/>
        </w:rPr>
        <w:t>is the</w:t>
      </w:r>
      <w:r w:rsidR="00E1264A" w:rsidRPr="002A5631">
        <w:rPr>
          <w:rFonts w:ascii="Arial" w:eastAsia="Times New Roman" w:hAnsi="Arial" w:cs="Arial"/>
          <w:sz w:val="24"/>
          <w:szCs w:val="24"/>
          <w:lang w:eastAsia="en-GB"/>
        </w:rPr>
        <w:t xml:space="preserve"> nature of the agreement entered into between </w:t>
      </w:r>
      <w:r w:rsidR="00890A8A" w:rsidRPr="002A5631">
        <w:rPr>
          <w:rFonts w:ascii="Arial" w:eastAsia="Times New Roman" w:hAnsi="Arial" w:cs="Arial"/>
          <w:sz w:val="24"/>
          <w:szCs w:val="24"/>
          <w:lang w:eastAsia="en-GB"/>
        </w:rPr>
        <w:t>the applicant</w:t>
      </w:r>
      <w:r w:rsidR="00E1264A" w:rsidRPr="002A5631">
        <w:rPr>
          <w:rFonts w:ascii="Arial" w:eastAsia="Times New Roman" w:hAnsi="Arial" w:cs="Arial"/>
          <w:sz w:val="24"/>
          <w:szCs w:val="24"/>
          <w:lang w:eastAsia="en-GB"/>
        </w:rPr>
        <w:t xml:space="preserve"> and the first respondent</w:t>
      </w:r>
      <w:r w:rsidR="00C66307">
        <w:rPr>
          <w:rFonts w:ascii="Arial" w:eastAsia="Times New Roman" w:hAnsi="Arial" w:cs="Arial"/>
          <w:sz w:val="24"/>
          <w:szCs w:val="24"/>
          <w:lang w:eastAsia="en-GB"/>
        </w:rPr>
        <w:t>,</w:t>
      </w:r>
      <w:r w:rsidR="00E1264A" w:rsidRPr="002A5631">
        <w:rPr>
          <w:rFonts w:ascii="Arial" w:eastAsia="Times New Roman" w:hAnsi="Arial" w:cs="Arial"/>
          <w:sz w:val="24"/>
          <w:szCs w:val="24"/>
          <w:lang w:eastAsia="en-GB"/>
        </w:rPr>
        <w:t xml:space="preserve"> whether it was valid in law and in conclusion, whether the applicant is entitled to any </w:t>
      </w:r>
      <w:r w:rsidR="00203DC6" w:rsidRPr="002A5631">
        <w:rPr>
          <w:rFonts w:ascii="Arial" w:eastAsia="Times New Roman" w:hAnsi="Arial" w:cs="Arial"/>
          <w:sz w:val="24"/>
          <w:szCs w:val="24"/>
          <w:lang w:eastAsia="en-GB"/>
        </w:rPr>
        <w:t>relief</w:t>
      </w:r>
      <w:r w:rsidR="0051640A" w:rsidRPr="002A5631">
        <w:rPr>
          <w:rFonts w:ascii="Arial" w:eastAsia="Times New Roman" w:hAnsi="Arial" w:cs="Arial"/>
          <w:sz w:val="24"/>
          <w:szCs w:val="24"/>
          <w:lang w:eastAsia="en-GB"/>
        </w:rPr>
        <w:t>.</w:t>
      </w:r>
      <w:r w:rsidR="00203DC6" w:rsidRPr="002A5631">
        <w:rPr>
          <w:rFonts w:ascii="Arial" w:eastAsia="Times New Roman" w:hAnsi="Arial" w:cs="Arial"/>
          <w:sz w:val="24"/>
          <w:szCs w:val="24"/>
          <w:lang w:eastAsia="en-GB"/>
        </w:rPr>
        <w:t xml:space="preserve"> Once</w:t>
      </w:r>
      <w:r w:rsidR="00E1264A" w:rsidRPr="002A5631">
        <w:rPr>
          <w:rFonts w:ascii="Arial" w:eastAsia="Times New Roman" w:hAnsi="Arial" w:cs="Arial"/>
          <w:sz w:val="24"/>
          <w:szCs w:val="24"/>
          <w:lang w:eastAsia="en-GB"/>
        </w:rPr>
        <w:t xml:space="preserve"> this has been determined</w:t>
      </w:r>
      <w:r w:rsidR="00DB6A97" w:rsidRPr="002A5631">
        <w:rPr>
          <w:rFonts w:ascii="Arial" w:eastAsia="Times New Roman" w:hAnsi="Arial" w:cs="Arial"/>
          <w:sz w:val="24"/>
          <w:szCs w:val="24"/>
          <w:lang w:eastAsia="en-GB"/>
        </w:rPr>
        <w:t>,</w:t>
      </w:r>
      <w:r w:rsidR="00E1264A" w:rsidRPr="002A5631">
        <w:rPr>
          <w:rFonts w:ascii="Arial" w:eastAsia="Times New Roman" w:hAnsi="Arial" w:cs="Arial"/>
          <w:sz w:val="24"/>
          <w:szCs w:val="24"/>
          <w:lang w:eastAsia="en-GB"/>
        </w:rPr>
        <w:t xml:space="preserve"> the relief sought in the counter</w:t>
      </w:r>
      <w:r w:rsidR="00DB6A97" w:rsidRPr="002A5631">
        <w:rPr>
          <w:rFonts w:ascii="Arial" w:eastAsia="Times New Roman" w:hAnsi="Arial" w:cs="Arial"/>
          <w:sz w:val="24"/>
          <w:szCs w:val="24"/>
          <w:lang w:eastAsia="en-GB"/>
        </w:rPr>
        <w:t>-application</w:t>
      </w:r>
      <w:r w:rsidR="00E1264A" w:rsidRPr="002A5631">
        <w:rPr>
          <w:rFonts w:ascii="Arial" w:eastAsia="Times New Roman" w:hAnsi="Arial" w:cs="Arial"/>
          <w:sz w:val="24"/>
          <w:szCs w:val="24"/>
          <w:lang w:eastAsia="en-GB"/>
        </w:rPr>
        <w:t xml:space="preserve"> will follow </w:t>
      </w:r>
      <w:r w:rsidR="00203DC6" w:rsidRPr="002A5631">
        <w:rPr>
          <w:rFonts w:ascii="Arial" w:eastAsia="Times New Roman" w:hAnsi="Arial" w:cs="Arial"/>
          <w:sz w:val="24"/>
          <w:szCs w:val="24"/>
          <w:lang w:eastAsia="en-GB"/>
        </w:rPr>
        <w:t>the result.</w:t>
      </w:r>
      <w:r w:rsidR="00E1264A" w:rsidRPr="002A5631">
        <w:rPr>
          <w:rFonts w:ascii="Arial" w:eastAsia="Times New Roman" w:hAnsi="Arial" w:cs="Arial"/>
          <w:sz w:val="24"/>
          <w:szCs w:val="24"/>
          <w:lang w:eastAsia="en-GB"/>
        </w:rPr>
        <w:t xml:space="preserve"> </w:t>
      </w:r>
    </w:p>
    <w:p w14:paraId="04330995" w14:textId="77777777" w:rsidR="00890A8A" w:rsidRPr="002A5631" w:rsidRDefault="00890A8A" w:rsidP="00A6674F">
      <w:pPr>
        <w:spacing w:after="0" w:line="360" w:lineRule="auto"/>
        <w:contextualSpacing/>
        <w:jc w:val="both"/>
        <w:rPr>
          <w:rFonts w:ascii="Arial" w:eastAsia="Times New Roman" w:hAnsi="Arial" w:cs="Arial"/>
          <w:sz w:val="24"/>
          <w:szCs w:val="24"/>
          <w:lang w:eastAsia="en-GB"/>
        </w:rPr>
      </w:pPr>
    </w:p>
    <w:p w14:paraId="32A3D84A" w14:textId="5891E177" w:rsidR="00890A8A" w:rsidRPr="002A5631" w:rsidRDefault="00890A8A"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b/>
          <w:bCs/>
          <w:sz w:val="24"/>
          <w:szCs w:val="24"/>
          <w:lang w:eastAsia="en-GB"/>
        </w:rPr>
        <w:t>Factual background</w:t>
      </w:r>
    </w:p>
    <w:p w14:paraId="1A5F7AC5" w14:textId="1828C37D" w:rsidR="000C1EA1"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8</w:t>
      </w:r>
      <w:r w:rsidR="00077E06"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890A8A" w:rsidRPr="002A5631">
        <w:rPr>
          <w:rFonts w:ascii="Arial" w:eastAsia="Times New Roman" w:hAnsi="Arial" w:cs="Arial"/>
          <w:sz w:val="24"/>
          <w:szCs w:val="24"/>
          <w:lang w:eastAsia="en-GB"/>
        </w:rPr>
        <w:t>The applicant</w:t>
      </w:r>
      <w:r w:rsidR="0051640A" w:rsidRPr="002A5631">
        <w:rPr>
          <w:rFonts w:ascii="Arial" w:eastAsia="Times New Roman" w:hAnsi="Arial" w:cs="Arial"/>
          <w:sz w:val="24"/>
          <w:szCs w:val="24"/>
          <w:lang w:eastAsia="en-GB"/>
        </w:rPr>
        <w:t xml:space="preserve"> stated in her affidavit that during 2009 and at </w:t>
      </w:r>
      <w:proofErr w:type="spellStart"/>
      <w:r w:rsidR="0051640A" w:rsidRPr="002A5631">
        <w:rPr>
          <w:rFonts w:ascii="Arial" w:eastAsia="Times New Roman" w:hAnsi="Arial" w:cs="Arial"/>
          <w:sz w:val="24"/>
          <w:szCs w:val="24"/>
          <w:lang w:eastAsia="en-GB"/>
        </w:rPr>
        <w:t>eTete</w:t>
      </w:r>
      <w:proofErr w:type="spellEnd"/>
      <w:r w:rsidR="0051640A" w:rsidRPr="002A5631">
        <w:rPr>
          <w:rFonts w:ascii="Arial" w:eastAsia="Times New Roman" w:hAnsi="Arial" w:cs="Arial"/>
          <w:sz w:val="24"/>
          <w:szCs w:val="24"/>
          <w:lang w:eastAsia="en-GB"/>
        </w:rPr>
        <w:t xml:space="preserve"> in KwaDukuza, she and the first respondent entered into an agreement in terms of which she bought Erf</w:t>
      </w:r>
      <w:r w:rsidR="004E2027" w:rsidRPr="002A5631">
        <w:rPr>
          <w:rFonts w:ascii="Arial" w:eastAsia="Times New Roman" w:hAnsi="Arial" w:cs="Arial"/>
          <w:sz w:val="24"/>
          <w:szCs w:val="24"/>
          <w:lang w:eastAsia="en-GB"/>
        </w:rPr>
        <w:t xml:space="preserve"> </w:t>
      </w:r>
      <w:r w:rsidR="00D12A2D">
        <w:rPr>
          <w:rFonts w:ascii="Arial" w:eastAsia="Times New Roman" w:hAnsi="Arial" w:cs="Arial"/>
          <w:sz w:val="24"/>
          <w:szCs w:val="24"/>
          <w:lang w:eastAsia="en-GB"/>
        </w:rPr>
        <w:t>[…]</w:t>
      </w:r>
      <w:r w:rsidR="0051640A" w:rsidRPr="002A5631">
        <w:rPr>
          <w:rFonts w:ascii="Arial" w:eastAsia="Times New Roman" w:hAnsi="Arial" w:cs="Arial"/>
          <w:sz w:val="24"/>
          <w:szCs w:val="24"/>
          <w:lang w:eastAsia="en-GB"/>
        </w:rPr>
        <w:t xml:space="preserve"> (the property)</w:t>
      </w:r>
      <w:r w:rsidR="00F2539D" w:rsidRPr="002A5631">
        <w:rPr>
          <w:rFonts w:ascii="Arial" w:eastAsia="Times New Roman" w:hAnsi="Arial" w:cs="Arial"/>
          <w:sz w:val="24"/>
          <w:szCs w:val="24"/>
          <w:lang w:eastAsia="en-GB"/>
        </w:rPr>
        <w:t xml:space="preserve">. </w:t>
      </w:r>
      <w:r w:rsidR="000C1EA1" w:rsidRPr="002A5631">
        <w:rPr>
          <w:rFonts w:ascii="Arial" w:eastAsia="Times New Roman" w:hAnsi="Arial" w:cs="Arial"/>
          <w:sz w:val="24"/>
          <w:szCs w:val="24"/>
          <w:lang w:eastAsia="en-GB"/>
        </w:rPr>
        <w:t xml:space="preserve">The purchase </w:t>
      </w:r>
      <w:r w:rsidR="00F2539D" w:rsidRPr="002A5631">
        <w:rPr>
          <w:rFonts w:ascii="Arial" w:eastAsia="Times New Roman" w:hAnsi="Arial" w:cs="Arial"/>
          <w:sz w:val="24"/>
          <w:szCs w:val="24"/>
          <w:lang w:eastAsia="en-GB"/>
        </w:rPr>
        <w:t>price was R12</w:t>
      </w:r>
      <w:r w:rsidR="00672ECC" w:rsidRPr="002A5631">
        <w:rPr>
          <w:rFonts w:ascii="Arial" w:eastAsia="Times New Roman" w:hAnsi="Arial" w:cs="Arial"/>
          <w:sz w:val="24"/>
          <w:szCs w:val="24"/>
          <w:lang w:eastAsia="en-GB"/>
        </w:rPr>
        <w:t> </w:t>
      </w:r>
      <w:r w:rsidR="00F2539D" w:rsidRPr="002A5631">
        <w:rPr>
          <w:rFonts w:ascii="Arial" w:eastAsia="Times New Roman" w:hAnsi="Arial" w:cs="Arial"/>
          <w:sz w:val="24"/>
          <w:szCs w:val="24"/>
          <w:lang w:eastAsia="en-GB"/>
        </w:rPr>
        <w:t>000, which was paid in cash in two tranches. An amount of R6</w:t>
      </w:r>
      <w:r w:rsidR="00672ECC" w:rsidRPr="002A5631">
        <w:rPr>
          <w:rFonts w:ascii="Arial" w:eastAsia="Times New Roman" w:hAnsi="Arial" w:cs="Arial"/>
          <w:sz w:val="24"/>
          <w:szCs w:val="24"/>
          <w:lang w:eastAsia="en-GB"/>
        </w:rPr>
        <w:t> </w:t>
      </w:r>
      <w:r w:rsidR="00F2539D" w:rsidRPr="002A5631">
        <w:rPr>
          <w:rFonts w:ascii="Arial" w:eastAsia="Times New Roman" w:hAnsi="Arial" w:cs="Arial"/>
          <w:sz w:val="24"/>
          <w:szCs w:val="24"/>
          <w:lang w:eastAsia="en-GB"/>
        </w:rPr>
        <w:t>000 was paid at first and thereafter the remaining R</w:t>
      </w:r>
      <w:r w:rsidR="000C1EA1" w:rsidRPr="002A5631">
        <w:rPr>
          <w:rFonts w:ascii="Arial" w:eastAsia="Times New Roman" w:hAnsi="Arial" w:cs="Arial"/>
          <w:sz w:val="24"/>
          <w:szCs w:val="24"/>
          <w:lang w:eastAsia="en-GB"/>
        </w:rPr>
        <w:t>6</w:t>
      </w:r>
      <w:r w:rsidR="00672ECC" w:rsidRPr="002A5631">
        <w:rPr>
          <w:rFonts w:ascii="Arial" w:eastAsia="Times New Roman" w:hAnsi="Arial" w:cs="Arial"/>
          <w:sz w:val="24"/>
          <w:szCs w:val="24"/>
          <w:lang w:eastAsia="en-GB"/>
        </w:rPr>
        <w:t> </w:t>
      </w:r>
      <w:r w:rsidR="000C1EA1" w:rsidRPr="002A5631">
        <w:rPr>
          <w:rFonts w:ascii="Arial" w:eastAsia="Times New Roman" w:hAnsi="Arial" w:cs="Arial"/>
          <w:sz w:val="24"/>
          <w:szCs w:val="24"/>
          <w:lang w:eastAsia="en-GB"/>
        </w:rPr>
        <w:t>000 was</w:t>
      </w:r>
      <w:r w:rsidR="00F2539D" w:rsidRPr="002A5631">
        <w:rPr>
          <w:rFonts w:ascii="Arial" w:eastAsia="Times New Roman" w:hAnsi="Arial" w:cs="Arial"/>
          <w:sz w:val="24"/>
          <w:szCs w:val="24"/>
          <w:lang w:eastAsia="en-GB"/>
        </w:rPr>
        <w:t xml:space="preserve"> paid over</w:t>
      </w:r>
      <w:r w:rsidR="000C1EA1" w:rsidRPr="002A5631">
        <w:rPr>
          <w:rFonts w:ascii="Arial" w:eastAsia="Times New Roman" w:hAnsi="Arial" w:cs="Arial"/>
          <w:sz w:val="24"/>
          <w:szCs w:val="24"/>
          <w:lang w:eastAsia="en-GB"/>
        </w:rPr>
        <w:t xml:space="preserve"> c</w:t>
      </w:r>
      <w:r w:rsidR="00F2539D" w:rsidRPr="002A5631">
        <w:rPr>
          <w:rFonts w:ascii="Arial" w:eastAsia="Times New Roman" w:hAnsi="Arial" w:cs="Arial"/>
          <w:sz w:val="24"/>
          <w:szCs w:val="24"/>
          <w:lang w:eastAsia="en-GB"/>
        </w:rPr>
        <w:t>onsecutive week</w:t>
      </w:r>
      <w:r w:rsidR="000C1EA1" w:rsidRPr="002A5631">
        <w:rPr>
          <w:rFonts w:ascii="Arial" w:eastAsia="Times New Roman" w:hAnsi="Arial" w:cs="Arial"/>
          <w:sz w:val="24"/>
          <w:szCs w:val="24"/>
          <w:lang w:eastAsia="en-GB"/>
        </w:rPr>
        <w:t>s.</w:t>
      </w:r>
    </w:p>
    <w:p w14:paraId="08F6BC72" w14:textId="6B00D7B0" w:rsidR="00F2632C" w:rsidRPr="002A5631" w:rsidRDefault="00F2539D" w:rsidP="00A6674F">
      <w:pPr>
        <w:spacing w:after="0" w:line="360" w:lineRule="auto"/>
        <w:contextualSpacing/>
        <w:jc w:val="both"/>
        <w:rPr>
          <w:rFonts w:ascii="Arial" w:eastAsia="Times New Roman" w:hAnsi="Arial" w:cs="Arial"/>
          <w:b/>
          <w:sz w:val="24"/>
          <w:szCs w:val="24"/>
          <w:lang w:eastAsia="en-GB"/>
        </w:rPr>
      </w:pPr>
      <w:r w:rsidRPr="002A5631">
        <w:rPr>
          <w:rFonts w:ascii="Arial" w:eastAsia="Times New Roman" w:hAnsi="Arial" w:cs="Arial"/>
          <w:sz w:val="24"/>
          <w:szCs w:val="24"/>
          <w:lang w:eastAsia="en-GB"/>
        </w:rPr>
        <w:t xml:space="preserve"> </w:t>
      </w:r>
      <w:r w:rsidR="00D71FDF" w:rsidRPr="002A5631">
        <w:rPr>
          <w:rFonts w:ascii="Arial" w:eastAsia="Times New Roman" w:hAnsi="Arial" w:cs="Arial"/>
          <w:sz w:val="24"/>
          <w:szCs w:val="24"/>
          <w:lang w:eastAsia="en-GB"/>
        </w:rPr>
        <w:tab/>
      </w:r>
    </w:p>
    <w:p w14:paraId="1DFEAD46" w14:textId="323B231A" w:rsidR="00F2632C"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9</w:t>
      </w:r>
      <w:r w:rsidR="00077E06"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0C1EA1" w:rsidRPr="002A5631">
        <w:rPr>
          <w:rFonts w:ascii="Arial" w:eastAsia="Times New Roman" w:hAnsi="Arial" w:cs="Arial"/>
          <w:sz w:val="24"/>
          <w:szCs w:val="24"/>
          <w:lang w:eastAsia="en-GB"/>
        </w:rPr>
        <w:t xml:space="preserve">The </w:t>
      </w:r>
      <w:r w:rsidR="007B0E63" w:rsidRPr="002A5631">
        <w:rPr>
          <w:rFonts w:ascii="Arial" w:eastAsia="Times New Roman" w:hAnsi="Arial" w:cs="Arial"/>
          <w:sz w:val="24"/>
          <w:szCs w:val="24"/>
          <w:lang w:eastAsia="en-GB"/>
        </w:rPr>
        <w:t>alleged</w:t>
      </w:r>
      <w:r w:rsidR="000C1EA1" w:rsidRPr="002A5631">
        <w:rPr>
          <w:rFonts w:ascii="Arial" w:eastAsia="Times New Roman" w:hAnsi="Arial" w:cs="Arial"/>
          <w:sz w:val="24"/>
          <w:szCs w:val="24"/>
          <w:lang w:eastAsia="en-GB"/>
        </w:rPr>
        <w:t xml:space="preserve"> sale agreement was concluded in the presence of Mrs </w:t>
      </w:r>
      <w:proofErr w:type="spellStart"/>
      <w:r w:rsidR="000C1EA1" w:rsidRPr="002A5631">
        <w:rPr>
          <w:rFonts w:ascii="Arial" w:eastAsia="Times New Roman" w:hAnsi="Arial" w:cs="Arial"/>
          <w:sz w:val="24"/>
          <w:szCs w:val="24"/>
          <w:lang w:eastAsia="en-GB"/>
        </w:rPr>
        <w:t>Khumbuleni</w:t>
      </w:r>
      <w:proofErr w:type="spellEnd"/>
      <w:r w:rsidR="000C1EA1" w:rsidRPr="002A5631">
        <w:rPr>
          <w:rFonts w:ascii="Arial" w:eastAsia="Times New Roman" w:hAnsi="Arial" w:cs="Arial"/>
          <w:sz w:val="24"/>
          <w:szCs w:val="24"/>
          <w:lang w:eastAsia="en-GB"/>
        </w:rPr>
        <w:t xml:space="preserve"> Irene </w:t>
      </w:r>
      <w:proofErr w:type="spellStart"/>
      <w:r w:rsidR="000C1EA1" w:rsidRPr="002A5631">
        <w:rPr>
          <w:rFonts w:ascii="Arial" w:eastAsia="Times New Roman" w:hAnsi="Arial" w:cs="Arial"/>
          <w:sz w:val="24"/>
          <w:szCs w:val="24"/>
          <w:lang w:eastAsia="en-GB"/>
        </w:rPr>
        <w:t>Hadebe</w:t>
      </w:r>
      <w:proofErr w:type="spellEnd"/>
      <w:r w:rsidR="000C1EA1" w:rsidRPr="002A5631">
        <w:rPr>
          <w:rFonts w:ascii="Arial" w:eastAsia="Times New Roman" w:hAnsi="Arial" w:cs="Arial"/>
          <w:sz w:val="24"/>
          <w:szCs w:val="24"/>
          <w:lang w:eastAsia="en-GB"/>
        </w:rPr>
        <w:t xml:space="preserve">, the first respondent’s mother, who is now deceased, and Mr </w:t>
      </w:r>
      <w:proofErr w:type="spellStart"/>
      <w:r w:rsidR="000C1EA1" w:rsidRPr="002A5631">
        <w:rPr>
          <w:rFonts w:ascii="Arial" w:eastAsia="Times New Roman" w:hAnsi="Arial" w:cs="Arial"/>
          <w:sz w:val="24"/>
          <w:szCs w:val="24"/>
          <w:lang w:eastAsia="en-GB"/>
        </w:rPr>
        <w:t>Themba</w:t>
      </w:r>
      <w:proofErr w:type="spellEnd"/>
      <w:r w:rsidR="000C1EA1" w:rsidRPr="002A5631">
        <w:rPr>
          <w:rFonts w:ascii="Arial" w:eastAsia="Times New Roman" w:hAnsi="Arial" w:cs="Arial"/>
          <w:sz w:val="24"/>
          <w:szCs w:val="24"/>
          <w:lang w:eastAsia="en-GB"/>
        </w:rPr>
        <w:t xml:space="preserve"> </w:t>
      </w:r>
      <w:proofErr w:type="spellStart"/>
      <w:r w:rsidR="000C1EA1" w:rsidRPr="002A5631">
        <w:rPr>
          <w:rFonts w:ascii="Arial" w:eastAsia="Times New Roman" w:hAnsi="Arial" w:cs="Arial"/>
          <w:sz w:val="24"/>
          <w:szCs w:val="24"/>
          <w:lang w:eastAsia="en-GB"/>
        </w:rPr>
        <w:t>Mbongeniseni</w:t>
      </w:r>
      <w:proofErr w:type="spellEnd"/>
      <w:r w:rsidR="000C1EA1" w:rsidRPr="002A5631">
        <w:rPr>
          <w:rFonts w:ascii="Arial" w:eastAsia="Times New Roman" w:hAnsi="Arial" w:cs="Arial"/>
          <w:sz w:val="24"/>
          <w:szCs w:val="24"/>
          <w:lang w:eastAsia="en-GB"/>
        </w:rPr>
        <w:t xml:space="preserve"> </w:t>
      </w:r>
      <w:proofErr w:type="spellStart"/>
      <w:r w:rsidR="000C1EA1" w:rsidRPr="002A5631">
        <w:rPr>
          <w:rFonts w:ascii="Arial" w:eastAsia="Times New Roman" w:hAnsi="Arial" w:cs="Arial"/>
          <w:sz w:val="24"/>
          <w:szCs w:val="24"/>
          <w:lang w:eastAsia="en-GB"/>
        </w:rPr>
        <w:t>Mthembu</w:t>
      </w:r>
      <w:proofErr w:type="spellEnd"/>
      <w:r w:rsidR="000C1EA1" w:rsidRPr="002A5631">
        <w:rPr>
          <w:rFonts w:ascii="Arial" w:eastAsia="Times New Roman" w:hAnsi="Arial" w:cs="Arial"/>
          <w:sz w:val="24"/>
          <w:szCs w:val="24"/>
          <w:lang w:eastAsia="en-GB"/>
        </w:rPr>
        <w:t>, the applicant’s husband</w:t>
      </w:r>
      <w:r w:rsidR="007B0E63" w:rsidRPr="002A5631">
        <w:rPr>
          <w:rFonts w:ascii="Arial" w:eastAsia="Times New Roman" w:hAnsi="Arial" w:cs="Arial"/>
          <w:sz w:val="24"/>
          <w:szCs w:val="24"/>
          <w:lang w:eastAsia="en-GB"/>
        </w:rPr>
        <w:t xml:space="preserve">. </w:t>
      </w:r>
      <w:r w:rsidR="00936345" w:rsidRPr="002A5631">
        <w:rPr>
          <w:rFonts w:ascii="Arial" w:eastAsia="Times New Roman" w:hAnsi="Arial" w:cs="Arial"/>
          <w:sz w:val="24"/>
          <w:szCs w:val="24"/>
          <w:lang w:eastAsia="en-GB"/>
        </w:rPr>
        <w:t xml:space="preserve">Mrs </w:t>
      </w:r>
      <w:proofErr w:type="spellStart"/>
      <w:r w:rsidR="00936345" w:rsidRPr="002A5631">
        <w:rPr>
          <w:rFonts w:ascii="Arial" w:eastAsia="Times New Roman" w:hAnsi="Arial" w:cs="Arial"/>
          <w:sz w:val="24"/>
          <w:szCs w:val="24"/>
          <w:lang w:eastAsia="en-GB"/>
        </w:rPr>
        <w:t>Hadebe</w:t>
      </w:r>
      <w:proofErr w:type="spellEnd"/>
      <w:r w:rsidR="00936345" w:rsidRPr="002A5631">
        <w:rPr>
          <w:rFonts w:ascii="Arial" w:eastAsia="Times New Roman" w:hAnsi="Arial" w:cs="Arial"/>
          <w:sz w:val="24"/>
          <w:szCs w:val="24"/>
          <w:lang w:eastAsia="en-GB"/>
        </w:rPr>
        <w:t xml:space="preserve"> allegedly introduced the applicant to the first respondent after she told the applicant that the first respondent </w:t>
      </w:r>
      <w:r w:rsidR="00936345" w:rsidRPr="002A5631">
        <w:rPr>
          <w:rFonts w:ascii="Arial" w:eastAsia="Times New Roman" w:hAnsi="Arial" w:cs="Arial"/>
          <w:sz w:val="24"/>
          <w:szCs w:val="24"/>
          <w:lang w:eastAsia="en-GB"/>
        </w:rPr>
        <w:lastRenderedPageBreak/>
        <w:t xml:space="preserve">was selling her </w:t>
      </w:r>
      <w:r w:rsidR="00471887" w:rsidRPr="002A5631">
        <w:rPr>
          <w:rFonts w:ascii="Arial" w:eastAsia="Times New Roman" w:hAnsi="Arial" w:cs="Arial"/>
          <w:sz w:val="24"/>
          <w:szCs w:val="24"/>
          <w:lang w:eastAsia="en-GB"/>
        </w:rPr>
        <w:t>property. The</w:t>
      </w:r>
      <w:r w:rsidR="007B0E63" w:rsidRPr="002A5631">
        <w:rPr>
          <w:rFonts w:ascii="Arial" w:eastAsia="Times New Roman" w:hAnsi="Arial" w:cs="Arial"/>
          <w:sz w:val="24"/>
          <w:szCs w:val="24"/>
          <w:lang w:eastAsia="en-GB"/>
        </w:rPr>
        <w:t xml:space="preserve"> applicant </w:t>
      </w:r>
      <w:r w:rsidR="00720498" w:rsidRPr="002A5631">
        <w:rPr>
          <w:rFonts w:ascii="Arial" w:eastAsia="Times New Roman" w:hAnsi="Arial" w:cs="Arial"/>
          <w:sz w:val="24"/>
          <w:szCs w:val="24"/>
          <w:lang w:eastAsia="en-GB"/>
        </w:rPr>
        <w:t>allege</w:t>
      </w:r>
      <w:r w:rsidR="00720498">
        <w:rPr>
          <w:rFonts w:ascii="Arial" w:eastAsia="Times New Roman" w:hAnsi="Arial" w:cs="Arial"/>
          <w:sz w:val="24"/>
          <w:szCs w:val="24"/>
          <w:lang w:eastAsia="en-GB"/>
        </w:rPr>
        <w:t>d</w:t>
      </w:r>
      <w:r w:rsidR="00720498" w:rsidRPr="002A5631">
        <w:rPr>
          <w:rFonts w:ascii="Arial" w:eastAsia="Times New Roman" w:hAnsi="Arial" w:cs="Arial"/>
          <w:sz w:val="24"/>
          <w:szCs w:val="24"/>
          <w:lang w:eastAsia="en-GB"/>
        </w:rPr>
        <w:t xml:space="preserve"> </w:t>
      </w:r>
      <w:r w:rsidR="007B0E63" w:rsidRPr="002A5631">
        <w:rPr>
          <w:rFonts w:ascii="Arial" w:eastAsia="Times New Roman" w:hAnsi="Arial" w:cs="Arial"/>
          <w:sz w:val="24"/>
          <w:szCs w:val="24"/>
          <w:lang w:eastAsia="en-GB"/>
        </w:rPr>
        <w:t xml:space="preserve">further that it was agreed between her and the first respondent that transfer of the ownership and registration of the property ‘shall take effect after a period of five </w:t>
      </w:r>
      <w:r w:rsidR="00471887" w:rsidRPr="002A5631">
        <w:rPr>
          <w:rFonts w:ascii="Arial" w:eastAsia="Times New Roman" w:hAnsi="Arial" w:cs="Arial"/>
          <w:sz w:val="24"/>
          <w:szCs w:val="24"/>
          <w:lang w:eastAsia="en-GB"/>
        </w:rPr>
        <w:t>years</w:t>
      </w:r>
      <w:r w:rsidR="00A04620" w:rsidRPr="002A5631">
        <w:rPr>
          <w:rFonts w:ascii="Arial" w:eastAsia="Times New Roman" w:hAnsi="Arial" w:cs="Arial"/>
          <w:sz w:val="24"/>
          <w:szCs w:val="24"/>
          <w:lang w:eastAsia="en-GB"/>
        </w:rPr>
        <w:t>’.</w:t>
      </w:r>
      <w:r w:rsidR="006C56BF" w:rsidRPr="002A5631">
        <w:rPr>
          <w:rFonts w:ascii="Arial" w:eastAsia="Times New Roman" w:hAnsi="Arial" w:cs="Arial"/>
          <w:sz w:val="24"/>
          <w:szCs w:val="24"/>
          <w:lang w:eastAsia="en-GB"/>
        </w:rPr>
        <w:t xml:space="preserve"> </w:t>
      </w:r>
      <w:r w:rsidR="006B5EC8" w:rsidRPr="002A5631">
        <w:rPr>
          <w:rFonts w:ascii="Arial" w:eastAsia="Times New Roman" w:hAnsi="Arial" w:cs="Arial"/>
          <w:sz w:val="24"/>
          <w:szCs w:val="24"/>
          <w:lang w:eastAsia="en-GB"/>
        </w:rPr>
        <w:t xml:space="preserve">It was also allegedly agreed that the sale agreement was to be signed by the applicant and the first respondent after the expiry of the </w:t>
      </w:r>
      <w:r w:rsidR="006F6FA3" w:rsidRPr="002A5631">
        <w:rPr>
          <w:rFonts w:ascii="Arial" w:eastAsia="Times New Roman" w:hAnsi="Arial" w:cs="Arial"/>
          <w:sz w:val="24"/>
          <w:szCs w:val="24"/>
          <w:lang w:eastAsia="en-GB"/>
        </w:rPr>
        <w:t>five-year</w:t>
      </w:r>
      <w:r w:rsidR="006B5EC8" w:rsidRPr="002A5631">
        <w:rPr>
          <w:rFonts w:ascii="Arial" w:eastAsia="Times New Roman" w:hAnsi="Arial" w:cs="Arial"/>
          <w:sz w:val="24"/>
          <w:szCs w:val="24"/>
          <w:lang w:eastAsia="en-GB"/>
        </w:rPr>
        <w:t xml:space="preserve"> period.</w:t>
      </w:r>
      <w:r w:rsidR="006F6FA3" w:rsidRPr="002A5631">
        <w:rPr>
          <w:rFonts w:ascii="Arial" w:eastAsia="Times New Roman" w:hAnsi="Arial" w:cs="Arial"/>
          <w:sz w:val="24"/>
          <w:szCs w:val="24"/>
          <w:lang w:eastAsia="en-GB"/>
        </w:rPr>
        <w:t xml:space="preserve"> The reason for the five-year waiting period was apparently </w:t>
      </w:r>
      <w:r w:rsidR="00720498">
        <w:rPr>
          <w:rFonts w:ascii="Arial" w:eastAsia="Times New Roman" w:hAnsi="Arial" w:cs="Arial"/>
          <w:sz w:val="24"/>
          <w:szCs w:val="24"/>
          <w:lang w:eastAsia="en-GB"/>
        </w:rPr>
        <w:t>due to</w:t>
      </w:r>
      <w:r w:rsidR="00720498" w:rsidRPr="002A5631">
        <w:rPr>
          <w:rFonts w:ascii="Arial" w:eastAsia="Times New Roman" w:hAnsi="Arial" w:cs="Arial"/>
          <w:sz w:val="24"/>
          <w:szCs w:val="24"/>
          <w:lang w:eastAsia="en-GB"/>
        </w:rPr>
        <w:t xml:space="preserve"> </w:t>
      </w:r>
      <w:r w:rsidR="006F6FA3" w:rsidRPr="002A5631">
        <w:rPr>
          <w:rFonts w:ascii="Arial" w:eastAsia="Times New Roman" w:hAnsi="Arial" w:cs="Arial"/>
          <w:sz w:val="24"/>
          <w:szCs w:val="24"/>
          <w:lang w:eastAsia="en-GB"/>
        </w:rPr>
        <w:t xml:space="preserve">the property </w:t>
      </w:r>
      <w:r w:rsidR="00720498">
        <w:rPr>
          <w:rFonts w:ascii="Arial" w:eastAsia="Times New Roman" w:hAnsi="Arial" w:cs="Arial"/>
          <w:sz w:val="24"/>
          <w:szCs w:val="24"/>
          <w:lang w:eastAsia="en-GB"/>
        </w:rPr>
        <w:t>being</w:t>
      </w:r>
      <w:r w:rsidR="00720498" w:rsidRPr="002A5631">
        <w:rPr>
          <w:rFonts w:ascii="Arial" w:eastAsia="Times New Roman" w:hAnsi="Arial" w:cs="Arial"/>
          <w:sz w:val="24"/>
          <w:szCs w:val="24"/>
          <w:lang w:eastAsia="en-GB"/>
        </w:rPr>
        <w:t xml:space="preserve"> </w:t>
      </w:r>
      <w:r w:rsidR="006F6FA3" w:rsidRPr="002A5631">
        <w:rPr>
          <w:rFonts w:ascii="Arial" w:eastAsia="Times New Roman" w:hAnsi="Arial" w:cs="Arial"/>
          <w:sz w:val="24"/>
          <w:szCs w:val="24"/>
          <w:lang w:eastAsia="en-GB"/>
        </w:rPr>
        <w:t>a so</w:t>
      </w:r>
      <w:r w:rsidR="006C56BF" w:rsidRPr="002A5631">
        <w:rPr>
          <w:rFonts w:ascii="Arial" w:eastAsia="Times New Roman" w:hAnsi="Arial" w:cs="Arial"/>
          <w:sz w:val="24"/>
          <w:szCs w:val="24"/>
          <w:lang w:eastAsia="en-GB"/>
        </w:rPr>
        <w:t>-</w:t>
      </w:r>
      <w:r w:rsidR="006F6FA3" w:rsidRPr="002A5631">
        <w:rPr>
          <w:rFonts w:ascii="Arial" w:eastAsia="Times New Roman" w:hAnsi="Arial" w:cs="Arial"/>
          <w:sz w:val="24"/>
          <w:szCs w:val="24"/>
          <w:lang w:eastAsia="en-GB"/>
        </w:rPr>
        <w:t>called subsidised low cost house</w:t>
      </w:r>
      <w:r w:rsidR="004C5B8F">
        <w:rPr>
          <w:rFonts w:ascii="Arial" w:eastAsia="Times New Roman" w:hAnsi="Arial" w:cs="Arial"/>
          <w:sz w:val="24"/>
          <w:szCs w:val="24"/>
          <w:lang w:eastAsia="en-GB"/>
        </w:rPr>
        <w:t>,</w:t>
      </w:r>
      <w:r w:rsidR="006F6FA3" w:rsidRPr="002A5631">
        <w:rPr>
          <w:rFonts w:ascii="Arial" w:eastAsia="Times New Roman" w:hAnsi="Arial" w:cs="Arial"/>
          <w:sz w:val="24"/>
          <w:szCs w:val="24"/>
          <w:lang w:eastAsia="en-GB"/>
        </w:rPr>
        <w:t xml:space="preserve"> which could not be disposed of within the five</w:t>
      </w:r>
      <w:r w:rsidR="00720498">
        <w:rPr>
          <w:rFonts w:ascii="Arial" w:eastAsia="Times New Roman" w:hAnsi="Arial" w:cs="Arial"/>
          <w:sz w:val="24"/>
          <w:szCs w:val="24"/>
          <w:lang w:eastAsia="en-GB"/>
        </w:rPr>
        <w:t>-</w:t>
      </w:r>
      <w:r w:rsidR="006F6FA3" w:rsidRPr="002A5631">
        <w:rPr>
          <w:rFonts w:ascii="Arial" w:eastAsia="Times New Roman" w:hAnsi="Arial" w:cs="Arial"/>
          <w:sz w:val="24"/>
          <w:szCs w:val="24"/>
          <w:lang w:eastAsia="en-GB"/>
        </w:rPr>
        <w:t>year period.</w:t>
      </w:r>
    </w:p>
    <w:p w14:paraId="77F130F3" w14:textId="77777777" w:rsidR="00F2632C" w:rsidRPr="002A5631" w:rsidRDefault="00F2632C" w:rsidP="00A6674F">
      <w:pPr>
        <w:spacing w:after="0" w:line="360" w:lineRule="auto"/>
        <w:contextualSpacing/>
        <w:jc w:val="both"/>
        <w:rPr>
          <w:rFonts w:ascii="Arial" w:eastAsia="Times New Roman" w:hAnsi="Arial" w:cs="Arial"/>
          <w:sz w:val="24"/>
          <w:szCs w:val="24"/>
          <w:lang w:eastAsia="en-GB"/>
        </w:rPr>
      </w:pPr>
    </w:p>
    <w:p w14:paraId="510FB057" w14:textId="0A932BEE" w:rsidR="00F2632C"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10</w:t>
      </w:r>
      <w:r w:rsidR="00F94ADE"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6F6FA3" w:rsidRPr="002A5631">
        <w:rPr>
          <w:rFonts w:ascii="Arial" w:eastAsia="Times New Roman" w:hAnsi="Arial" w:cs="Arial"/>
          <w:sz w:val="24"/>
          <w:szCs w:val="24"/>
          <w:lang w:eastAsia="en-GB"/>
        </w:rPr>
        <w:t xml:space="preserve">It therefore appears that the applicant and the first respondent had agreed to enter into an </w:t>
      </w:r>
      <w:r w:rsidR="00936345" w:rsidRPr="002A5631">
        <w:rPr>
          <w:rFonts w:ascii="Arial" w:eastAsia="Times New Roman" w:hAnsi="Arial" w:cs="Arial"/>
          <w:sz w:val="24"/>
          <w:szCs w:val="24"/>
          <w:lang w:eastAsia="en-GB"/>
        </w:rPr>
        <w:t>agreement</w:t>
      </w:r>
      <w:r w:rsidR="006F6FA3" w:rsidRPr="002A5631">
        <w:rPr>
          <w:rFonts w:ascii="Arial" w:eastAsia="Times New Roman" w:hAnsi="Arial" w:cs="Arial"/>
          <w:sz w:val="24"/>
          <w:szCs w:val="24"/>
          <w:lang w:eastAsia="en-GB"/>
        </w:rPr>
        <w:t xml:space="preserve"> </w:t>
      </w:r>
      <w:r w:rsidR="00936345" w:rsidRPr="002A5631">
        <w:rPr>
          <w:rFonts w:ascii="Arial" w:eastAsia="Times New Roman" w:hAnsi="Arial" w:cs="Arial"/>
          <w:sz w:val="24"/>
          <w:szCs w:val="24"/>
          <w:lang w:eastAsia="en-GB"/>
        </w:rPr>
        <w:t>after a period of five years.</w:t>
      </w:r>
      <w:r w:rsidR="00F94ADE" w:rsidRPr="002A5631">
        <w:rPr>
          <w:rFonts w:ascii="Arial" w:eastAsia="Times New Roman" w:hAnsi="Arial" w:cs="Arial"/>
          <w:sz w:val="24"/>
          <w:szCs w:val="24"/>
          <w:lang w:eastAsia="en-GB"/>
        </w:rPr>
        <w:tab/>
      </w:r>
    </w:p>
    <w:p w14:paraId="7F0DB49C" w14:textId="171CB67E" w:rsidR="00F94ADE" w:rsidRPr="002A5631" w:rsidRDefault="00F94ADE" w:rsidP="00A6674F">
      <w:pPr>
        <w:spacing w:after="0" w:line="360" w:lineRule="auto"/>
        <w:contextualSpacing/>
        <w:jc w:val="both"/>
        <w:rPr>
          <w:rFonts w:ascii="Arial" w:eastAsia="Times New Roman" w:hAnsi="Arial" w:cs="Arial"/>
          <w:sz w:val="24"/>
          <w:szCs w:val="24"/>
          <w:lang w:eastAsia="en-GB"/>
        </w:rPr>
      </w:pPr>
    </w:p>
    <w:p w14:paraId="6B6EAAE5" w14:textId="6EA522BC" w:rsidR="007C34B2"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471887"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1</w:t>
      </w:r>
      <w:r w:rsidR="004D72A1"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8A6445" w:rsidRPr="002A5631">
        <w:rPr>
          <w:rFonts w:ascii="Arial" w:eastAsia="Times New Roman" w:hAnsi="Arial" w:cs="Arial"/>
          <w:sz w:val="24"/>
          <w:szCs w:val="24"/>
          <w:lang w:eastAsia="en-GB"/>
        </w:rPr>
        <w:t xml:space="preserve">The applicant </w:t>
      </w:r>
      <w:r w:rsidR="00DA48B0" w:rsidRPr="002A5631">
        <w:rPr>
          <w:rFonts w:ascii="Arial" w:eastAsia="Times New Roman" w:hAnsi="Arial" w:cs="Arial"/>
          <w:sz w:val="24"/>
          <w:szCs w:val="24"/>
          <w:lang w:eastAsia="en-GB"/>
        </w:rPr>
        <w:t>allege</w:t>
      </w:r>
      <w:r w:rsidR="00DA48B0">
        <w:rPr>
          <w:rFonts w:ascii="Arial" w:eastAsia="Times New Roman" w:hAnsi="Arial" w:cs="Arial"/>
          <w:sz w:val="24"/>
          <w:szCs w:val="24"/>
          <w:lang w:eastAsia="en-GB"/>
        </w:rPr>
        <w:t>d</w:t>
      </w:r>
      <w:r w:rsidR="00DA48B0" w:rsidRPr="002A5631">
        <w:rPr>
          <w:rFonts w:ascii="Arial" w:eastAsia="Times New Roman" w:hAnsi="Arial" w:cs="Arial"/>
          <w:sz w:val="24"/>
          <w:szCs w:val="24"/>
          <w:lang w:eastAsia="en-GB"/>
        </w:rPr>
        <w:t xml:space="preserve"> </w:t>
      </w:r>
      <w:r w:rsidR="008A6445" w:rsidRPr="002A5631">
        <w:rPr>
          <w:rFonts w:ascii="Arial" w:eastAsia="Times New Roman" w:hAnsi="Arial" w:cs="Arial"/>
          <w:sz w:val="24"/>
          <w:szCs w:val="24"/>
          <w:lang w:eastAsia="en-GB"/>
        </w:rPr>
        <w:t xml:space="preserve">that after she </w:t>
      </w:r>
      <w:r w:rsidR="00BA44C4" w:rsidRPr="002A5631">
        <w:rPr>
          <w:rFonts w:ascii="Arial" w:eastAsia="Times New Roman" w:hAnsi="Arial" w:cs="Arial"/>
          <w:sz w:val="24"/>
          <w:szCs w:val="24"/>
          <w:lang w:eastAsia="en-GB"/>
        </w:rPr>
        <w:t xml:space="preserve">paid </w:t>
      </w:r>
      <w:r w:rsidR="008A6445" w:rsidRPr="002A5631">
        <w:rPr>
          <w:rFonts w:ascii="Arial" w:eastAsia="Times New Roman" w:hAnsi="Arial" w:cs="Arial"/>
          <w:sz w:val="24"/>
          <w:szCs w:val="24"/>
          <w:lang w:eastAsia="en-GB"/>
        </w:rPr>
        <w:t xml:space="preserve">the purchase price, the first respondent </w:t>
      </w:r>
      <w:r w:rsidR="008B69B1" w:rsidRPr="002A5631">
        <w:rPr>
          <w:rFonts w:ascii="Arial" w:eastAsia="Times New Roman" w:hAnsi="Arial" w:cs="Arial"/>
          <w:sz w:val="24"/>
          <w:szCs w:val="24"/>
          <w:lang w:eastAsia="en-GB"/>
        </w:rPr>
        <w:t>handed</w:t>
      </w:r>
      <w:r w:rsidR="008A6445" w:rsidRPr="002A5631">
        <w:rPr>
          <w:rFonts w:ascii="Arial" w:eastAsia="Times New Roman" w:hAnsi="Arial" w:cs="Arial"/>
          <w:sz w:val="24"/>
          <w:szCs w:val="24"/>
          <w:lang w:eastAsia="en-GB"/>
        </w:rPr>
        <w:t xml:space="preserve"> the original title deed of grant as well as the keys of the property to her. She</w:t>
      </w:r>
      <w:r w:rsidR="00BA44C4" w:rsidRPr="002A5631">
        <w:rPr>
          <w:rFonts w:ascii="Arial" w:eastAsia="Times New Roman" w:hAnsi="Arial" w:cs="Arial"/>
          <w:sz w:val="24"/>
          <w:szCs w:val="24"/>
          <w:lang w:eastAsia="en-GB"/>
        </w:rPr>
        <w:t>, however,</w:t>
      </w:r>
      <w:r w:rsidR="008A6445" w:rsidRPr="002A5631">
        <w:rPr>
          <w:rFonts w:ascii="Arial" w:eastAsia="Times New Roman" w:hAnsi="Arial" w:cs="Arial"/>
          <w:sz w:val="24"/>
          <w:szCs w:val="24"/>
          <w:lang w:eastAsia="en-GB"/>
        </w:rPr>
        <w:t xml:space="preserve"> did not take physical occupation of the property because she wanted to allow the </w:t>
      </w:r>
      <w:r w:rsidR="00C140D1" w:rsidRPr="002A5631">
        <w:rPr>
          <w:rFonts w:ascii="Arial" w:eastAsia="Times New Roman" w:hAnsi="Arial" w:cs="Arial"/>
          <w:sz w:val="24"/>
          <w:szCs w:val="24"/>
          <w:lang w:eastAsia="en-GB"/>
        </w:rPr>
        <w:t>five-year</w:t>
      </w:r>
      <w:r w:rsidR="008A6445" w:rsidRPr="002A5631">
        <w:rPr>
          <w:rFonts w:ascii="Arial" w:eastAsia="Times New Roman" w:hAnsi="Arial" w:cs="Arial"/>
          <w:sz w:val="24"/>
          <w:szCs w:val="24"/>
          <w:lang w:eastAsia="en-GB"/>
        </w:rPr>
        <w:t xml:space="preserve"> period to expire.</w:t>
      </w:r>
      <w:r w:rsidR="004D72A1" w:rsidRPr="002A5631">
        <w:rPr>
          <w:rFonts w:ascii="Arial" w:eastAsia="Times New Roman" w:hAnsi="Arial" w:cs="Arial"/>
          <w:sz w:val="24"/>
          <w:szCs w:val="24"/>
          <w:lang w:eastAsia="en-GB"/>
        </w:rPr>
        <w:tab/>
      </w:r>
    </w:p>
    <w:p w14:paraId="13C6490A" w14:textId="77777777" w:rsidR="007C34B2" w:rsidRPr="002A5631" w:rsidRDefault="007C34B2" w:rsidP="00A6674F">
      <w:pPr>
        <w:spacing w:after="0" w:line="360" w:lineRule="auto"/>
        <w:contextualSpacing/>
        <w:jc w:val="both"/>
        <w:rPr>
          <w:rFonts w:ascii="Arial" w:eastAsia="Times New Roman" w:hAnsi="Arial" w:cs="Arial"/>
          <w:sz w:val="24"/>
          <w:szCs w:val="24"/>
          <w:lang w:eastAsia="en-GB"/>
        </w:rPr>
      </w:pPr>
    </w:p>
    <w:p w14:paraId="5167A483" w14:textId="271F8508" w:rsidR="005D2749" w:rsidRPr="002A5631" w:rsidRDefault="00E92787"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E1264A"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2</w:t>
      </w:r>
      <w:r w:rsidR="00F94ADE"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D63166" w:rsidRPr="002A5631">
        <w:rPr>
          <w:rFonts w:ascii="Arial" w:eastAsia="Times New Roman" w:hAnsi="Arial" w:cs="Arial"/>
          <w:sz w:val="24"/>
          <w:szCs w:val="24"/>
          <w:lang w:eastAsia="en-GB"/>
        </w:rPr>
        <w:t xml:space="preserve">The applicant alleged that she approached the first respondent upon the expiry of the </w:t>
      </w:r>
      <w:r w:rsidR="00C140D1" w:rsidRPr="002A5631">
        <w:rPr>
          <w:rFonts w:ascii="Arial" w:eastAsia="Times New Roman" w:hAnsi="Arial" w:cs="Arial"/>
          <w:sz w:val="24"/>
          <w:szCs w:val="24"/>
          <w:lang w:eastAsia="en-GB"/>
        </w:rPr>
        <w:t>five-year</w:t>
      </w:r>
      <w:r w:rsidR="00696B5E" w:rsidRPr="002A5631">
        <w:rPr>
          <w:rFonts w:ascii="Arial" w:eastAsia="Times New Roman" w:hAnsi="Arial" w:cs="Arial"/>
          <w:sz w:val="24"/>
          <w:szCs w:val="24"/>
          <w:lang w:eastAsia="en-GB"/>
        </w:rPr>
        <w:t xml:space="preserve"> period </w:t>
      </w:r>
      <w:r w:rsidR="0075216F" w:rsidRPr="002A5631">
        <w:rPr>
          <w:rFonts w:ascii="Arial" w:eastAsia="Times New Roman" w:hAnsi="Arial" w:cs="Arial"/>
          <w:sz w:val="24"/>
          <w:szCs w:val="24"/>
          <w:lang w:eastAsia="en-GB"/>
        </w:rPr>
        <w:t xml:space="preserve">in </w:t>
      </w:r>
      <w:r w:rsidR="00D63166" w:rsidRPr="002A5631">
        <w:rPr>
          <w:rFonts w:ascii="Arial" w:eastAsia="Times New Roman" w:hAnsi="Arial" w:cs="Arial"/>
          <w:sz w:val="24"/>
          <w:szCs w:val="24"/>
          <w:lang w:eastAsia="en-GB"/>
        </w:rPr>
        <w:t>2014 in order to fin</w:t>
      </w:r>
      <w:r w:rsidR="000A314E" w:rsidRPr="002A5631">
        <w:rPr>
          <w:rFonts w:ascii="Arial" w:eastAsia="Times New Roman" w:hAnsi="Arial" w:cs="Arial"/>
          <w:sz w:val="24"/>
          <w:szCs w:val="24"/>
          <w:lang w:eastAsia="en-GB"/>
        </w:rPr>
        <w:t xml:space="preserve">alise the </w:t>
      </w:r>
      <w:r w:rsidR="00D63166" w:rsidRPr="002A5631">
        <w:rPr>
          <w:rFonts w:ascii="Arial" w:eastAsia="Times New Roman" w:hAnsi="Arial" w:cs="Arial"/>
          <w:sz w:val="24"/>
          <w:szCs w:val="24"/>
          <w:lang w:eastAsia="en-GB"/>
        </w:rPr>
        <w:t>registration of the transfer of the property into her name. The first respondent allegedly refused to sign the purchase and sale agreement</w:t>
      </w:r>
      <w:r w:rsidR="00BA44C4" w:rsidRPr="002A5631">
        <w:rPr>
          <w:rFonts w:ascii="Arial" w:eastAsia="Times New Roman" w:hAnsi="Arial" w:cs="Arial"/>
          <w:sz w:val="24"/>
          <w:szCs w:val="24"/>
          <w:lang w:eastAsia="en-GB"/>
        </w:rPr>
        <w:t>,</w:t>
      </w:r>
      <w:r w:rsidR="00D63166" w:rsidRPr="002A5631">
        <w:rPr>
          <w:rFonts w:ascii="Arial" w:eastAsia="Times New Roman" w:hAnsi="Arial" w:cs="Arial"/>
          <w:sz w:val="24"/>
          <w:szCs w:val="24"/>
          <w:lang w:eastAsia="en-GB"/>
        </w:rPr>
        <w:t xml:space="preserve"> despite being requested to do so by the </w:t>
      </w:r>
      <w:r w:rsidR="00CD537D" w:rsidRPr="002A5631">
        <w:rPr>
          <w:rFonts w:ascii="Arial" w:eastAsia="Times New Roman" w:hAnsi="Arial" w:cs="Arial"/>
          <w:sz w:val="24"/>
          <w:szCs w:val="24"/>
          <w:lang w:eastAsia="en-GB"/>
        </w:rPr>
        <w:t xml:space="preserve">applicant’s </w:t>
      </w:r>
      <w:r w:rsidR="00D63166" w:rsidRPr="002A5631">
        <w:rPr>
          <w:rFonts w:ascii="Arial" w:eastAsia="Times New Roman" w:hAnsi="Arial" w:cs="Arial"/>
          <w:sz w:val="24"/>
          <w:szCs w:val="24"/>
          <w:lang w:eastAsia="en-GB"/>
        </w:rPr>
        <w:t xml:space="preserve">erstwhile attorneys, </w:t>
      </w:r>
      <w:r w:rsidR="000F7831" w:rsidRPr="002A5631">
        <w:rPr>
          <w:rFonts w:ascii="Arial" w:eastAsia="Times New Roman" w:hAnsi="Arial" w:cs="Arial"/>
          <w:sz w:val="24"/>
          <w:szCs w:val="24"/>
          <w:lang w:eastAsia="en-GB"/>
        </w:rPr>
        <w:t xml:space="preserve">Nadine </w:t>
      </w:r>
      <w:proofErr w:type="spellStart"/>
      <w:r w:rsidR="000F7831" w:rsidRPr="002A5631">
        <w:rPr>
          <w:rFonts w:ascii="Arial" w:eastAsia="Times New Roman" w:hAnsi="Arial" w:cs="Arial"/>
          <w:sz w:val="24"/>
          <w:szCs w:val="24"/>
          <w:lang w:eastAsia="en-GB"/>
        </w:rPr>
        <w:t>Perumal</w:t>
      </w:r>
      <w:proofErr w:type="spellEnd"/>
      <w:r w:rsidR="000F7831" w:rsidRPr="002A5631">
        <w:rPr>
          <w:rFonts w:ascii="Arial" w:eastAsia="Times New Roman" w:hAnsi="Arial" w:cs="Arial"/>
          <w:sz w:val="24"/>
          <w:szCs w:val="24"/>
          <w:lang w:eastAsia="en-GB"/>
        </w:rPr>
        <w:t xml:space="preserve"> Attorneys</w:t>
      </w:r>
      <w:r w:rsidR="0075216F" w:rsidRPr="002A5631">
        <w:rPr>
          <w:rFonts w:ascii="Arial" w:eastAsia="Times New Roman" w:hAnsi="Arial" w:cs="Arial"/>
          <w:sz w:val="24"/>
          <w:szCs w:val="24"/>
          <w:lang w:eastAsia="en-GB"/>
        </w:rPr>
        <w:t xml:space="preserve">. The sale agreement was not attached to the </w:t>
      </w:r>
      <w:r w:rsidR="004D7BCA" w:rsidRPr="002A5631">
        <w:rPr>
          <w:rFonts w:ascii="Arial" w:eastAsia="Times New Roman" w:hAnsi="Arial" w:cs="Arial"/>
          <w:sz w:val="24"/>
          <w:szCs w:val="24"/>
          <w:lang w:eastAsia="en-GB"/>
        </w:rPr>
        <w:t xml:space="preserve">applicant’s affidavit </w:t>
      </w:r>
      <w:r w:rsidR="0075216F" w:rsidRPr="002A5631">
        <w:rPr>
          <w:rFonts w:ascii="Arial" w:eastAsia="Times New Roman" w:hAnsi="Arial" w:cs="Arial"/>
          <w:sz w:val="24"/>
          <w:szCs w:val="24"/>
          <w:lang w:eastAsia="en-GB"/>
        </w:rPr>
        <w:t>nor was any</w:t>
      </w:r>
      <w:r w:rsidR="00A637C4" w:rsidRPr="002A5631">
        <w:rPr>
          <w:rFonts w:ascii="Arial" w:eastAsia="Times New Roman" w:hAnsi="Arial" w:cs="Arial"/>
          <w:sz w:val="24"/>
          <w:szCs w:val="24"/>
          <w:lang w:eastAsia="en-GB"/>
        </w:rPr>
        <w:t xml:space="preserve"> </w:t>
      </w:r>
      <w:r w:rsidR="0075216F" w:rsidRPr="002A5631">
        <w:rPr>
          <w:rFonts w:ascii="Arial" w:eastAsia="Times New Roman" w:hAnsi="Arial" w:cs="Arial"/>
          <w:sz w:val="24"/>
          <w:szCs w:val="24"/>
          <w:lang w:eastAsia="en-GB"/>
        </w:rPr>
        <w:t>confirmatory affidavit by the attorneys.</w:t>
      </w:r>
      <w:r w:rsidR="007C34B2" w:rsidRPr="002A5631">
        <w:rPr>
          <w:rFonts w:ascii="Arial" w:eastAsia="Times New Roman" w:hAnsi="Arial" w:cs="Arial"/>
          <w:sz w:val="24"/>
          <w:szCs w:val="24"/>
          <w:lang w:eastAsia="en-GB"/>
        </w:rPr>
        <w:t xml:space="preserve"> </w:t>
      </w:r>
    </w:p>
    <w:p w14:paraId="4907E1D7" w14:textId="77777777" w:rsidR="005D2749" w:rsidRPr="002A5631" w:rsidRDefault="005D2749" w:rsidP="00A6674F">
      <w:pPr>
        <w:spacing w:after="0" w:line="360" w:lineRule="auto"/>
        <w:contextualSpacing/>
        <w:jc w:val="both"/>
        <w:rPr>
          <w:rFonts w:ascii="Arial" w:eastAsia="Times New Roman" w:hAnsi="Arial" w:cs="Arial"/>
          <w:sz w:val="24"/>
          <w:szCs w:val="24"/>
          <w:lang w:eastAsia="en-GB"/>
        </w:rPr>
      </w:pPr>
    </w:p>
    <w:p w14:paraId="7BEBAC8A" w14:textId="7F3F538D" w:rsidR="00A864BD" w:rsidRPr="002A5631" w:rsidRDefault="005D2749"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3</w:t>
      </w:r>
      <w:r w:rsidRPr="002A5631">
        <w:rPr>
          <w:rFonts w:ascii="Arial" w:eastAsia="Times New Roman" w:hAnsi="Arial" w:cs="Arial"/>
          <w:sz w:val="24"/>
          <w:szCs w:val="24"/>
          <w:lang w:eastAsia="en-GB"/>
        </w:rPr>
        <w:t>]</w:t>
      </w:r>
      <w:r w:rsidRPr="002A5631">
        <w:rPr>
          <w:rFonts w:ascii="Arial" w:eastAsia="Times New Roman" w:hAnsi="Arial" w:cs="Arial"/>
          <w:sz w:val="24"/>
          <w:szCs w:val="24"/>
          <w:lang w:eastAsia="en-GB"/>
        </w:rPr>
        <w:tab/>
      </w:r>
      <w:r w:rsidR="00D23616" w:rsidRPr="002A5631">
        <w:rPr>
          <w:rFonts w:ascii="Arial" w:eastAsia="Times New Roman" w:hAnsi="Arial" w:cs="Arial"/>
          <w:sz w:val="24"/>
          <w:szCs w:val="24"/>
          <w:lang w:eastAsia="en-GB"/>
        </w:rPr>
        <w:t>Perhaps most importantly</w:t>
      </w:r>
      <w:r w:rsidR="005D1DF2" w:rsidRPr="002A5631">
        <w:rPr>
          <w:rFonts w:ascii="Arial" w:eastAsia="Times New Roman" w:hAnsi="Arial" w:cs="Arial"/>
          <w:sz w:val="24"/>
          <w:szCs w:val="24"/>
          <w:lang w:eastAsia="en-GB"/>
        </w:rPr>
        <w:t>,</w:t>
      </w:r>
      <w:r w:rsidR="00D23616" w:rsidRPr="002A5631">
        <w:rPr>
          <w:rFonts w:ascii="Arial" w:eastAsia="Times New Roman" w:hAnsi="Arial" w:cs="Arial"/>
          <w:sz w:val="24"/>
          <w:szCs w:val="24"/>
          <w:lang w:eastAsia="en-GB"/>
        </w:rPr>
        <w:t xml:space="preserve"> the applicant </w:t>
      </w:r>
      <w:r w:rsidR="007D3D51" w:rsidRPr="002A5631">
        <w:rPr>
          <w:rFonts w:ascii="Arial" w:eastAsia="Times New Roman" w:hAnsi="Arial" w:cs="Arial"/>
          <w:sz w:val="24"/>
          <w:szCs w:val="24"/>
          <w:lang w:eastAsia="en-GB"/>
        </w:rPr>
        <w:t>state</w:t>
      </w:r>
      <w:r w:rsidR="007D3D51">
        <w:rPr>
          <w:rFonts w:ascii="Arial" w:eastAsia="Times New Roman" w:hAnsi="Arial" w:cs="Arial"/>
          <w:sz w:val="24"/>
          <w:szCs w:val="24"/>
          <w:lang w:eastAsia="en-GB"/>
        </w:rPr>
        <w:t>d</w:t>
      </w:r>
      <w:r w:rsidR="007D3D51" w:rsidRPr="002A5631">
        <w:rPr>
          <w:rFonts w:ascii="Arial" w:eastAsia="Times New Roman" w:hAnsi="Arial" w:cs="Arial"/>
          <w:sz w:val="24"/>
          <w:szCs w:val="24"/>
          <w:lang w:eastAsia="en-GB"/>
        </w:rPr>
        <w:t xml:space="preserve"> </w:t>
      </w:r>
      <w:r w:rsidR="00D23616" w:rsidRPr="002A5631">
        <w:rPr>
          <w:rFonts w:ascii="Arial" w:eastAsia="Times New Roman" w:hAnsi="Arial" w:cs="Arial"/>
          <w:sz w:val="24"/>
          <w:szCs w:val="24"/>
          <w:lang w:eastAsia="en-GB"/>
        </w:rPr>
        <w:t xml:space="preserve">in </w:t>
      </w:r>
      <w:r w:rsidR="005C7976" w:rsidRPr="002A5631">
        <w:rPr>
          <w:rFonts w:ascii="Arial" w:eastAsia="Times New Roman" w:hAnsi="Arial" w:cs="Arial"/>
          <w:sz w:val="24"/>
          <w:szCs w:val="24"/>
          <w:lang w:eastAsia="en-GB"/>
        </w:rPr>
        <w:t xml:space="preserve">her founding </w:t>
      </w:r>
      <w:r w:rsidR="00D23616" w:rsidRPr="002A5631">
        <w:rPr>
          <w:rFonts w:ascii="Arial" w:eastAsia="Times New Roman" w:hAnsi="Arial" w:cs="Arial"/>
          <w:sz w:val="24"/>
          <w:szCs w:val="24"/>
          <w:lang w:eastAsia="en-GB"/>
        </w:rPr>
        <w:t xml:space="preserve">affidavit </w:t>
      </w:r>
      <w:r w:rsidR="005C7976" w:rsidRPr="002A5631">
        <w:rPr>
          <w:rFonts w:ascii="Arial" w:eastAsia="Times New Roman" w:hAnsi="Arial" w:cs="Arial"/>
          <w:sz w:val="24"/>
          <w:szCs w:val="24"/>
          <w:lang w:eastAsia="en-GB"/>
        </w:rPr>
        <w:t xml:space="preserve">that the </w:t>
      </w:r>
      <w:r w:rsidR="00D12819" w:rsidRPr="002A5631">
        <w:rPr>
          <w:rFonts w:ascii="Arial" w:eastAsia="Times New Roman" w:hAnsi="Arial" w:cs="Arial"/>
          <w:sz w:val="24"/>
          <w:szCs w:val="24"/>
          <w:lang w:eastAsia="en-GB"/>
        </w:rPr>
        <w:t>first respondent</w:t>
      </w:r>
      <w:r w:rsidR="00D23616" w:rsidRPr="002A5631">
        <w:rPr>
          <w:rFonts w:ascii="Arial" w:eastAsia="Times New Roman" w:hAnsi="Arial" w:cs="Arial"/>
          <w:sz w:val="24"/>
          <w:szCs w:val="24"/>
          <w:lang w:eastAsia="en-GB"/>
        </w:rPr>
        <w:t xml:space="preserve"> disputed that she sold the property to the applicant. She apparently </w:t>
      </w:r>
      <w:r w:rsidR="00606227" w:rsidRPr="002A5631">
        <w:rPr>
          <w:rFonts w:ascii="Arial" w:eastAsia="Times New Roman" w:hAnsi="Arial" w:cs="Arial"/>
          <w:sz w:val="24"/>
          <w:szCs w:val="24"/>
          <w:lang w:eastAsia="en-GB"/>
        </w:rPr>
        <w:t>‘</w:t>
      </w:r>
      <w:r w:rsidR="00D23616" w:rsidRPr="002A5631">
        <w:rPr>
          <w:rFonts w:ascii="Arial" w:eastAsia="Times New Roman" w:hAnsi="Arial" w:cs="Arial"/>
          <w:sz w:val="24"/>
          <w:szCs w:val="24"/>
          <w:lang w:eastAsia="en-GB"/>
        </w:rPr>
        <w:t>concocted</w:t>
      </w:r>
      <w:r w:rsidR="00606227" w:rsidRPr="002A5631">
        <w:rPr>
          <w:rFonts w:ascii="Arial" w:eastAsia="Times New Roman" w:hAnsi="Arial" w:cs="Arial"/>
          <w:sz w:val="24"/>
          <w:szCs w:val="24"/>
          <w:lang w:eastAsia="en-GB"/>
        </w:rPr>
        <w:t xml:space="preserve">’ a </w:t>
      </w:r>
      <w:r w:rsidR="00D23616" w:rsidRPr="002A5631">
        <w:rPr>
          <w:rFonts w:ascii="Arial" w:eastAsia="Times New Roman" w:hAnsi="Arial" w:cs="Arial"/>
          <w:sz w:val="24"/>
          <w:szCs w:val="24"/>
          <w:lang w:eastAsia="en-GB"/>
        </w:rPr>
        <w:t>story that the applicant had loaned her money and that th</w:t>
      </w:r>
      <w:r w:rsidR="003B72BD" w:rsidRPr="002A5631">
        <w:rPr>
          <w:rFonts w:ascii="Arial" w:eastAsia="Times New Roman" w:hAnsi="Arial" w:cs="Arial"/>
          <w:sz w:val="24"/>
          <w:szCs w:val="24"/>
          <w:lang w:eastAsia="en-GB"/>
        </w:rPr>
        <w:t xml:space="preserve">ey </w:t>
      </w:r>
      <w:r w:rsidR="00D23616" w:rsidRPr="002A5631">
        <w:rPr>
          <w:rFonts w:ascii="Arial" w:eastAsia="Times New Roman" w:hAnsi="Arial" w:cs="Arial"/>
          <w:sz w:val="24"/>
          <w:szCs w:val="24"/>
          <w:lang w:eastAsia="en-GB"/>
        </w:rPr>
        <w:t>accordingly only entered into a loan agreement</w:t>
      </w:r>
      <w:r w:rsidR="005D1DF2" w:rsidRPr="002A5631">
        <w:rPr>
          <w:rFonts w:ascii="Arial" w:eastAsia="Times New Roman" w:hAnsi="Arial" w:cs="Arial"/>
          <w:sz w:val="24"/>
          <w:szCs w:val="24"/>
          <w:lang w:eastAsia="en-GB"/>
        </w:rPr>
        <w:t xml:space="preserve"> and that the deed of grant and </w:t>
      </w:r>
      <w:r w:rsidR="003B72BD" w:rsidRPr="002A5631">
        <w:rPr>
          <w:rFonts w:ascii="Arial" w:eastAsia="Times New Roman" w:hAnsi="Arial" w:cs="Arial"/>
          <w:sz w:val="24"/>
          <w:szCs w:val="24"/>
          <w:lang w:eastAsia="en-GB"/>
        </w:rPr>
        <w:t xml:space="preserve">keys </w:t>
      </w:r>
      <w:r w:rsidR="005D1DF2" w:rsidRPr="002A5631">
        <w:rPr>
          <w:rFonts w:ascii="Arial" w:eastAsia="Times New Roman" w:hAnsi="Arial" w:cs="Arial"/>
          <w:sz w:val="24"/>
          <w:szCs w:val="24"/>
          <w:lang w:eastAsia="en-GB"/>
        </w:rPr>
        <w:t>were kept by the applicant because of the l</w:t>
      </w:r>
      <w:r w:rsidR="00444198" w:rsidRPr="002A5631">
        <w:rPr>
          <w:rFonts w:ascii="Arial" w:eastAsia="Times New Roman" w:hAnsi="Arial" w:cs="Arial"/>
          <w:sz w:val="24"/>
          <w:szCs w:val="24"/>
          <w:lang w:eastAsia="en-GB"/>
        </w:rPr>
        <w:t>oan.</w:t>
      </w:r>
    </w:p>
    <w:p w14:paraId="3C792FCD" w14:textId="77777777" w:rsidR="00A864BD" w:rsidRPr="002A5631" w:rsidRDefault="00A864BD" w:rsidP="00A6674F">
      <w:pPr>
        <w:spacing w:after="0" w:line="360" w:lineRule="auto"/>
        <w:contextualSpacing/>
        <w:jc w:val="both"/>
        <w:rPr>
          <w:rFonts w:ascii="Arial" w:eastAsia="Times New Roman" w:hAnsi="Arial" w:cs="Arial"/>
          <w:sz w:val="24"/>
          <w:szCs w:val="24"/>
          <w:lang w:eastAsia="en-GB"/>
        </w:rPr>
      </w:pPr>
    </w:p>
    <w:p w14:paraId="782956F0" w14:textId="18235AF1" w:rsidR="005D2749" w:rsidRPr="002A5631" w:rsidRDefault="005D2749"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4</w:t>
      </w:r>
      <w:r w:rsidR="00F40845"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9858C7" w:rsidRPr="002A5631">
        <w:rPr>
          <w:rFonts w:ascii="Arial" w:eastAsia="Times New Roman" w:hAnsi="Arial" w:cs="Arial"/>
          <w:sz w:val="24"/>
          <w:szCs w:val="24"/>
          <w:lang w:eastAsia="en-GB"/>
        </w:rPr>
        <w:t xml:space="preserve">At this early </w:t>
      </w:r>
      <w:r w:rsidR="00980820" w:rsidRPr="002A5631">
        <w:rPr>
          <w:rFonts w:ascii="Arial" w:eastAsia="Times New Roman" w:hAnsi="Arial" w:cs="Arial"/>
          <w:sz w:val="24"/>
          <w:szCs w:val="24"/>
          <w:lang w:eastAsia="en-GB"/>
        </w:rPr>
        <w:t>stage</w:t>
      </w:r>
      <w:r w:rsidR="00517EEA">
        <w:rPr>
          <w:rFonts w:ascii="Arial" w:eastAsia="Times New Roman" w:hAnsi="Arial" w:cs="Arial"/>
          <w:sz w:val="24"/>
          <w:szCs w:val="24"/>
          <w:lang w:eastAsia="en-GB"/>
        </w:rPr>
        <w:t>,</w:t>
      </w:r>
      <w:r w:rsidR="00980820" w:rsidRPr="002A5631">
        <w:rPr>
          <w:rFonts w:ascii="Arial" w:eastAsia="Times New Roman" w:hAnsi="Arial" w:cs="Arial"/>
          <w:sz w:val="24"/>
          <w:szCs w:val="24"/>
          <w:lang w:eastAsia="en-GB"/>
        </w:rPr>
        <w:t xml:space="preserve"> it was therefore </w:t>
      </w:r>
      <w:r w:rsidR="00BA44C4" w:rsidRPr="002A5631">
        <w:rPr>
          <w:rFonts w:ascii="Arial" w:eastAsia="Times New Roman" w:hAnsi="Arial" w:cs="Arial"/>
          <w:sz w:val="24"/>
          <w:szCs w:val="24"/>
          <w:lang w:eastAsia="en-GB"/>
        </w:rPr>
        <w:t xml:space="preserve">already </w:t>
      </w:r>
      <w:r w:rsidR="00980820" w:rsidRPr="002A5631">
        <w:rPr>
          <w:rFonts w:ascii="Arial" w:eastAsia="Times New Roman" w:hAnsi="Arial" w:cs="Arial"/>
          <w:sz w:val="24"/>
          <w:szCs w:val="24"/>
          <w:lang w:eastAsia="en-GB"/>
        </w:rPr>
        <w:t>known to the applicant that the first respondent disputed that she sold her property to the applicant.</w:t>
      </w:r>
    </w:p>
    <w:p w14:paraId="7B83A158" w14:textId="26A92EE1" w:rsidR="00531A59" w:rsidRPr="002A5631" w:rsidRDefault="00531A59" w:rsidP="00A6674F">
      <w:pPr>
        <w:spacing w:after="0" w:line="360" w:lineRule="auto"/>
        <w:contextualSpacing/>
        <w:jc w:val="both"/>
        <w:rPr>
          <w:rFonts w:ascii="Arial" w:eastAsia="Times New Roman" w:hAnsi="Arial" w:cs="Arial"/>
          <w:sz w:val="24"/>
          <w:szCs w:val="24"/>
          <w:lang w:eastAsia="en-GB"/>
        </w:rPr>
      </w:pPr>
    </w:p>
    <w:p w14:paraId="4A8FD7D0" w14:textId="58421A3A" w:rsidR="003E4F62" w:rsidRPr="002A5631" w:rsidRDefault="00977839"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5</w:t>
      </w:r>
      <w:r w:rsidR="0043272D"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8A29D5" w:rsidRPr="002A5631">
        <w:rPr>
          <w:rFonts w:ascii="Arial" w:eastAsia="Times New Roman" w:hAnsi="Arial" w:cs="Arial"/>
          <w:sz w:val="24"/>
          <w:szCs w:val="24"/>
          <w:lang w:eastAsia="en-GB"/>
        </w:rPr>
        <w:t xml:space="preserve">The applicant also stated that the first respondent </w:t>
      </w:r>
      <w:r w:rsidR="00C9610A" w:rsidRPr="002A5631">
        <w:rPr>
          <w:rFonts w:ascii="Arial" w:eastAsia="Times New Roman" w:hAnsi="Arial" w:cs="Arial"/>
          <w:sz w:val="24"/>
          <w:szCs w:val="24"/>
          <w:lang w:eastAsia="en-GB"/>
        </w:rPr>
        <w:t>ha</w:t>
      </w:r>
      <w:r w:rsidR="00C9610A">
        <w:rPr>
          <w:rFonts w:ascii="Arial" w:eastAsia="Times New Roman" w:hAnsi="Arial" w:cs="Arial"/>
          <w:sz w:val="24"/>
          <w:szCs w:val="24"/>
          <w:lang w:eastAsia="en-GB"/>
        </w:rPr>
        <w:t>d</w:t>
      </w:r>
      <w:r w:rsidR="00C9610A" w:rsidRPr="002A5631">
        <w:rPr>
          <w:rFonts w:ascii="Arial" w:eastAsia="Times New Roman" w:hAnsi="Arial" w:cs="Arial"/>
          <w:sz w:val="24"/>
          <w:szCs w:val="24"/>
          <w:lang w:eastAsia="en-GB"/>
        </w:rPr>
        <w:t xml:space="preserve"> </w:t>
      </w:r>
      <w:r w:rsidR="008A29D5" w:rsidRPr="002A5631">
        <w:rPr>
          <w:rFonts w:ascii="Arial" w:eastAsia="Times New Roman" w:hAnsi="Arial" w:cs="Arial"/>
          <w:sz w:val="24"/>
          <w:szCs w:val="24"/>
          <w:lang w:eastAsia="en-GB"/>
        </w:rPr>
        <w:t xml:space="preserve">in the meantime sold the property to another person. The applicant received a letter dated 24 May 2022 from </w:t>
      </w:r>
      <w:r w:rsidR="008A29D5" w:rsidRPr="002A5631">
        <w:rPr>
          <w:rFonts w:ascii="Arial" w:eastAsia="Times New Roman" w:hAnsi="Arial" w:cs="Arial"/>
          <w:sz w:val="24"/>
          <w:szCs w:val="24"/>
          <w:lang w:eastAsia="en-GB"/>
        </w:rPr>
        <w:lastRenderedPageBreak/>
        <w:t xml:space="preserve">the attorney representing Mr </w:t>
      </w:r>
      <w:proofErr w:type="spellStart"/>
      <w:r w:rsidR="00CA78B2" w:rsidRPr="002A5631">
        <w:rPr>
          <w:rFonts w:ascii="Arial" w:eastAsia="Times New Roman" w:hAnsi="Arial" w:cs="Arial"/>
          <w:sz w:val="24"/>
          <w:szCs w:val="24"/>
          <w:lang w:eastAsia="en-GB"/>
        </w:rPr>
        <w:t>Wonderboy</w:t>
      </w:r>
      <w:proofErr w:type="spellEnd"/>
      <w:r w:rsidR="00CA78B2" w:rsidRPr="002A5631">
        <w:rPr>
          <w:rFonts w:ascii="Arial" w:eastAsia="Times New Roman" w:hAnsi="Arial" w:cs="Arial"/>
          <w:sz w:val="24"/>
          <w:szCs w:val="24"/>
          <w:lang w:eastAsia="en-GB"/>
        </w:rPr>
        <w:t xml:space="preserve"> </w:t>
      </w:r>
      <w:proofErr w:type="spellStart"/>
      <w:r w:rsidR="00ED275D" w:rsidRPr="002A5631">
        <w:rPr>
          <w:rFonts w:ascii="Arial" w:eastAsia="Times New Roman" w:hAnsi="Arial" w:cs="Arial"/>
          <w:sz w:val="24"/>
          <w:szCs w:val="24"/>
          <w:lang w:eastAsia="en-GB"/>
        </w:rPr>
        <w:t>Mzwandile</w:t>
      </w:r>
      <w:proofErr w:type="spellEnd"/>
      <w:r w:rsidR="00ED275D" w:rsidRPr="002A5631">
        <w:rPr>
          <w:rFonts w:ascii="Arial" w:eastAsia="Times New Roman" w:hAnsi="Arial" w:cs="Arial"/>
          <w:sz w:val="24"/>
          <w:szCs w:val="24"/>
          <w:lang w:eastAsia="en-GB"/>
        </w:rPr>
        <w:t xml:space="preserve"> </w:t>
      </w:r>
      <w:proofErr w:type="spellStart"/>
      <w:r w:rsidR="004B121D" w:rsidRPr="002A5631">
        <w:rPr>
          <w:rFonts w:ascii="Arial" w:eastAsia="Times New Roman" w:hAnsi="Arial" w:cs="Arial"/>
          <w:sz w:val="24"/>
          <w:szCs w:val="24"/>
          <w:lang w:eastAsia="en-GB"/>
        </w:rPr>
        <w:t>Dlamini</w:t>
      </w:r>
      <w:proofErr w:type="spellEnd"/>
      <w:r w:rsidR="004B121D" w:rsidRPr="002A5631">
        <w:rPr>
          <w:rFonts w:ascii="Arial" w:eastAsia="Times New Roman" w:hAnsi="Arial" w:cs="Arial"/>
          <w:sz w:val="24"/>
          <w:szCs w:val="24"/>
          <w:lang w:eastAsia="en-GB"/>
        </w:rPr>
        <w:t>, informing</w:t>
      </w:r>
      <w:r w:rsidR="00FD7C19" w:rsidRPr="002A5631">
        <w:rPr>
          <w:rFonts w:ascii="Arial" w:eastAsia="Times New Roman" w:hAnsi="Arial" w:cs="Arial"/>
          <w:sz w:val="24"/>
          <w:szCs w:val="24"/>
          <w:lang w:eastAsia="en-GB"/>
        </w:rPr>
        <w:t xml:space="preserve"> her </w:t>
      </w:r>
      <w:r w:rsidR="008A29D5" w:rsidRPr="002A5631">
        <w:rPr>
          <w:rFonts w:ascii="Arial" w:eastAsia="Times New Roman" w:hAnsi="Arial" w:cs="Arial"/>
          <w:sz w:val="24"/>
          <w:szCs w:val="24"/>
          <w:lang w:eastAsia="en-GB"/>
        </w:rPr>
        <w:t>that he had entered into a sale agreement with the first respondent</w:t>
      </w:r>
      <w:r w:rsidR="006812AA" w:rsidRPr="002A5631">
        <w:rPr>
          <w:rFonts w:ascii="Arial" w:eastAsia="Times New Roman" w:hAnsi="Arial" w:cs="Arial"/>
          <w:sz w:val="24"/>
          <w:szCs w:val="24"/>
          <w:lang w:eastAsia="en-GB"/>
        </w:rPr>
        <w:t xml:space="preserve"> and that he was in the process of transferring the property into his name. He was granted a right to occupy the property by the </w:t>
      </w:r>
      <w:r w:rsidR="006F781F" w:rsidRPr="002A5631">
        <w:rPr>
          <w:rFonts w:ascii="Arial" w:eastAsia="Times New Roman" w:hAnsi="Arial" w:cs="Arial"/>
          <w:sz w:val="24"/>
          <w:szCs w:val="24"/>
          <w:lang w:eastAsia="en-GB"/>
        </w:rPr>
        <w:t xml:space="preserve">first </w:t>
      </w:r>
      <w:r w:rsidR="006812AA" w:rsidRPr="002A5631">
        <w:rPr>
          <w:rFonts w:ascii="Arial" w:eastAsia="Times New Roman" w:hAnsi="Arial" w:cs="Arial"/>
          <w:sz w:val="24"/>
          <w:szCs w:val="24"/>
          <w:lang w:eastAsia="en-GB"/>
        </w:rPr>
        <w:t>respondent</w:t>
      </w:r>
      <w:r w:rsidR="006F781F" w:rsidRPr="002A5631">
        <w:rPr>
          <w:rFonts w:ascii="Arial" w:eastAsia="Times New Roman" w:hAnsi="Arial" w:cs="Arial"/>
          <w:sz w:val="24"/>
          <w:szCs w:val="24"/>
          <w:lang w:eastAsia="en-GB"/>
        </w:rPr>
        <w:t>.</w:t>
      </w:r>
      <w:r w:rsidR="006812AA" w:rsidRPr="002A5631">
        <w:rPr>
          <w:rFonts w:ascii="Arial" w:eastAsia="Times New Roman" w:hAnsi="Arial" w:cs="Arial"/>
          <w:sz w:val="24"/>
          <w:szCs w:val="24"/>
          <w:lang w:eastAsia="en-GB"/>
        </w:rPr>
        <w:t xml:space="preserve"> </w:t>
      </w:r>
      <w:r w:rsidR="00F834A7" w:rsidRPr="002A5631">
        <w:rPr>
          <w:rFonts w:ascii="Arial" w:eastAsia="Times New Roman" w:hAnsi="Arial" w:cs="Arial"/>
          <w:sz w:val="24"/>
          <w:szCs w:val="24"/>
          <w:lang w:eastAsia="en-GB"/>
        </w:rPr>
        <w:t>The</w:t>
      </w:r>
      <w:r w:rsidR="006812AA" w:rsidRPr="002A5631">
        <w:rPr>
          <w:rFonts w:ascii="Arial" w:eastAsia="Times New Roman" w:hAnsi="Arial" w:cs="Arial"/>
          <w:sz w:val="24"/>
          <w:szCs w:val="24"/>
          <w:lang w:eastAsia="en-GB"/>
        </w:rPr>
        <w:t xml:space="preserve"> applicant was requested to desist making threatening statements to Mr</w:t>
      </w:r>
      <w:r w:rsidR="00DE4071" w:rsidRPr="002A5631">
        <w:rPr>
          <w:rFonts w:ascii="Arial" w:eastAsia="Times New Roman" w:hAnsi="Arial" w:cs="Arial"/>
          <w:sz w:val="24"/>
          <w:szCs w:val="24"/>
          <w:lang w:eastAsia="en-GB"/>
        </w:rPr>
        <w:t xml:space="preserve"> </w:t>
      </w:r>
      <w:proofErr w:type="spellStart"/>
      <w:r w:rsidR="00F834A7" w:rsidRPr="002A5631">
        <w:rPr>
          <w:rFonts w:ascii="Arial" w:eastAsia="Times New Roman" w:hAnsi="Arial" w:cs="Arial"/>
          <w:sz w:val="24"/>
          <w:szCs w:val="24"/>
          <w:lang w:eastAsia="en-GB"/>
        </w:rPr>
        <w:t>Dlamini</w:t>
      </w:r>
      <w:proofErr w:type="spellEnd"/>
      <w:r w:rsidR="006812AA" w:rsidRPr="002A5631">
        <w:rPr>
          <w:rFonts w:ascii="Arial" w:eastAsia="Times New Roman" w:hAnsi="Arial" w:cs="Arial"/>
          <w:sz w:val="24"/>
          <w:szCs w:val="24"/>
          <w:lang w:eastAsia="en-GB"/>
        </w:rPr>
        <w:t>, and it was stated</w:t>
      </w:r>
      <w:r w:rsidR="005947D3">
        <w:rPr>
          <w:rFonts w:ascii="Arial" w:eastAsia="Times New Roman" w:hAnsi="Arial" w:cs="Arial"/>
          <w:sz w:val="24"/>
          <w:szCs w:val="24"/>
          <w:lang w:eastAsia="en-GB"/>
        </w:rPr>
        <w:t>,</w:t>
      </w:r>
      <w:r w:rsidR="006812AA" w:rsidRPr="002A5631">
        <w:rPr>
          <w:rFonts w:ascii="Arial" w:eastAsia="Times New Roman" w:hAnsi="Arial" w:cs="Arial"/>
          <w:sz w:val="24"/>
          <w:szCs w:val="24"/>
          <w:lang w:eastAsia="en-GB"/>
        </w:rPr>
        <w:t xml:space="preserve"> in particular</w:t>
      </w:r>
      <w:r w:rsidR="005947D3">
        <w:rPr>
          <w:rFonts w:ascii="Arial" w:eastAsia="Times New Roman" w:hAnsi="Arial" w:cs="Arial"/>
          <w:sz w:val="24"/>
          <w:szCs w:val="24"/>
          <w:lang w:eastAsia="en-GB"/>
        </w:rPr>
        <w:t>,</w:t>
      </w:r>
      <w:r w:rsidR="006812AA" w:rsidRPr="002A5631">
        <w:rPr>
          <w:rFonts w:ascii="Arial" w:eastAsia="Times New Roman" w:hAnsi="Arial" w:cs="Arial"/>
          <w:sz w:val="24"/>
          <w:szCs w:val="24"/>
          <w:lang w:eastAsia="en-GB"/>
        </w:rPr>
        <w:t xml:space="preserve"> that </w:t>
      </w:r>
      <w:r w:rsidR="00DE4071" w:rsidRPr="002A5631">
        <w:rPr>
          <w:rFonts w:ascii="Arial" w:eastAsia="Times New Roman" w:hAnsi="Arial" w:cs="Arial"/>
          <w:sz w:val="24"/>
          <w:szCs w:val="24"/>
          <w:lang w:eastAsia="en-GB"/>
        </w:rPr>
        <w:t>‘[</w:t>
      </w:r>
      <w:proofErr w:type="spellStart"/>
      <w:r w:rsidR="00DE4071" w:rsidRPr="002A5631">
        <w:rPr>
          <w:rFonts w:ascii="Arial" w:eastAsia="Times New Roman" w:hAnsi="Arial" w:cs="Arial"/>
          <w:sz w:val="24"/>
          <w:szCs w:val="24"/>
          <w:lang w:eastAsia="en-GB"/>
        </w:rPr>
        <w:t>i</w:t>
      </w:r>
      <w:proofErr w:type="spellEnd"/>
      <w:r w:rsidR="00DE4071" w:rsidRPr="002A5631">
        <w:rPr>
          <w:rFonts w:ascii="Arial" w:eastAsia="Times New Roman" w:hAnsi="Arial" w:cs="Arial"/>
          <w:sz w:val="24"/>
          <w:szCs w:val="24"/>
          <w:lang w:eastAsia="en-GB"/>
        </w:rPr>
        <w:t>]</w:t>
      </w:r>
      <w:r w:rsidR="003E4F62" w:rsidRPr="002A5631">
        <w:rPr>
          <w:rFonts w:ascii="Arial" w:eastAsia="Times New Roman" w:hAnsi="Arial" w:cs="Arial"/>
          <w:sz w:val="24"/>
          <w:szCs w:val="24"/>
          <w:lang w:eastAsia="en-GB"/>
        </w:rPr>
        <w:t xml:space="preserve">t </w:t>
      </w:r>
      <w:r w:rsidR="006812AA" w:rsidRPr="002A5631">
        <w:rPr>
          <w:rFonts w:ascii="Arial" w:eastAsia="Times New Roman" w:hAnsi="Arial" w:cs="Arial"/>
          <w:sz w:val="24"/>
          <w:szCs w:val="24"/>
          <w:lang w:eastAsia="en-GB"/>
        </w:rPr>
        <w:t>is common knowledge that you are not the owner of the property</w:t>
      </w:r>
      <w:r w:rsidR="003E4F62" w:rsidRPr="002A5631">
        <w:rPr>
          <w:rFonts w:ascii="Arial" w:eastAsia="Times New Roman" w:hAnsi="Arial" w:cs="Arial"/>
          <w:sz w:val="24"/>
          <w:szCs w:val="24"/>
          <w:lang w:eastAsia="en-GB"/>
        </w:rPr>
        <w:t>’</w:t>
      </w:r>
      <w:r w:rsidR="006812AA" w:rsidRPr="002A5631">
        <w:rPr>
          <w:rFonts w:ascii="Arial" w:eastAsia="Times New Roman" w:hAnsi="Arial" w:cs="Arial"/>
          <w:sz w:val="24"/>
          <w:szCs w:val="24"/>
          <w:lang w:eastAsia="en-GB"/>
        </w:rPr>
        <w:t xml:space="preserve">. </w:t>
      </w:r>
    </w:p>
    <w:p w14:paraId="7B2CB440" w14:textId="77777777" w:rsidR="001F1D15" w:rsidRPr="002A5631" w:rsidRDefault="001F1D15" w:rsidP="00A6674F">
      <w:pPr>
        <w:spacing w:after="0" w:line="360" w:lineRule="auto"/>
        <w:contextualSpacing/>
        <w:jc w:val="both"/>
        <w:rPr>
          <w:rFonts w:ascii="Arial" w:eastAsia="Times New Roman" w:hAnsi="Arial" w:cs="Arial"/>
          <w:sz w:val="24"/>
          <w:szCs w:val="24"/>
          <w:lang w:eastAsia="en-GB"/>
        </w:rPr>
      </w:pPr>
    </w:p>
    <w:p w14:paraId="0F5D8FCE" w14:textId="29372D39" w:rsidR="00FE4324" w:rsidRPr="002A5631" w:rsidRDefault="001F1D15"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6</w:t>
      </w:r>
      <w:r w:rsidR="00E41085"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235A14" w:rsidRPr="002A5631">
        <w:rPr>
          <w:rFonts w:ascii="Arial" w:eastAsia="Times New Roman" w:hAnsi="Arial" w:cs="Arial"/>
          <w:sz w:val="24"/>
          <w:szCs w:val="24"/>
          <w:lang w:eastAsia="en-GB"/>
        </w:rPr>
        <w:t xml:space="preserve">The applicant was accordingly </w:t>
      </w:r>
      <w:r w:rsidR="00B17FAE" w:rsidRPr="002A5631">
        <w:rPr>
          <w:rFonts w:ascii="Arial" w:eastAsia="Times New Roman" w:hAnsi="Arial" w:cs="Arial"/>
          <w:sz w:val="24"/>
          <w:szCs w:val="24"/>
          <w:lang w:eastAsia="en-GB"/>
        </w:rPr>
        <w:t xml:space="preserve">aware </w:t>
      </w:r>
      <w:r w:rsidR="00235A14" w:rsidRPr="002A5631">
        <w:rPr>
          <w:rFonts w:ascii="Arial" w:eastAsia="Times New Roman" w:hAnsi="Arial" w:cs="Arial"/>
          <w:sz w:val="24"/>
          <w:szCs w:val="24"/>
          <w:lang w:eastAsia="en-GB"/>
        </w:rPr>
        <w:t>from at least 24 May 2022 that M</w:t>
      </w:r>
      <w:r w:rsidR="00B17FAE" w:rsidRPr="002A5631">
        <w:rPr>
          <w:rFonts w:ascii="Arial" w:eastAsia="Times New Roman" w:hAnsi="Arial" w:cs="Arial"/>
          <w:sz w:val="24"/>
          <w:szCs w:val="24"/>
          <w:lang w:eastAsia="en-GB"/>
        </w:rPr>
        <w:t xml:space="preserve">r </w:t>
      </w:r>
      <w:proofErr w:type="spellStart"/>
      <w:r w:rsidR="00B17FAE" w:rsidRPr="002A5631">
        <w:rPr>
          <w:rFonts w:ascii="Arial" w:eastAsia="Times New Roman" w:hAnsi="Arial" w:cs="Arial"/>
          <w:sz w:val="24"/>
          <w:szCs w:val="24"/>
          <w:lang w:eastAsia="en-GB"/>
        </w:rPr>
        <w:t>D</w:t>
      </w:r>
      <w:r w:rsidR="0020642C" w:rsidRPr="002A5631">
        <w:rPr>
          <w:rFonts w:ascii="Arial" w:eastAsia="Times New Roman" w:hAnsi="Arial" w:cs="Arial"/>
          <w:sz w:val="24"/>
          <w:szCs w:val="24"/>
          <w:lang w:eastAsia="en-GB"/>
        </w:rPr>
        <w:t>lamini</w:t>
      </w:r>
      <w:proofErr w:type="spellEnd"/>
      <w:r w:rsidR="0020642C" w:rsidRPr="002A5631">
        <w:rPr>
          <w:rFonts w:ascii="Arial" w:eastAsia="Times New Roman" w:hAnsi="Arial" w:cs="Arial"/>
          <w:sz w:val="24"/>
          <w:szCs w:val="24"/>
          <w:lang w:eastAsia="en-GB"/>
        </w:rPr>
        <w:t xml:space="preserve"> had </w:t>
      </w:r>
      <w:r w:rsidR="00235A14" w:rsidRPr="002A5631">
        <w:rPr>
          <w:rFonts w:ascii="Arial" w:eastAsia="Times New Roman" w:hAnsi="Arial" w:cs="Arial"/>
          <w:sz w:val="24"/>
          <w:szCs w:val="24"/>
          <w:lang w:eastAsia="en-GB"/>
        </w:rPr>
        <w:t>purchased the property from the first respondent. The applicant stated that M</w:t>
      </w:r>
      <w:r w:rsidR="0020642C" w:rsidRPr="002A5631">
        <w:rPr>
          <w:rFonts w:ascii="Arial" w:eastAsia="Times New Roman" w:hAnsi="Arial" w:cs="Arial"/>
          <w:sz w:val="24"/>
          <w:szCs w:val="24"/>
          <w:lang w:eastAsia="en-GB"/>
        </w:rPr>
        <w:t>r</w:t>
      </w:r>
      <w:r w:rsidR="00235A14" w:rsidRPr="002A5631">
        <w:rPr>
          <w:rFonts w:ascii="Arial" w:eastAsia="Times New Roman" w:hAnsi="Arial" w:cs="Arial"/>
          <w:sz w:val="24"/>
          <w:szCs w:val="24"/>
          <w:lang w:eastAsia="en-GB"/>
        </w:rPr>
        <w:t xml:space="preserve"> </w:t>
      </w:r>
      <w:proofErr w:type="spellStart"/>
      <w:r w:rsidR="00915630" w:rsidRPr="002A5631">
        <w:rPr>
          <w:rFonts w:ascii="Arial" w:eastAsia="Times New Roman" w:hAnsi="Arial" w:cs="Arial"/>
          <w:sz w:val="24"/>
          <w:szCs w:val="24"/>
          <w:lang w:eastAsia="en-GB"/>
        </w:rPr>
        <w:t>Dlamini</w:t>
      </w:r>
      <w:proofErr w:type="spellEnd"/>
      <w:r w:rsidR="00915630" w:rsidRPr="002A5631">
        <w:rPr>
          <w:rFonts w:ascii="Arial" w:eastAsia="Times New Roman" w:hAnsi="Arial" w:cs="Arial"/>
          <w:sz w:val="24"/>
          <w:szCs w:val="24"/>
          <w:lang w:eastAsia="en-GB"/>
        </w:rPr>
        <w:t xml:space="preserve"> is </w:t>
      </w:r>
      <w:r w:rsidR="00235A14" w:rsidRPr="002A5631">
        <w:rPr>
          <w:rFonts w:ascii="Arial" w:eastAsia="Times New Roman" w:hAnsi="Arial" w:cs="Arial"/>
          <w:sz w:val="24"/>
          <w:szCs w:val="24"/>
          <w:lang w:eastAsia="en-GB"/>
        </w:rPr>
        <w:t>adamant</w:t>
      </w:r>
      <w:r w:rsidR="00D17DC7" w:rsidRPr="002A5631">
        <w:rPr>
          <w:rFonts w:ascii="Arial" w:eastAsia="Times New Roman" w:hAnsi="Arial" w:cs="Arial"/>
          <w:sz w:val="24"/>
          <w:szCs w:val="24"/>
          <w:lang w:eastAsia="en-GB"/>
        </w:rPr>
        <w:t xml:space="preserve"> to have the property transferred into his name and has taken occupation of the property. Mr </w:t>
      </w:r>
      <w:proofErr w:type="spellStart"/>
      <w:r w:rsidR="00D96AC1" w:rsidRPr="002A5631">
        <w:rPr>
          <w:rFonts w:ascii="Arial" w:eastAsia="Times New Roman" w:hAnsi="Arial" w:cs="Arial"/>
          <w:sz w:val="24"/>
          <w:szCs w:val="24"/>
          <w:lang w:eastAsia="en-GB"/>
        </w:rPr>
        <w:t>Dlamini</w:t>
      </w:r>
      <w:proofErr w:type="spellEnd"/>
      <w:r w:rsidR="00D96AC1" w:rsidRPr="002A5631">
        <w:rPr>
          <w:rFonts w:ascii="Arial" w:eastAsia="Times New Roman" w:hAnsi="Arial" w:cs="Arial"/>
          <w:sz w:val="24"/>
          <w:szCs w:val="24"/>
          <w:lang w:eastAsia="en-GB"/>
        </w:rPr>
        <w:t xml:space="preserve"> </w:t>
      </w:r>
      <w:r w:rsidR="00D17DC7" w:rsidRPr="002A5631">
        <w:rPr>
          <w:rFonts w:ascii="Arial" w:eastAsia="Times New Roman" w:hAnsi="Arial" w:cs="Arial"/>
          <w:sz w:val="24"/>
          <w:szCs w:val="24"/>
          <w:lang w:eastAsia="en-GB"/>
        </w:rPr>
        <w:t xml:space="preserve">paid </w:t>
      </w:r>
      <w:r w:rsidR="00D96AC1" w:rsidRPr="002A5631">
        <w:rPr>
          <w:rFonts w:ascii="Arial" w:eastAsia="Times New Roman" w:hAnsi="Arial" w:cs="Arial"/>
          <w:sz w:val="24"/>
          <w:szCs w:val="24"/>
          <w:lang w:eastAsia="en-GB"/>
        </w:rPr>
        <w:t>R</w:t>
      </w:r>
      <w:r w:rsidR="00D17DC7" w:rsidRPr="002A5631">
        <w:rPr>
          <w:rFonts w:ascii="Arial" w:eastAsia="Times New Roman" w:hAnsi="Arial" w:cs="Arial"/>
          <w:sz w:val="24"/>
          <w:szCs w:val="24"/>
          <w:lang w:eastAsia="en-GB"/>
        </w:rPr>
        <w:t>45</w:t>
      </w:r>
      <w:r w:rsidR="00DE4071" w:rsidRPr="002A5631">
        <w:rPr>
          <w:rFonts w:ascii="Arial" w:eastAsia="Times New Roman" w:hAnsi="Arial" w:cs="Arial"/>
          <w:sz w:val="24"/>
          <w:szCs w:val="24"/>
          <w:lang w:eastAsia="en-GB"/>
        </w:rPr>
        <w:t> </w:t>
      </w:r>
      <w:r w:rsidR="00D17DC7" w:rsidRPr="002A5631">
        <w:rPr>
          <w:rFonts w:ascii="Arial" w:eastAsia="Times New Roman" w:hAnsi="Arial" w:cs="Arial"/>
          <w:sz w:val="24"/>
          <w:szCs w:val="24"/>
          <w:lang w:eastAsia="en-GB"/>
        </w:rPr>
        <w:t xml:space="preserve">000 for the property, so his actions are </w:t>
      </w:r>
      <w:r w:rsidR="00B8677B" w:rsidRPr="002A5631">
        <w:rPr>
          <w:rFonts w:ascii="Arial" w:eastAsia="Times New Roman" w:hAnsi="Arial" w:cs="Arial"/>
          <w:sz w:val="24"/>
          <w:szCs w:val="24"/>
          <w:lang w:eastAsia="en-GB"/>
        </w:rPr>
        <w:t xml:space="preserve">perhaps </w:t>
      </w:r>
      <w:r w:rsidR="00D17DC7" w:rsidRPr="002A5631">
        <w:rPr>
          <w:rFonts w:ascii="Arial" w:eastAsia="Times New Roman" w:hAnsi="Arial" w:cs="Arial"/>
          <w:sz w:val="24"/>
          <w:szCs w:val="24"/>
          <w:lang w:eastAsia="en-GB"/>
        </w:rPr>
        <w:t xml:space="preserve">understandable. The applicant chose not to join Mr </w:t>
      </w:r>
      <w:proofErr w:type="spellStart"/>
      <w:r w:rsidR="0033535C" w:rsidRPr="002A5631">
        <w:rPr>
          <w:rFonts w:ascii="Arial" w:eastAsia="Times New Roman" w:hAnsi="Arial" w:cs="Arial"/>
          <w:sz w:val="24"/>
          <w:szCs w:val="24"/>
          <w:lang w:eastAsia="en-GB"/>
        </w:rPr>
        <w:t>Dlamini</w:t>
      </w:r>
      <w:proofErr w:type="spellEnd"/>
      <w:r w:rsidR="00D17DC7" w:rsidRPr="002A5631">
        <w:rPr>
          <w:rFonts w:ascii="Arial" w:eastAsia="Times New Roman" w:hAnsi="Arial" w:cs="Arial"/>
          <w:sz w:val="24"/>
          <w:szCs w:val="24"/>
          <w:lang w:eastAsia="en-GB"/>
        </w:rPr>
        <w:t xml:space="preserve"> to these proceedings, which is the subject of one of the first </w:t>
      </w:r>
      <w:r w:rsidR="0033535C" w:rsidRPr="002A5631">
        <w:rPr>
          <w:rFonts w:ascii="Arial" w:eastAsia="Times New Roman" w:hAnsi="Arial" w:cs="Arial"/>
          <w:sz w:val="24"/>
          <w:szCs w:val="24"/>
          <w:lang w:eastAsia="en-GB"/>
        </w:rPr>
        <w:t xml:space="preserve">respondent’s </w:t>
      </w:r>
      <w:r w:rsidR="00D17DC7" w:rsidRPr="002A5631">
        <w:rPr>
          <w:rFonts w:ascii="Arial" w:eastAsia="Times New Roman" w:hAnsi="Arial" w:cs="Arial"/>
          <w:sz w:val="24"/>
          <w:szCs w:val="24"/>
          <w:lang w:eastAsia="en-GB"/>
        </w:rPr>
        <w:t xml:space="preserve">points in </w:t>
      </w:r>
      <w:proofErr w:type="spellStart"/>
      <w:r w:rsidR="00D17DC7" w:rsidRPr="002A5631">
        <w:rPr>
          <w:rFonts w:ascii="Arial" w:eastAsia="Times New Roman" w:hAnsi="Arial" w:cs="Arial"/>
          <w:sz w:val="24"/>
          <w:szCs w:val="24"/>
          <w:lang w:eastAsia="en-GB"/>
        </w:rPr>
        <w:t>l</w:t>
      </w:r>
      <w:r w:rsidR="0033535C" w:rsidRPr="002A5631">
        <w:rPr>
          <w:rFonts w:ascii="Arial" w:eastAsia="Times New Roman" w:hAnsi="Arial" w:cs="Arial"/>
          <w:sz w:val="24"/>
          <w:szCs w:val="24"/>
          <w:lang w:eastAsia="en-GB"/>
        </w:rPr>
        <w:t>imine</w:t>
      </w:r>
      <w:proofErr w:type="spellEnd"/>
      <w:r w:rsidR="00D17DC7" w:rsidRPr="002A5631">
        <w:rPr>
          <w:rFonts w:ascii="Arial" w:eastAsia="Times New Roman" w:hAnsi="Arial" w:cs="Arial"/>
          <w:sz w:val="24"/>
          <w:szCs w:val="24"/>
          <w:lang w:eastAsia="en-GB"/>
        </w:rPr>
        <w:t xml:space="preserve">, namely the </w:t>
      </w:r>
      <w:r w:rsidR="00FE7892" w:rsidRPr="002A5631">
        <w:rPr>
          <w:rFonts w:ascii="Arial" w:eastAsia="Times New Roman" w:hAnsi="Arial" w:cs="Arial"/>
          <w:sz w:val="24"/>
          <w:szCs w:val="24"/>
          <w:lang w:eastAsia="en-GB"/>
        </w:rPr>
        <w:t>non-joinder</w:t>
      </w:r>
      <w:r w:rsidR="00D17DC7" w:rsidRPr="002A5631">
        <w:rPr>
          <w:rFonts w:ascii="Arial" w:eastAsia="Times New Roman" w:hAnsi="Arial" w:cs="Arial"/>
          <w:sz w:val="24"/>
          <w:szCs w:val="24"/>
          <w:lang w:eastAsia="en-GB"/>
        </w:rPr>
        <w:t xml:space="preserve"> of Mr </w:t>
      </w:r>
      <w:proofErr w:type="spellStart"/>
      <w:r w:rsidR="00B17FAE" w:rsidRPr="002A5631">
        <w:rPr>
          <w:rFonts w:ascii="Arial" w:eastAsia="Times New Roman" w:hAnsi="Arial" w:cs="Arial"/>
          <w:sz w:val="24"/>
          <w:szCs w:val="24"/>
          <w:lang w:eastAsia="en-GB"/>
        </w:rPr>
        <w:t>Dlamini</w:t>
      </w:r>
      <w:proofErr w:type="spellEnd"/>
      <w:r w:rsidR="00B17FAE" w:rsidRPr="002A5631">
        <w:rPr>
          <w:rFonts w:ascii="Arial" w:eastAsia="Times New Roman" w:hAnsi="Arial" w:cs="Arial"/>
          <w:sz w:val="24"/>
          <w:szCs w:val="24"/>
          <w:lang w:eastAsia="en-GB"/>
        </w:rPr>
        <w:t>.</w:t>
      </w:r>
    </w:p>
    <w:p w14:paraId="1EE440B8" w14:textId="77777777" w:rsidR="002A3511" w:rsidRPr="002A5631" w:rsidRDefault="002A3511" w:rsidP="00A6674F">
      <w:pPr>
        <w:spacing w:after="0" w:line="360" w:lineRule="auto"/>
        <w:contextualSpacing/>
        <w:jc w:val="both"/>
        <w:rPr>
          <w:rFonts w:ascii="Arial" w:eastAsia="Times New Roman" w:hAnsi="Arial" w:cs="Arial"/>
          <w:sz w:val="24"/>
          <w:szCs w:val="24"/>
          <w:lang w:eastAsia="en-GB"/>
        </w:rPr>
      </w:pPr>
    </w:p>
    <w:p w14:paraId="6501DD8A" w14:textId="00DD5AA9" w:rsidR="003804A5" w:rsidRPr="002A5631" w:rsidRDefault="00FE4324"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7</w:t>
      </w:r>
      <w:r w:rsidR="00E41085"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6956DE" w:rsidRPr="002A5631">
        <w:rPr>
          <w:rFonts w:ascii="Arial" w:eastAsia="Times New Roman" w:hAnsi="Arial" w:cs="Arial"/>
          <w:sz w:val="24"/>
          <w:szCs w:val="24"/>
          <w:lang w:eastAsia="en-GB"/>
        </w:rPr>
        <w:t>The applicant insisted that the first respondent agreed to sell her the property and that the first respondent is being deceitful a</w:t>
      </w:r>
      <w:r w:rsidR="002A3511" w:rsidRPr="002A5631">
        <w:rPr>
          <w:rFonts w:ascii="Arial" w:eastAsia="Times New Roman" w:hAnsi="Arial" w:cs="Arial"/>
          <w:sz w:val="24"/>
          <w:szCs w:val="24"/>
          <w:lang w:eastAsia="en-GB"/>
        </w:rPr>
        <w:t xml:space="preserve">s she </w:t>
      </w:r>
      <w:r w:rsidR="00D87118" w:rsidRPr="002A5631">
        <w:rPr>
          <w:rFonts w:ascii="Arial" w:eastAsia="Times New Roman" w:hAnsi="Arial" w:cs="Arial"/>
          <w:sz w:val="24"/>
          <w:szCs w:val="24"/>
          <w:lang w:eastAsia="en-GB"/>
        </w:rPr>
        <w:t xml:space="preserve">has </w:t>
      </w:r>
      <w:r w:rsidR="006956DE" w:rsidRPr="002A5631">
        <w:rPr>
          <w:rFonts w:ascii="Arial" w:eastAsia="Times New Roman" w:hAnsi="Arial" w:cs="Arial"/>
          <w:sz w:val="24"/>
          <w:szCs w:val="24"/>
          <w:lang w:eastAsia="en-GB"/>
        </w:rPr>
        <w:t xml:space="preserve">to date not paid back or offered to pay back the alleged loan of </w:t>
      </w:r>
      <w:r w:rsidR="00D87118" w:rsidRPr="002A5631">
        <w:rPr>
          <w:rFonts w:ascii="Arial" w:eastAsia="Times New Roman" w:hAnsi="Arial" w:cs="Arial"/>
          <w:sz w:val="24"/>
          <w:szCs w:val="24"/>
          <w:lang w:eastAsia="en-GB"/>
        </w:rPr>
        <w:t>R12</w:t>
      </w:r>
      <w:r w:rsidR="00DE4071" w:rsidRPr="002A5631">
        <w:rPr>
          <w:rFonts w:ascii="Arial" w:eastAsia="Times New Roman" w:hAnsi="Arial" w:cs="Arial"/>
          <w:sz w:val="24"/>
          <w:szCs w:val="24"/>
          <w:lang w:eastAsia="en-GB"/>
        </w:rPr>
        <w:t> </w:t>
      </w:r>
      <w:r w:rsidR="00D87118" w:rsidRPr="002A5631">
        <w:rPr>
          <w:rFonts w:ascii="Arial" w:eastAsia="Times New Roman" w:hAnsi="Arial" w:cs="Arial"/>
          <w:sz w:val="24"/>
          <w:szCs w:val="24"/>
          <w:lang w:eastAsia="en-GB"/>
        </w:rPr>
        <w:t>000.</w:t>
      </w:r>
      <w:r w:rsidR="006956DE" w:rsidRPr="002A5631">
        <w:rPr>
          <w:rFonts w:ascii="Arial" w:eastAsia="Times New Roman" w:hAnsi="Arial" w:cs="Arial"/>
          <w:sz w:val="24"/>
          <w:szCs w:val="24"/>
          <w:lang w:eastAsia="en-GB"/>
        </w:rPr>
        <w:t xml:space="preserve"> </w:t>
      </w:r>
      <w:r w:rsidR="00D01E78">
        <w:rPr>
          <w:rFonts w:ascii="Arial" w:eastAsia="Times New Roman" w:hAnsi="Arial" w:cs="Arial"/>
          <w:sz w:val="24"/>
          <w:szCs w:val="24"/>
          <w:lang w:eastAsia="en-GB"/>
        </w:rPr>
        <w:t>T</w:t>
      </w:r>
      <w:r w:rsidR="006956DE" w:rsidRPr="002A5631">
        <w:rPr>
          <w:rFonts w:ascii="Arial" w:eastAsia="Times New Roman" w:hAnsi="Arial" w:cs="Arial"/>
          <w:sz w:val="24"/>
          <w:szCs w:val="24"/>
          <w:lang w:eastAsia="en-GB"/>
        </w:rPr>
        <w:t>he application was issued on 18 November 2022.</w:t>
      </w:r>
      <w:r w:rsidR="002A3511" w:rsidRPr="002A5631">
        <w:rPr>
          <w:rFonts w:ascii="Arial" w:eastAsia="Times New Roman" w:hAnsi="Arial" w:cs="Arial"/>
          <w:sz w:val="24"/>
          <w:szCs w:val="24"/>
          <w:lang w:eastAsia="en-GB"/>
        </w:rPr>
        <w:t xml:space="preserve"> Two confirmatory affidavits of Mr </w:t>
      </w:r>
      <w:proofErr w:type="spellStart"/>
      <w:r w:rsidR="00E2526E" w:rsidRPr="002A5631">
        <w:rPr>
          <w:rFonts w:ascii="Arial" w:eastAsia="Times New Roman" w:hAnsi="Arial" w:cs="Arial"/>
          <w:sz w:val="24"/>
          <w:szCs w:val="24"/>
          <w:lang w:eastAsia="en-GB"/>
        </w:rPr>
        <w:t>Mthembu</w:t>
      </w:r>
      <w:proofErr w:type="spellEnd"/>
      <w:r w:rsidR="00E2526E" w:rsidRPr="002A5631">
        <w:rPr>
          <w:rFonts w:ascii="Arial" w:eastAsia="Times New Roman" w:hAnsi="Arial" w:cs="Arial"/>
          <w:sz w:val="24"/>
          <w:szCs w:val="24"/>
          <w:lang w:eastAsia="en-GB"/>
        </w:rPr>
        <w:t xml:space="preserve"> </w:t>
      </w:r>
      <w:r w:rsidR="00DE4071" w:rsidRPr="002A5631">
        <w:rPr>
          <w:rFonts w:ascii="Arial" w:eastAsia="Times New Roman" w:hAnsi="Arial" w:cs="Arial"/>
          <w:sz w:val="24"/>
          <w:szCs w:val="24"/>
          <w:lang w:eastAsia="en-GB"/>
        </w:rPr>
        <w:t>an</w:t>
      </w:r>
      <w:r w:rsidR="002A3511" w:rsidRPr="002A5631">
        <w:rPr>
          <w:rFonts w:ascii="Arial" w:eastAsia="Times New Roman" w:hAnsi="Arial" w:cs="Arial"/>
          <w:sz w:val="24"/>
          <w:szCs w:val="24"/>
          <w:lang w:eastAsia="en-GB"/>
        </w:rPr>
        <w:t xml:space="preserve">d Mrs </w:t>
      </w:r>
      <w:proofErr w:type="spellStart"/>
      <w:r w:rsidR="0085000F" w:rsidRPr="002A5631">
        <w:rPr>
          <w:rFonts w:ascii="Arial" w:eastAsia="Times New Roman" w:hAnsi="Arial" w:cs="Arial"/>
          <w:sz w:val="24"/>
          <w:szCs w:val="24"/>
          <w:lang w:eastAsia="en-GB"/>
        </w:rPr>
        <w:t>Hadebe</w:t>
      </w:r>
      <w:proofErr w:type="spellEnd"/>
      <w:r w:rsidR="0085000F" w:rsidRPr="002A5631">
        <w:rPr>
          <w:rFonts w:ascii="Arial" w:eastAsia="Times New Roman" w:hAnsi="Arial" w:cs="Arial"/>
          <w:sz w:val="24"/>
          <w:szCs w:val="24"/>
          <w:lang w:eastAsia="en-GB"/>
        </w:rPr>
        <w:t xml:space="preserve"> also </w:t>
      </w:r>
      <w:r w:rsidR="002A3511" w:rsidRPr="002A5631">
        <w:rPr>
          <w:rFonts w:ascii="Arial" w:eastAsia="Times New Roman" w:hAnsi="Arial" w:cs="Arial"/>
          <w:sz w:val="24"/>
          <w:szCs w:val="24"/>
          <w:lang w:eastAsia="en-GB"/>
        </w:rPr>
        <w:t>formed part of the application papers.</w:t>
      </w:r>
    </w:p>
    <w:p w14:paraId="4E924E7C" w14:textId="233F2D40" w:rsidR="00FE740C" w:rsidRPr="002A5631" w:rsidRDefault="003804A5"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 xml:space="preserve"> </w:t>
      </w:r>
    </w:p>
    <w:p w14:paraId="7E14CACA" w14:textId="087AB4E2" w:rsidR="004945B5" w:rsidRPr="002A5631" w:rsidRDefault="004945B5"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8</w:t>
      </w:r>
      <w:r w:rsidR="00FE740C"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A71762" w:rsidRPr="002A5631">
        <w:rPr>
          <w:rFonts w:ascii="Arial" w:eastAsia="Times New Roman" w:hAnsi="Arial" w:cs="Arial"/>
          <w:sz w:val="24"/>
          <w:szCs w:val="24"/>
          <w:lang w:eastAsia="en-GB"/>
        </w:rPr>
        <w:t xml:space="preserve">As mentioned before, </w:t>
      </w:r>
      <w:r w:rsidR="00A772E6" w:rsidRPr="002A5631">
        <w:rPr>
          <w:rFonts w:ascii="Arial" w:eastAsia="Times New Roman" w:hAnsi="Arial" w:cs="Arial"/>
          <w:sz w:val="24"/>
          <w:szCs w:val="24"/>
          <w:lang w:eastAsia="en-GB"/>
        </w:rPr>
        <w:t xml:space="preserve">the first </w:t>
      </w:r>
      <w:r w:rsidR="00A71762" w:rsidRPr="002A5631">
        <w:rPr>
          <w:rFonts w:ascii="Arial" w:eastAsia="Times New Roman" w:hAnsi="Arial" w:cs="Arial"/>
          <w:sz w:val="24"/>
          <w:szCs w:val="24"/>
          <w:lang w:eastAsia="en-GB"/>
        </w:rPr>
        <w:t xml:space="preserve">respondent raised three points </w:t>
      </w:r>
      <w:r w:rsidR="00A772E6" w:rsidRPr="002A5631">
        <w:rPr>
          <w:rFonts w:ascii="Arial" w:eastAsia="Times New Roman" w:hAnsi="Arial" w:cs="Arial"/>
          <w:sz w:val="24"/>
          <w:szCs w:val="24"/>
          <w:lang w:eastAsia="en-GB"/>
        </w:rPr>
        <w:t xml:space="preserve">in </w:t>
      </w:r>
      <w:proofErr w:type="spellStart"/>
      <w:r w:rsidR="0050691E" w:rsidRPr="002A5631">
        <w:rPr>
          <w:rFonts w:ascii="Arial" w:eastAsia="Times New Roman" w:hAnsi="Arial" w:cs="Arial"/>
          <w:sz w:val="24"/>
          <w:szCs w:val="24"/>
          <w:lang w:eastAsia="en-GB"/>
        </w:rPr>
        <w:t>limine</w:t>
      </w:r>
      <w:proofErr w:type="spellEnd"/>
      <w:r w:rsidR="0050691E" w:rsidRPr="002A5631">
        <w:rPr>
          <w:rFonts w:ascii="Arial" w:eastAsia="Times New Roman" w:hAnsi="Arial" w:cs="Arial"/>
          <w:sz w:val="24"/>
          <w:szCs w:val="24"/>
          <w:lang w:eastAsia="en-GB"/>
        </w:rPr>
        <w:t>.</w:t>
      </w:r>
      <w:r w:rsidR="00A71762" w:rsidRPr="002A5631">
        <w:rPr>
          <w:rFonts w:ascii="Arial" w:eastAsia="Times New Roman" w:hAnsi="Arial" w:cs="Arial"/>
          <w:sz w:val="24"/>
          <w:szCs w:val="24"/>
          <w:lang w:eastAsia="en-GB"/>
        </w:rPr>
        <w:t xml:space="preserve"> They were firstly, </w:t>
      </w:r>
      <w:r w:rsidR="00692702" w:rsidRPr="002A5631">
        <w:rPr>
          <w:rFonts w:ascii="Arial" w:eastAsia="Times New Roman" w:hAnsi="Arial" w:cs="Arial"/>
          <w:sz w:val="24"/>
          <w:szCs w:val="24"/>
          <w:lang w:eastAsia="en-GB"/>
        </w:rPr>
        <w:t>noncompliance</w:t>
      </w:r>
      <w:r w:rsidR="00A71762" w:rsidRPr="002A5631">
        <w:rPr>
          <w:rFonts w:ascii="Arial" w:eastAsia="Times New Roman" w:hAnsi="Arial" w:cs="Arial"/>
          <w:sz w:val="24"/>
          <w:szCs w:val="24"/>
          <w:lang w:eastAsia="en-GB"/>
        </w:rPr>
        <w:t xml:space="preserve"> with the provisions of section </w:t>
      </w:r>
      <w:r w:rsidR="00D43CBC" w:rsidRPr="002A5631">
        <w:rPr>
          <w:rFonts w:ascii="Arial" w:eastAsia="Times New Roman" w:hAnsi="Arial" w:cs="Arial"/>
          <w:sz w:val="24"/>
          <w:szCs w:val="24"/>
          <w:lang w:eastAsia="en-GB"/>
        </w:rPr>
        <w:t>2</w:t>
      </w:r>
      <w:r w:rsidR="00A71762" w:rsidRPr="002A5631">
        <w:rPr>
          <w:rFonts w:ascii="Arial" w:eastAsia="Times New Roman" w:hAnsi="Arial" w:cs="Arial"/>
          <w:sz w:val="24"/>
          <w:szCs w:val="24"/>
          <w:lang w:eastAsia="en-GB"/>
        </w:rPr>
        <w:t xml:space="preserve"> of the </w:t>
      </w:r>
      <w:r w:rsidR="00D43CBC" w:rsidRPr="002A5631">
        <w:rPr>
          <w:rFonts w:ascii="Arial" w:eastAsia="Times New Roman" w:hAnsi="Arial" w:cs="Arial"/>
          <w:sz w:val="24"/>
          <w:szCs w:val="24"/>
          <w:lang w:eastAsia="en-GB"/>
        </w:rPr>
        <w:t xml:space="preserve">Alienation </w:t>
      </w:r>
      <w:r w:rsidR="00A71762" w:rsidRPr="002A5631">
        <w:rPr>
          <w:rFonts w:ascii="Arial" w:eastAsia="Times New Roman" w:hAnsi="Arial" w:cs="Arial"/>
          <w:sz w:val="24"/>
          <w:szCs w:val="24"/>
          <w:lang w:eastAsia="en-GB"/>
        </w:rPr>
        <w:t xml:space="preserve">of </w:t>
      </w:r>
      <w:r w:rsidR="00A04194" w:rsidRPr="002A5631">
        <w:rPr>
          <w:rFonts w:ascii="Arial" w:eastAsia="Times New Roman" w:hAnsi="Arial" w:cs="Arial"/>
          <w:sz w:val="24"/>
          <w:szCs w:val="24"/>
          <w:lang w:eastAsia="en-GB"/>
        </w:rPr>
        <w:t xml:space="preserve">Land Act </w:t>
      </w:r>
      <w:r w:rsidR="00A772E6" w:rsidRPr="002A5631">
        <w:rPr>
          <w:rFonts w:ascii="Arial" w:eastAsia="Times New Roman" w:hAnsi="Arial" w:cs="Arial"/>
          <w:sz w:val="24"/>
          <w:szCs w:val="24"/>
          <w:lang w:eastAsia="en-GB"/>
        </w:rPr>
        <w:t>68 of 1981</w:t>
      </w:r>
      <w:r w:rsidR="00605807" w:rsidRPr="002A5631">
        <w:rPr>
          <w:rFonts w:ascii="Arial" w:eastAsia="Times New Roman" w:hAnsi="Arial" w:cs="Arial"/>
          <w:sz w:val="24"/>
          <w:szCs w:val="24"/>
          <w:lang w:eastAsia="en-GB"/>
        </w:rPr>
        <w:t xml:space="preserve"> (the Alienation Act)</w:t>
      </w:r>
      <w:r w:rsidR="00A33CF6" w:rsidRPr="002A5631">
        <w:rPr>
          <w:rFonts w:ascii="Arial" w:eastAsia="Times New Roman" w:hAnsi="Arial" w:cs="Arial"/>
          <w:sz w:val="24"/>
          <w:szCs w:val="24"/>
          <w:lang w:eastAsia="en-GB"/>
        </w:rPr>
        <w:t>;</w:t>
      </w:r>
      <w:r w:rsidR="00A772E6" w:rsidRPr="002A5631">
        <w:rPr>
          <w:rFonts w:ascii="Arial" w:eastAsia="Times New Roman" w:hAnsi="Arial" w:cs="Arial"/>
          <w:sz w:val="24"/>
          <w:szCs w:val="24"/>
          <w:lang w:eastAsia="en-GB"/>
        </w:rPr>
        <w:t xml:space="preserve"> secondly</w:t>
      </w:r>
      <w:r w:rsidR="00A04194" w:rsidRPr="002A5631">
        <w:rPr>
          <w:rFonts w:ascii="Arial" w:eastAsia="Times New Roman" w:hAnsi="Arial" w:cs="Arial"/>
          <w:sz w:val="24"/>
          <w:szCs w:val="24"/>
          <w:lang w:eastAsia="en-GB"/>
        </w:rPr>
        <w:t>,</w:t>
      </w:r>
      <w:r w:rsidR="00A772E6" w:rsidRPr="002A5631">
        <w:rPr>
          <w:rFonts w:ascii="Arial" w:eastAsia="Times New Roman" w:hAnsi="Arial" w:cs="Arial"/>
          <w:sz w:val="24"/>
          <w:szCs w:val="24"/>
          <w:lang w:eastAsia="en-GB"/>
        </w:rPr>
        <w:t xml:space="preserve"> the </w:t>
      </w:r>
      <w:r w:rsidR="0050691E" w:rsidRPr="002A5631">
        <w:rPr>
          <w:rFonts w:ascii="Arial" w:eastAsia="Times New Roman" w:hAnsi="Arial" w:cs="Arial"/>
          <w:sz w:val="24"/>
          <w:szCs w:val="24"/>
          <w:lang w:eastAsia="en-GB"/>
        </w:rPr>
        <w:t xml:space="preserve">applicant’s </w:t>
      </w:r>
      <w:r w:rsidR="00A04194" w:rsidRPr="002A5631">
        <w:rPr>
          <w:rFonts w:ascii="Arial" w:eastAsia="Times New Roman" w:hAnsi="Arial" w:cs="Arial"/>
          <w:sz w:val="24"/>
          <w:szCs w:val="24"/>
          <w:lang w:eastAsia="en-GB"/>
        </w:rPr>
        <w:t>noncompliance</w:t>
      </w:r>
      <w:r w:rsidR="00A772E6" w:rsidRPr="002A5631">
        <w:rPr>
          <w:rFonts w:ascii="Arial" w:eastAsia="Times New Roman" w:hAnsi="Arial" w:cs="Arial"/>
          <w:sz w:val="24"/>
          <w:szCs w:val="24"/>
          <w:lang w:eastAsia="en-GB"/>
        </w:rPr>
        <w:t xml:space="preserve"> with </w:t>
      </w:r>
      <w:r w:rsidR="00A33CF6" w:rsidRPr="002A5631">
        <w:rPr>
          <w:rFonts w:ascii="Arial" w:eastAsia="Times New Roman" w:hAnsi="Arial" w:cs="Arial"/>
          <w:sz w:val="24"/>
          <w:szCs w:val="24"/>
          <w:lang w:eastAsia="en-GB"/>
        </w:rPr>
        <w:t xml:space="preserve">Uniform </w:t>
      </w:r>
      <w:r w:rsidR="00A772E6" w:rsidRPr="002A5631">
        <w:rPr>
          <w:rFonts w:ascii="Arial" w:eastAsia="Times New Roman" w:hAnsi="Arial" w:cs="Arial"/>
          <w:sz w:val="24"/>
          <w:szCs w:val="24"/>
          <w:lang w:eastAsia="en-GB"/>
        </w:rPr>
        <w:t>rule 41</w:t>
      </w:r>
      <w:r w:rsidR="0050691E" w:rsidRPr="002A5631">
        <w:rPr>
          <w:rFonts w:ascii="Arial" w:eastAsia="Times New Roman" w:hAnsi="Arial" w:cs="Arial"/>
          <w:sz w:val="24"/>
          <w:szCs w:val="24"/>
          <w:lang w:eastAsia="en-GB"/>
        </w:rPr>
        <w:t>A</w:t>
      </w:r>
      <w:r w:rsidR="00A33CF6" w:rsidRPr="002A5631">
        <w:rPr>
          <w:rFonts w:ascii="Arial" w:eastAsia="Times New Roman" w:hAnsi="Arial" w:cs="Arial"/>
          <w:sz w:val="24"/>
          <w:szCs w:val="24"/>
          <w:lang w:eastAsia="en-GB"/>
        </w:rPr>
        <w:t>;</w:t>
      </w:r>
      <w:r w:rsidR="0050691E" w:rsidRPr="002A5631">
        <w:rPr>
          <w:rFonts w:ascii="Arial" w:eastAsia="Times New Roman" w:hAnsi="Arial" w:cs="Arial"/>
          <w:sz w:val="24"/>
          <w:szCs w:val="24"/>
          <w:lang w:eastAsia="en-GB"/>
        </w:rPr>
        <w:t xml:space="preserve"> and</w:t>
      </w:r>
      <w:r w:rsidR="00A772E6" w:rsidRPr="002A5631">
        <w:rPr>
          <w:rFonts w:ascii="Arial" w:eastAsia="Times New Roman" w:hAnsi="Arial" w:cs="Arial"/>
          <w:sz w:val="24"/>
          <w:szCs w:val="24"/>
          <w:lang w:eastAsia="en-GB"/>
        </w:rPr>
        <w:t xml:space="preserve"> lastly</w:t>
      </w:r>
      <w:r w:rsidR="00A33CF6" w:rsidRPr="002A5631">
        <w:rPr>
          <w:rFonts w:ascii="Arial" w:eastAsia="Times New Roman" w:hAnsi="Arial" w:cs="Arial"/>
          <w:sz w:val="24"/>
          <w:szCs w:val="24"/>
          <w:lang w:eastAsia="en-GB"/>
        </w:rPr>
        <w:t>,</w:t>
      </w:r>
      <w:r w:rsidR="00A772E6" w:rsidRPr="002A5631">
        <w:rPr>
          <w:rFonts w:ascii="Arial" w:eastAsia="Times New Roman" w:hAnsi="Arial" w:cs="Arial"/>
          <w:sz w:val="24"/>
          <w:szCs w:val="24"/>
          <w:lang w:eastAsia="en-GB"/>
        </w:rPr>
        <w:t xml:space="preserve"> the </w:t>
      </w:r>
      <w:r w:rsidR="00FE7892" w:rsidRPr="002A5631">
        <w:rPr>
          <w:rFonts w:ascii="Arial" w:eastAsia="Times New Roman" w:hAnsi="Arial" w:cs="Arial"/>
          <w:sz w:val="24"/>
          <w:szCs w:val="24"/>
          <w:lang w:eastAsia="en-GB"/>
        </w:rPr>
        <w:t>non-joinder</w:t>
      </w:r>
      <w:r w:rsidR="00A772E6" w:rsidRPr="002A5631">
        <w:rPr>
          <w:rFonts w:ascii="Arial" w:eastAsia="Times New Roman" w:hAnsi="Arial" w:cs="Arial"/>
          <w:sz w:val="24"/>
          <w:szCs w:val="24"/>
          <w:lang w:eastAsia="en-GB"/>
        </w:rPr>
        <w:t xml:space="preserve"> of Mr</w:t>
      </w:r>
      <w:r w:rsidR="00A33CF6" w:rsidRPr="002A5631">
        <w:rPr>
          <w:rFonts w:ascii="Arial" w:eastAsia="Times New Roman" w:hAnsi="Arial" w:cs="Arial"/>
          <w:sz w:val="24"/>
          <w:szCs w:val="24"/>
          <w:lang w:eastAsia="en-GB"/>
        </w:rPr>
        <w:t xml:space="preserve"> </w:t>
      </w:r>
      <w:proofErr w:type="spellStart"/>
      <w:r w:rsidR="0050691E" w:rsidRPr="002A5631">
        <w:rPr>
          <w:rFonts w:ascii="Arial" w:eastAsia="Times New Roman" w:hAnsi="Arial" w:cs="Arial"/>
          <w:sz w:val="24"/>
          <w:szCs w:val="24"/>
          <w:lang w:eastAsia="en-GB"/>
        </w:rPr>
        <w:t>Dlamini</w:t>
      </w:r>
      <w:proofErr w:type="spellEnd"/>
      <w:r w:rsidR="00A772E6" w:rsidRPr="002A5631">
        <w:rPr>
          <w:rFonts w:ascii="Arial" w:eastAsia="Times New Roman" w:hAnsi="Arial" w:cs="Arial"/>
          <w:sz w:val="24"/>
          <w:szCs w:val="24"/>
          <w:lang w:eastAsia="en-GB"/>
        </w:rPr>
        <w:t>.</w:t>
      </w:r>
      <w:r w:rsidR="00705EE4" w:rsidRPr="002A5631">
        <w:rPr>
          <w:rFonts w:ascii="Arial" w:eastAsia="Times New Roman" w:hAnsi="Arial" w:cs="Arial"/>
          <w:sz w:val="24"/>
          <w:szCs w:val="24"/>
          <w:lang w:eastAsia="en-GB"/>
        </w:rPr>
        <w:t xml:space="preserve"> I will return to these points in </w:t>
      </w:r>
      <w:proofErr w:type="spellStart"/>
      <w:r w:rsidR="00705EE4" w:rsidRPr="002A5631">
        <w:rPr>
          <w:rFonts w:ascii="Arial" w:eastAsia="Times New Roman" w:hAnsi="Arial" w:cs="Arial"/>
          <w:sz w:val="24"/>
          <w:szCs w:val="24"/>
          <w:lang w:eastAsia="en-GB"/>
        </w:rPr>
        <w:t>limine</w:t>
      </w:r>
      <w:proofErr w:type="spellEnd"/>
      <w:r w:rsidR="00705EE4" w:rsidRPr="002A5631">
        <w:rPr>
          <w:rFonts w:ascii="Arial" w:eastAsia="Times New Roman" w:hAnsi="Arial" w:cs="Arial"/>
          <w:sz w:val="24"/>
          <w:szCs w:val="24"/>
          <w:lang w:eastAsia="en-GB"/>
        </w:rPr>
        <w:t xml:space="preserve"> below </w:t>
      </w:r>
      <w:r w:rsidR="001C2099" w:rsidRPr="002A5631">
        <w:rPr>
          <w:rFonts w:ascii="Arial" w:eastAsia="Times New Roman" w:hAnsi="Arial" w:cs="Arial"/>
          <w:sz w:val="24"/>
          <w:szCs w:val="24"/>
          <w:lang w:eastAsia="en-GB"/>
        </w:rPr>
        <w:t xml:space="preserve">when </w:t>
      </w:r>
      <w:r w:rsidR="00705EE4" w:rsidRPr="002A5631">
        <w:rPr>
          <w:rFonts w:ascii="Arial" w:eastAsia="Times New Roman" w:hAnsi="Arial" w:cs="Arial"/>
          <w:sz w:val="24"/>
          <w:szCs w:val="24"/>
          <w:lang w:eastAsia="en-GB"/>
        </w:rPr>
        <w:t>necessary.</w:t>
      </w:r>
    </w:p>
    <w:p w14:paraId="167464AF" w14:textId="1B434D1A" w:rsidR="006F470E" w:rsidRPr="002A5631" w:rsidRDefault="006F470E" w:rsidP="00A6674F">
      <w:pPr>
        <w:spacing w:after="0" w:line="360" w:lineRule="auto"/>
        <w:contextualSpacing/>
        <w:jc w:val="both"/>
        <w:rPr>
          <w:rFonts w:ascii="Arial" w:eastAsia="Times New Roman" w:hAnsi="Arial" w:cs="Arial"/>
          <w:sz w:val="24"/>
          <w:szCs w:val="24"/>
          <w:lang w:eastAsia="en-GB"/>
        </w:rPr>
      </w:pPr>
    </w:p>
    <w:p w14:paraId="251019ED" w14:textId="57ABF55A" w:rsidR="00A27BD6" w:rsidRPr="002A5631" w:rsidRDefault="004945B5"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[1</w:t>
      </w:r>
      <w:r w:rsidR="002A5595" w:rsidRPr="002A5631">
        <w:rPr>
          <w:rFonts w:ascii="Arial" w:eastAsia="Times New Roman" w:hAnsi="Arial" w:cs="Arial"/>
          <w:sz w:val="24"/>
          <w:szCs w:val="24"/>
          <w:lang w:eastAsia="en-GB"/>
        </w:rPr>
        <w:t>9</w:t>
      </w:r>
      <w:r w:rsidR="006F470E" w:rsidRPr="002A5631">
        <w:rPr>
          <w:rFonts w:ascii="Arial" w:eastAsia="Times New Roman" w:hAnsi="Arial" w:cs="Arial"/>
          <w:sz w:val="24"/>
          <w:szCs w:val="24"/>
          <w:lang w:eastAsia="en-GB"/>
        </w:rPr>
        <w:t>]</w:t>
      </w:r>
      <w:r w:rsidR="006F470E" w:rsidRPr="002A5631">
        <w:rPr>
          <w:rFonts w:ascii="Arial" w:eastAsia="Times New Roman" w:hAnsi="Arial" w:cs="Arial"/>
          <w:sz w:val="24"/>
          <w:szCs w:val="24"/>
          <w:lang w:eastAsia="en-GB"/>
        </w:rPr>
        <w:tab/>
      </w:r>
      <w:r w:rsidR="00107459" w:rsidRPr="002A5631">
        <w:rPr>
          <w:rFonts w:ascii="Arial" w:eastAsia="Times New Roman" w:hAnsi="Arial" w:cs="Arial"/>
          <w:sz w:val="24"/>
          <w:szCs w:val="24"/>
          <w:lang w:eastAsia="en-GB"/>
        </w:rPr>
        <w:t>The first respondent stated that during or about 2009</w:t>
      </w:r>
      <w:r w:rsidR="00A33CF6" w:rsidRPr="002A5631">
        <w:rPr>
          <w:rFonts w:ascii="Arial" w:eastAsia="Times New Roman" w:hAnsi="Arial" w:cs="Arial"/>
          <w:sz w:val="24"/>
          <w:szCs w:val="24"/>
          <w:lang w:eastAsia="en-GB"/>
        </w:rPr>
        <w:t>,</w:t>
      </w:r>
      <w:r w:rsidR="00107459" w:rsidRPr="002A5631">
        <w:rPr>
          <w:rFonts w:ascii="Arial" w:eastAsia="Times New Roman" w:hAnsi="Arial" w:cs="Arial"/>
          <w:sz w:val="24"/>
          <w:szCs w:val="24"/>
          <w:lang w:eastAsia="en-GB"/>
        </w:rPr>
        <w:t xml:space="preserve"> she was experiencing financial difficulties as a result of family responsibilities. She required funds to pay for her mother's medical treatment and had to resort to obtaining a loan. She was introduced to the applicant by </w:t>
      </w:r>
      <w:r w:rsidR="004730EA" w:rsidRPr="002A5631">
        <w:rPr>
          <w:rFonts w:ascii="Arial" w:eastAsia="Times New Roman" w:hAnsi="Arial" w:cs="Arial"/>
          <w:sz w:val="24"/>
          <w:szCs w:val="24"/>
          <w:lang w:eastAsia="en-GB"/>
        </w:rPr>
        <w:t xml:space="preserve">Mrs </w:t>
      </w:r>
      <w:proofErr w:type="spellStart"/>
      <w:r w:rsidR="004730EA" w:rsidRPr="002A5631">
        <w:rPr>
          <w:rFonts w:ascii="Arial" w:eastAsia="Times New Roman" w:hAnsi="Arial" w:cs="Arial"/>
          <w:sz w:val="24"/>
          <w:szCs w:val="24"/>
          <w:lang w:eastAsia="en-GB"/>
        </w:rPr>
        <w:t>Hadebe</w:t>
      </w:r>
      <w:proofErr w:type="spellEnd"/>
      <w:r w:rsidR="004730EA" w:rsidRPr="002A5631">
        <w:rPr>
          <w:rFonts w:ascii="Arial" w:eastAsia="Times New Roman" w:hAnsi="Arial" w:cs="Arial"/>
          <w:sz w:val="24"/>
          <w:szCs w:val="24"/>
          <w:lang w:eastAsia="en-GB"/>
        </w:rPr>
        <w:t>,</w:t>
      </w:r>
      <w:r w:rsidR="00FA36A8" w:rsidRPr="002A5631">
        <w:rPr>
          <w:rFonts w:ascii="Arial" w:eastAsia="Times New Roman" w:hAnsi="Arial" w:cs="Arial"/>
          <w:sz w:val="24"/>
          <w:szCs w:val="24"/>
          <w:lang w:eastAsia="en-GB"/>
        </w:rPr>
        <w:t xml:space="preserve"> who</w:t>
      </w:r>
      <w:r w:rsidR="004606D3">
        <w:rPr>
          <w:rFonts w:ascii="Arial" w:eastAsia="Times New Roman" w:hAnsi="Arial" w:cs="Arial"/>
          <w:sz w:val="24"/>
          <w:szCs w:val="24"/>
          <w:lang w:eastAsia="en-GB"/>
        </w:rPr>
        <w:t>m</w:t>
      </w:r>
      <w:r w:rsidR="00FA36A8" w:rsidRPr="002A5631">
        <w:rPr>
          <w:rFonts w:ascii="Arial" w:eastAsia="Times New Roman" w:hAnsi="Arial" w:cs="Arial"/>
          <w:sz w:val="24"/>
          <w:szCs w:val="24"/>
          <w:lang w:eastAsia="en-GB"/>
        </w:rPr>
        <w:t xml:space="preserve"> she understood to be related to the applicant. She met with the applicant and they agreed that the applicant would advance her the sum of</w:t>
      </w:r>
      <w:r w:rsidR="0076287B" w:rsidRPr="002A5631">
        <w:rPr>
          <w:rFonts w:ascii="Arial" w:eastAsia="Times New Roman" w:hAnsi="Arial" w:cs="Arial"/>
          <w:sz w:val="24"/>
          <w:szCs w:val="24"/>
          <w:lang w:eastAsia="en-GB"/>
        </w:rPr>
        <w:t xml:space="preserve"> R</w:t>
      </w:r>
      <w:r w:rsidR="00FA36A8" w:rsidRPr="002A5631">
        <w:rPr>
          <w:rFonts w:ascii="Arial" w:eastAsia="Times New Roman" w:hAnsi="Arial" w:cs="Arial"/>
          <w:sz w:val="24"/>
          <w:szCs w:val="24"/>
          <w:lang w:eastAsia="en-GB"/>
        </w:rPr>
        <w:t>12</w:t>
      </w:r>
      <w:r w:rsidR="00255164" w:rsidRPr="002A5631">
        <w:rPr>
          <w:rFonts w:ascii="Arial" w:eastAsia="Times New Roman" w:hAnsi="Arial" w:cs="Arial"/>
          <w:sz w:val="24"/>
          <w:szCs w:val="24"/>
          <w:lang w:eastAsia="en-GB"/>
        </w:rPr>
        <w:t> </w:t>
      </w:r>
      <w:r w:rsidR="00FA36A8" w:rsidRPr="002A5631">
        <w:rPr>
          <w:rFonts w:ascii="Arial" w:eastAsia="Times New Roman" w:hAnsi="Arial" w:cs="Arial"/>
          <w:sz w:val="24"/>
          <w:szCs w:val="24"/>
          <w:lang w:eastAsia="en-GB"/>
        </w:rPr>
        <w:t>000</w:t>
      </w:r>
      <w:r w:rsidR="004E2027" w:rsidRPr="002A5631">
        <w:rPr>
          <w:rFonts w:ascii="Arial" w:eastAsia="Times New Roman" w:hAnsi="Arial" w:cs="Arial"/>
          <w:sz w:val="24"/>
          <w:szCs w:val="24"/>
          <w:lang w:eastAsia="en-GB"/>
        </w:rPr>
        <w:t xml:space="preserve"> </w:t>
      </w:r>
      <w:r w:rsidR="00FA36A8" w:rsidRPr="002A5631">
        <w:rPr>
          <w:rFonts w:ascii="Arial" w:eastAsia="Times New Roman" w:hAnsi="Arial" w:cs="Arial"/>
          <w:sz w:val="24"/>
          <w:szCs w:val="24"/>
          <w:lang w:eastAsia="en-GB"/>
        </w:rPr>
        <w:t xml:space="preserve">as </w:t>
      </w:r>
      <w:r w:rsidR="00412220" w:rsidRPr="002A5631">
        <w:rPr>
          <w:rFonts w:ascii="Arial" w:eastAsia="Times New Roman" w:hAnsi="Arial" w:cs="Arial"/>
          <w:sz w:val="24"/>
          <w:szCs w:val="24"/>
          <w:lang w:eastAsia="en-GB"/>
        </w:rPr>
        <w:t xml:space="preserve">a loan </w:t>
      </w:r>
      <w:r w:rsidR="00FA36A8" w:rsidRPr="002A5631">
        <w:rPr>
          <w:rFonts w:ascii="Arial" w:eastAsia="Times New Roman" w:hAnsi="Arial" w:cs="Arial"/>
          <w:sz w:val="24"/>
          <w:szCs w:val="24"/>
          <w:lang w:eastAsia="en-GB"/>
        </w:rPr>
        <w:t>which had to be repaid. As security, the applicant would keep the title deed</w:t>
      </w:r>
      <w:r w:rsidR="00412220" w:rsidRPr="002A5631">
        <w:rPr>
          <w:rFonts w:ascii="Arial" w:eastAsia="Times New Roman" w:hAnsi="Arial" w:cs="Arial"/>
          <w:sz w:val="24"/>
          <w:szCs w:val="24"/>
          <w:lang w:eastAsia="en-GB"/>
        </w:rPr>
        <w:t xml:space="preserve"> </w:t>
      </w:r>
      <w:r w:rsidR="00FE7892" w:rsidRPr="002A5631">
        <w:rPr>
          <w:rFonts w:ascii="Arial" w:eastAsia="Times New Roman" w:hAnsi="Arial" w:cs="Arial"/>
          <w:sz w:val="24"/>
          <w:szCs w:val="24"/>
          <w:lang w:eastAsia="en-GB"/>
        </w:rPr>
        <w:t>and in</w:t>
      </w:r>
      <w:r w:rsidR="00FA36A8" w:rsidRPr="002A5631">
        <w:rPr>
          <w:rFonts w:ascii="Arial" w:eastAsia="Times New Roman" w:hAnsi="Arial" w:cs="Arial"/>
          <w:sz w:val="24"/>
          <w:szCs w:val="24"/>
          <w:lang w:eastAsia="en-GB"/>
        </w:rPr>
        <w:t xml:space="preserve"> lieu of paying </w:t>
      </w:r>
      <w:r w:rsidR="001704DF" w:rsidRPr="002A5631">
        <w:rPr>
          <w:rFonts w:ascii="Arial" w:eastAsia="Times New Roman" w:hAnsi="Arial" w:cs="Arial"/>
          <w:sz w:val="24"/>
          <w:szCs w:val="24"/>
          <w:lang w:eastAsia="en-GB"/>
        </w:rPr>
        <w:t>interest, the</w:t>
      </w:r>
      <w:r w:rsidR="00D82223" w:rsidRPr="002A5631">
        <w:rPr>
          <w:rFonts w:ascii="Arial" w:eastAsia="Times New Roman" w:hAnsi="Arial" w:cs="Arial"/>
          <w:sz w:val="24"/>
          <w:szCs w:val="24"/>
          <w:lang w:eastAsia="en-GB"/>
        </w:rPr>
        <w:t xml:space="preserve"> applicant would </w:t>
      </w:r>
      <w:r w:rsidR="00D82223" w:rsidRPr="002A5631">
        <w:rPr>
          <w:rFonts w:ascii="Arial" w:eastAsia="Times New Roman" w:hAnsi="Arial" w:cs="Arial"/>
          <w:sz w:val="24"/>
          <w:szCs w:val="24"/>
          <w:lang w:eastAsia="en-GB"/>
        </w:rPr>
        <w:lastRenderedPageBreak/>
        <w:t xml:space="preserve">hold the keys and would collect rentals from tenants she allowed to occupy the property. Upon repayment of the </w:t>
      </w:r>
      <w:r w:rsidR="0084171E" w:rsidRPr="002A5631">
        <w:rPr>
          <w:rFonts w:ascii="Arial" w:eastAsia="Times New Roman" w:hAnsi="Arial" w:cs="Arial"/>
          <w:sz w:val="24"/>
          <w:szCs w:val="24"/>
          <w:lang w:eastAsia="en-GB"/>
        </w:rPr>
        <w:t>R</w:t>
      </w:r>
      <w:r w:rsidR="00D82223" w:rsidRPr="002A5631">
        <w:rPr>
          <w:rFonts w:ascii="Arial" w:eastAsia="Times New Roman" w:hAnsi="Arial" w:cs="Arial"/>
          <w:sz w:val="24"/>
          <w:szCs w:val="24"/>
          <w:lang w:eastAsia="en-GB"/>
        </w:rPr>
        <w:t>12</w:t>
      </w:r>
      <w:r w:rsidR="00255164" w:rsidRPr="002A5631">
        <w:rPr>
          <w:rFonts w:ascii="Arial" w:eastAsia="Times New Roman" w:hAnsi="Arial" w:cs="Arial"/>
          <w:sz w:val="24"/>
          <w:szCs w:val="24"/>
          <w:lang w:eastAsia="en-GB"/>
        </w:rPr>
        <w:t> </w:t>
      </w:r>
      <w:r w:rsidR="00D82223" w:rsidRPr="002A5631">
        <w:rPr>
          <w:rFonts w:ascii="Arial" w:eastAsia="Times New Roman" w:hAnsi="Arial" w:cs="Arial"/>
          <w:sz w:val="24"/>
          <w:szCs w:val="24"/>
          <w:lang w:eastAsia="en-GB"/>
        </w:rPr>
        <w:t>000, the applicant would return the</w:t>
      </w:r>
      <w:r w:rsidR="00A27BD6" w:rsidRPr="002A5631">
        <w:rPr>
          <w:rFonts w:ascii="Arial" w:eastAsia="Times New Roman" w:hAnsi="Arial" w:cs="Arial"/>
          <w:sz w:val="24"/>
          <w:szCs w:val="24"/>
          <w:lang w:eastAsia="en-GB"/>
        </w:rPr>
        <w:t xml:space="preserve"> keys and title deed to the </w:t>
      </w:r>
      <w:r w:rsidR="00D82223" w:rsidRPr="002A5631">
        <w:rPr>
          <w:rFonts w:ascii="Arial" w:eastAsia="Times New Roman" w:hAnsi="Arial" w:cs="Arial"/>
          <w:sz w:val="24"/>
          <w:szCs w:val="24"/>
          <w:lang w:eastAsia="en-GB"/>
        </w:rPr>
        <w:t>first respondent</w:t>
      </w:r>
      <w:r w:rsidR="00A27BD6" w:rsidRPr="002A5631">
        <w:rPr>
          <w:rFonts w:ascii="Arial" w:eastAsia="Times New Roman" w:hAnsi="Arial" w:cs="Arial"/>
          <w:sz w:val="24"/>
          <w:szCs w:val="24"/>
          <w:lang w:eastAsia="en-GB"/>
        </w:rPr>
        <w:t>.</w:t>
      </w:r>
    </w:p>
    <w:p w14:paraId="780CED01" w14:textId="77777777" w:rsidR="006E7C9D" w:rsidRPr="002A5631" w:rsidRDefault="006E7C9D" w:rsidP="00A6674F">
      <w:pPr>
        <w:spacing w:after="0" w:line="360" w:lineRule="auto"/>
        <w:contextualSpacing/>
        <w:jc w:val="both"/>
        <w:rPr>
          <w:rFonts w:ascii="Arial" w:eastAsia="Times New Roman" w:hAnsi="Arial" w:cs="Arial"/>
          <w:sz w:val="24"/>
          <w:szCs w:val="24"/>
          <w:lang w:eastAsia="en-GB"/>
        </w:rPr>
      </w:pPr>
    </w:p>
    <w:p w14:paraId="117C9CB8" w14:textId="74A52E8C" w:rsidR="00A24036" w:rsidRPr="002A5631" w:rsidRDefault="006E7C9D"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20</w:t>
      </w:r>
      <w:r w:rsidR="009A094D" w:rsidRPr="002A5631">
        <w:rPr>
          <w:rFonts w:ascii="Arial" w:eastAsia="Times New Roman" w:hAnsi="Arial" w:cs="Arial"/>
          <w:sz w:val="24"/>
          <w:szCs w:val="24"/>
          <w:lang w:eastAsia="en-GB"/>
        </w:rPr>
        <w:t>]</w:t>
      </w:r>
      <w:r w:rsidR="00EB532B" w:rsidRPr="002A5631">
        <w:rPr>
          <w:rFonts w:ascii="Arial" w:eastAsia="Times New Roman" w:hAnsi="Arial" w:cs="Arial"/>
          <w:sz w:val="24"/>
          <w:szCs w:val="24"/>
          <w:lang w:eastAsia="en-GB"/>
        </w:rPr>
        <w:tab/>
      </w:r>
      <w:r w:rsidR="00C542A4" w:rsidRPr="002A5631">
        <w:rPr>
          <w:rFonts w:ascii="Arial" w:eastAsia="Times New Roman" w:hAnsi="Arial" w:cs="Arial"/>
          <w:sz w:val="24"/>
          <w:szCs w:val="24"/>
          <w:lang w:eastAsia="en-GB"/>
        </w:rPr>
        <w:t>The first respondent alleged that</w:t>
      </w:r>
      <w:r w:rsidR="000B0836" w:rsidRPr="002A5631">
        <w:rPr>
          <w:rFonts w:ascii="Arial" w:eastAsia="Times New Roman" w:hAnsi="Arial" w:cs="Arial"/>
          <w:sz w:val="24"/>
          <w:szCs w:val="24"/>
          <w:lang w:eastAsia="en-GB"/>
        </w:rPr>
        <w:t xml:space="preserve"> </w:t>
      </w:r>
      <w:r w:rsidR="00C542A4" w:rsidRPr="002A5631">
        <w:rPr>
          <w:rFonts w:ascii="Arial" w:eastAsia="Times New Roman" w:hAnsi="Arial" w:cs="Arial"/>
          <w:sz w:val="24"/>
          <w:szCs w:val="24"/>
          <w:lang w:eastAsia="en-GB"/>
        </w:rPr>
        <w:t>b</w:t>
      </w:r>
      <w:r w:rsidR="000B0836" w:rsidRPr="002A5631">
        <w:rPr>
          <w:rFonts w:ascii="Arial" w:eastAsia="Times New Roman" w:hAnsi="Arial" w:cs="Arial"/>
          <w:sz w:val="24"/>
          <w:szCs w:val="24"/>
          <w:lang w:eastAsia="en-GB"/>
        </w:rPr>
        <w:t>oth parties complied with the terms of their verbal agreement.</w:t>
      </w:r>
      <w:r w:rsidR="00CF54D4" w:rsidRPr="002A5631">
        <w:rPr>
          <w:rFonts w:ascii="Arial" w:eastAsia="Times New Roman" w:hAnsi="Arial" w:cs="Arial"/>
          <w:sz w:val="24"/>
          <w:szCs w:val="24"/>
          <w:lang w:eastAsia="en-GB"/>
        </w:rPr>
        <w:t xml:space="preserve"> For a prolonged </w:t>
      </w:r>
      <w:r w:rsidR="00C542A4" w:rsidRPr="002A5631">
        <w:rPr>
          <w:rFonts w:ascii="Arial" w:eastAsia="Times New Roman" w:hAnsi="Arial" w:cs="Arial"/>
          <w:sz w:val="24"/>
          <w:szCs w:val="24"/>
          <w:lang w:eastAsia="en-GB"/>
        </w:rPr>
        <w:t>period,</w:t>
      </w:r>
      <w:r w:rsidR="00CF54D4" w:rsidRPr="002A5631">
        <w:rPr>
          <w:rFonts w:ascii="Arial" w:eastAsia="Times New Roman" w:hAnsi="Arial" w:cs="Arial"/>
          <w:sz w:val="24"/>
          <w:szCs w:val="24"/>
          <w:lang w:eastAsia="en-GB"/>
        </w:rPr>
        <w:t xml:space="preserve"> the first respondent was unable to procure </w:t>
      </w:r>
      <w:r w:rsidR="001704DF" w:rsidRPr="002A5631">
        <w:rPr>
          <w:rFonts w:ascii="Arial" w:eastAsia="Times New Roman" w:hAnsi="Arial" w:cs="Arial"/>
          <w:sz w:val="24"/>
          <w:szCs w:val="24"/>
          <w:lang w:eastAsia="en-GB"/>
        </w:rPr>
        <w:t>the R</w:t>
      </w:r>
      <w:r w:rsidR="00CF54D4" w:rsidRPr="002A5631">
        <w:rPr>
          <w:rFonts w:ascii="Arial" w:eastAsia="Times New Roman" w:hAnsi="Arial" w:cs="Arial"/>
          <w:sz w:val="24"/>
          <w:szCs w:val="24"/>
          <w:lang w:eastAsia="en-GB"/>
        </w:rPr>
        <w:t>12</w:t>
      </w:r>
      <w:r w:rsidR="00255164" w:rsidRPr="002A5631">
        <w:rPr>
          <w:rFonts w:ascii="Arial" w:eastAsia="Times New Roman" w:hAnsi="Arial" w:cs="Arial"/>
          <w:sz w:val="24"/>
          <w:szCs w:val="24"/>
          <w:lang w:eastAsia="en-GB"/>
        </w:rPr>
        <w:t> </w:t>
      </w:r>
      <w:r w:rsidR="00CF54D4" w:rsidRPr="002A5631">
        <w:rPr>
          <w:rFonts w:ascii="Arial" w:eastAsia="Times New Roman" w:hAnsi="Arial" w:cs="Arial"/>
          <w:sz w:val="24"/>
          <w:szCs w:val="24"/>
          <w:lang w:eastAsia="en-GB"/>
        </w:rPr>
        <w:t>000 to pay</w:t>
      </w:r>
      <w:r w:rsidR="00C27F2F" w:rsidRPr="002A5631">
        <w:rPr>
          <w:rFonts w:ascii="Arial" w:eastAsia="Times New Roman" w:hAnsi="Arial" w:cs="Arial"/>
          <w:sz w:val="24"/>
          <w:szCs w:val="24"/>
          <w:lang w:eastAsia="en-GB"/>
        </w:rPr>
        <w:t xml:space="preserve"> </w:t>
      </w:r>
      <w:r w:rsidR="00CF54D4" w:rsidRPr="002A5631">
        <w:rPr>
          <w:rFonts w:ascii="Arial" w:eastAsia="Times New Roman" w:hAnsi="Arial" w:cs="Arial"/>
          <w:sz w:val="24"/>
          <w:szCs w:val="24"/>
          <w:lang w:eastAsia="en-GB"/>
        </w:rPr>
        <w:t>off her debt to the applicant. During February 2022, she acquired the full amount and approached the applicant to repay the loan and to retrieve her keys and the title deed. The applicant refused to accept the money from the first respondent</w:t>
      </w:r>
      <w:r w:rsidR="00E94161" w:rsidRPr="002A5631">
        <w:rPr>
          <w:rFonts w:ascii="Arial" w:eastAsia="Times New Roman" w:hAnsi="Arial" w:cs="Arial"/>
          <w:sz w:val="24"/>
          <w:szCs w:val="24"/>
          <w:lang w:eastAsia="en-GB"/>
        </w:rPr>
        <w:t xml:space="preserve"> and insisted that she had bought the property from the first respondent</w:t>
      </w:r>
      <w:r w:rsidR="00AE385C" w:rsidRPr="002A5631">
        <w:rPr>
          <w:rFonts w:ascii="Arial" w:eastAsia="Times New Roman" w:hAnsi="Arial" w:cs="Arial"/>
          <w:sz w:val="24"/>
          <w:szCs w:val="24"/>
          <w:lang w:eastAsia="en-GB"/>
        </w:rPr>
        <w:t>.</w:t>
      </w:r>
      <w:r w:rsidR="004E2027" w:rsidRPr="002A5631">
        <w:rPr>
          <w:rFonts w:ascii="Arial" w:eastAsia="Times New Roman" w:hAnsi="Arial" w:cs="Arial"/>
          <w:sz w:val="24"/>
          <w:szCs w:val="24"/>
          <w:lang w:eastAsia="en-GB"/>
        </w:rPr>
        <w:t xml:space="preserve"> </w:t>
      </w:r>
      <w:r w:rsidR="00D44D69" w:rsidRPr="002A5631">
        <w:rPr>
          <w:rFonts w:ascii="Arial" w:eastAsia="Times New Roman" w:hAnsi="Arial" w:cs="Arial"/>
          <w:sz w:val="24"/>
          <w:szCs w:val="24"/>
          <w:lang w:eastAsia="en-GB"/>
        </w:rPr>
        <w:t>The</w:t>
      </w:r>
      <w:r w:rsidR="00E94161" w:rsidRPr="002A5631">
        <w:rPr>
          <w:rFonts w:ascii="Arial" w:eastAsia="Times New Roman" w:hAnsi="Arial" w:cs="Arial"/>
          <w:sz w:val="24"/>
          <w:szCs w:val="24"/>
          <w:lang w:eastAsia="en-GB"/>
        </w:rPr>
        <w:t xml:space="preserve"> first respondent </w:t>
      </w:r>
      <w:r w:rsidR="004606D3" w:rsidRPr="002A5631">
        <w:rPr>
          <w:rFonts w:ascii="Arial" w:eastAsia="Times New Roman" w:hAnsi="Arial" w:cs="Arial"/>
          <w:sz w:val="24"/>
          <w:szCs w:val="24"/>
          <w:lang w:eastAsia="en-GB"/>
        </w:rPr>
        <w:t>allege</w:t>
      </w:r>
      <w:r w:rsidR="004606D3">
        <w:rPr>
          <w:rFonts w:ascii="Arial" w:eastAsia="Times New Roman" w:hAnsi="Arial" w:cs="Arial"/>
          <w:sz w:val="24"/>
          <w:szCs w:val="24"/>
          <w:lang w:eastAsia="en-GB"/>
        </w:rPr>
        <w:t>d</w:t>
      </w:r>
      <w:r w:rsidR="004606D3" w:rsidRPr="002A5631">
        <w:rPr>
          <w:rFonts w:ascii="Arial" w:eastAsia="Times New Roman" w:hAnsi="Arial" w:cs="Arial"/>
          <w:sz w:val="24"/>
          <w:szCs w:val="24"/>
          <w:lang w:eastAsia="en-GB"/>
        </w:rPr>
        <w:t xml:space="preserve"> </w:t>
      </w:r>
      <w:r w:rsidR="00E94161" w:rsidRPr="002A5631">
        <w:rPr>
          <w:rFonts w:ascii="Arial" w:eastAsia="Times New Roman" w:hAnsi="Arial" w:cs="Arial"/>
          <w:sz w:val="24"/>
          <w:szCs w:val="24"/>
          <w:lang w:eastAsia="en-GB"/>
        </w:rPr>
        <w:t xml:space="preserve">that she pleaded with the applicant to accept the </w:t>
      </w:r>
      <w:r w:rsidR="00D44D69" w:rsidRPr="002A5631">
        <w:rPr>
          <w:rFonts w:ascii="Arial" w:eastAsia="Times New Roman" w:hAnsi="Arial" w:cs="Arial"/>
          <w:sz w:val="24"/>
          <w:szCs w:val="24"/>
          <w:lang w:eastAsia="en-GB"/>
        </w:rPr>
        <w:t xml:space="preserve">repayment </w:t>
      </w:r>
      <w:r w:rsidR="00E94161" w:rsidRPr="002A5631">
        <w:rPr>
          <w:rFonts w:ascii="Arial" w:eastAsia="Times New Roman" w:hAnsi="Arial" w:cs="Arial"/>
          <w:sz w:val="24"/>
          <w:szCs w:val="24"/>
          <w:lang w:eastAsia="en-GB"/>
        </w:rPr>
        <w:t>and to return the title deed and keys to her but the applicant refused and became aggressive towards her.</w:t>
      </w:r>
      <w:r w:rsidR="00DB480D" w:rsidRPr="002A5631">
        <w:rPr>
          <w:rFonts w:ascii="Arial" w:eastAsia="Times New Roman" w:hAnsi="Arial" w:cs="Arial"/>
          <w:sz w:val="24"/>
          <w:szCs w:val="24"/>
          <w:lang w:eastAsia="en-GB"/>
        </w:rPr>
        <w:t xml:space="preserve"> </w:t>
      </w:r>
    </w:p>
    <w:p w14:paraId="2DAC7198" w14:textId="753E872F" w:rsidR="00AA5F1C" w:rsidRPr="002A5631" w:rsidRDefault="00AA5F1C" w:rsidP="00A6674F">
      <w:pPr>
        <w:spacing w:after="0" w:line="360" w:lineRule="auto"/>
        <w:contextualSpacing/>
        <w:jc w:val="both"/>
        <w:rPr>
          <w:rFonts w:ascii="Arial" w:eastAsia="Times New Roman" w:hAnsi="Arial" w:cs="Arial"/>
          <w:sz w:val="24"/>
          <w:szCs w:val="24"/>
          <w:lang w:eastAsia="en-GB"/>
        </w:rPr>
      </w:pPr>
    </w:p>
    <w:p w14:paraId="7AD51021" w14:textId="7FF79E7A" w:rsidR="00AA5F1C" w:rsidRPr="002A5631" w:rsidRDefault="00AA5F1C"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8D44AD" w:rsidRPr="002A5631">
        <w:rPr>
          <w:rFonts w:ascii="Arial" w:eastAsia="Times New Roman" w:hAnsi="Arial" w:cs="Arial"/>
          <w:sz w:val="24"/>
          <w:szCs w:val="24"/>
          <w:lang w:eastAsia="en-GB"/>
        </w:rPr>
        <w:t>2</w:t>
      </w:r>
      <w:r w:rsidR="002A5595" w:rsidRPr="002A5631">
        <w:rPr>
          <w:rFonts w:ascii="Arial" w:eastAsia="Times New Roman" w:hAnsi="Arial" w:cs="Arial"/>
          <w:sz w:val="24"/>
          <w:szCs w:val="24"/>
          <w:lang w:eastAsia="en-GB"/>
        </w:rPr>
        <w:t>1</w:t>
      </w:r>
      <w:r w:rsidRPr="002A5631">
        <w:rPr>
          <w:rFonts w:ascii="Arial" w:eastAsia="Times New Roman" w:hAnsi="Arial" w:cs="Arial"/>
          <w:sz w:val="24"/>
          <w:szCs w:val="24"/>
          <w:lang w:eastAsia="en-GB"/>
        </w:rPr>
        <w:t>]</w:t>
      </w:r>
      <w:r w:rsidRPr="002A5631">
        <w:rPr>
          <w:rFonts w:ascii="Arial" w:eastAsia="Times New Roman" w:hAnsi="Arial" w:cs="Arial"/>
          <w:sz w:val="24"/>
          <w:szCs w:val="24"/>
          <w:lang w:eastAsia="en-GB"/>
        </w:rPr>
        <w:tab/>
      </w:r>
      <w:r w:rsidR="00C33874" w:rsidRPr="002A5631">
        <w:rPr>
          <w:rFonts w:ascii="Arial" w:eastAsia="Times New Roman" w:hAnsi="Arial" w:cs="Arial"/>
          <w:sz w:val="24"/>
          <w:szCs w:val="24"/>
          <w:lang w:eastAsia="en-GB"/>
        </w:rPr>
        <w:t xml:space="preserve">The first respondent stated that she sold the property to Mr </w:t>
      </w:r>
      <w:proofErr w:type="spellStart"/>
      <w:r w:rsidR="00B1582C" w:rsidRPr="002A5631">
        <w:rPr>
          <w:rFonts w:ascii="Arial" w:eastAsia="Times New Roman" w:hAnsi="Arial" w:cs="Arial"/>
          <w:sz w:val="24"/>
          <w:szCs w:val="24"/>
          <w:lang w:eastAsia="en-GB"/>
        </w:rPr>
        <w:t>Dlamini</w:t>
      </w:r>
      <w:proofErr w:type="spellEnd"/>
      <w:r w:rsidR="00C33874" w:rsidRPr="002A5631">
        <w:rPr>
          <w:rFonts w:ascii="Arial" w:eastAsia="Times New Roman" w:hAnsi="Arial" w:cs="Arial"/>
          <w:sz w:val="24"/>
          <w:szCs w:val="24"/>
          <w:lang w:eastAsia="en-GB"/>
        </w:rPr>
        <w:t xml:space="preserve"> on or about 12 October 2021.</w:t>
      </w:r>
    </w:p>
    <w:p w14:paraId="044639FC" w14:textId="77777777" w:rsidR="006E7C9D" w:rsidRPr="002A5631" w:rsidRDefault="006E7C9D" w:rsidP="00A6674F">
      <w:pPr>
        <w:spacing w:after="0" w:line="360" w:lineRule="auto"/>
        <w:contextualSpacing/>
        <w:jc w:val="both"/>
        <w:rPr>
          <w:rFonts w:ascii="Arial" w:eastAsia="Times New Roman" w:hAnsi="Arial" w:cs="Arial"/>
          <w:sz w:val="24"/>
          <w:szCs w:val="24"/>
          <w:lang w:eastAsia="en-GB"/>
        </w:rPr>
      </w:pPr>
    </w:p>
    <w:p w14:paraId="3CD0EBD9" w14:textId="3B39E8B4" w:rsidR="003E3E71" w:rsidRPr="002A5631" w:rsidRDefault="009E4DD2"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E1264A" w:rsidRPr="002A5631">
        <w:rPr>
          <w:rFonts w:ascii="Arial" w:eastAsia="Times New Roman" w:hAnsi="Arial" w:cs="Arial"/>
          <w:sz w:val="24"/>
          <w:szCs w:val="24"/>
          <w:lang w:eastAsia="en-GB"/>
        </w:rPr>
        <w:t>2</w:t>
      </w:r>
      <w:r w:rsidR="002A5595" w:rsidRPr="002A5631">
        <w:rPr>
          <w:rFonts w:ascii="Arial" w:eastAsia="Times New Roman" w:hAnsi="Arial" w:cs="Arial"/>
          <w:sz w:val="24"/>
          <w:szCs w:val="24"/>
          <w:lang w:eastAsia="en-GB"/>
        </w:rPr>
        <w:t>2</w:t>
      </w:r>
      <w:r w:rsidR="000348A2" w:rsidRPr="002A5631">
        <w:rPr>
          <w:rFonts w:ascii="Arial" w:eastAsia="Times New Roman" w:hAnsi="Arial" w:cs="Arial"/>
          <w:sz w:val="24"/>
          <w:szCs w:val="24"/>
          <w:lang w:eastAsia="en-GB"/>
        </w:rPr>
        <w:t>]</w:t>
      </w:r>
      <w:r w:rsidR="00EB532B" w:rsidRPr="002A5631">
        <w:rPr>
          <w:rFonts w:ascii="Arial" w:eastAsia="Times New Roman" w:hAnsi="Arial" w:cs="Arial"/>
          <w:sz w:val="24"/>
          <w:szCs w:val="24"/>
          <w:lang w:eastAsia="en-GB"/>
        </w:rPr>
        <w:tab/>
      </w:r>
      <w:r w:rsidR="00C33874" w:rsidRPr="002A5631">
        <w:rPr>
          <w:rFonts w:ascii="Arial" w:eastAsia="Times New Roman" w:hAnsi="Arial" w:cs="Arial"/>
          <w:sz w:val="24"/>
          <w:szCs w:val="24"/>
          <w:lang w:eastAsia="en-GB"/>
        </w:rPr>
        <w:t>After receiving</w:t>
      </w:r>
      <w:r w:rsidR="00773DFC" w:rsidRPr="002A5631">
        <w:rPr>
          <w:rFonts w:ascii="Arial" w:eastAsia="Times New Roman" w:hAnsi="Arial" w:cs="Arial"/>
          <w:sz w:val="24"/>
          <w:szCs w:val="24"/>
          <w:lang w:eastAsia="en-GB"/>
        </w:rPr>
        <w:t xml:space="preserve"> the </w:t>
      </w:r>
      <w:r w:rsidR="00DC75DD" w:rsidRPr="002A5631">
        <w:rPr>
          <w:rFonts w:ascii="Arial" w:eastAsia="Times New Roman" w:hAnsi="Arial" w:cs="Arial"/>
          <w:sz w:val="24"/>
          <w:szCs w:val="24"/>
          <w:lang w:eastAsia="en-GB"/>
        </w:rPr>
        <w:t xml:space="preserve">current application papers in November 2022, </w:t>
      </w:r>
      <w:r w:rsidR="00773DFC" w:rsidRPr="002A5631">
        <w:rPr>
          <w:rFonts w:ascii="Arial" w:eastAsia="Times New Roman" w:hAnsi="Arial" w:cs="Arial"/>
          <w:sz w:val="24"/>
          <w:szCs w:val="24"/>
          <w:lang w:eastAsia="en-GB"/>
        </w:rPr>
        <w:t xml:space="preserve">the first respondent </w:t>
      </w:r>
      <w:r w:rsidR="00DC75DD" w:rsidRPr="002A5631">
        <w:rPr>
          <w:rFonts w:ascii="Arial" w:eastAsia="Times New Roman" w:hAnsi="Arial" w:cs="Arial"/>
          <w:sz w:val="24"/>
          <w:szCs w:val="24"/>
          <w:lang w:eastAsia="en-GB"/>
        </w:rPr>
        <w:t>instructed her attorneys to attempt to resolve the matter with the applicant and her attorneys. They were unsuccessful.</w:t>
      </w:r>
    </w:p>
    <w:p w14:paraId="729B8C07" w14:textId="09973D89" w:rsidR="000348A2" w:rsidRPr="002A5631" w:rsidRDefault="000348A2" w:rsidP="00A6674F">
      <w:pPr>
        <w:spacing w:after="0" w:line="360" w:lineRule="auto"/>
        <w:contextualSpacing/>
        <w:jc w:val="both"/>
        <w:rPr>
          <w:rFonts w:ascii="Arial" w:eastAsia="Times New Roman" w:hAnsi="Arial" w:cs="Arial"/>
          <w:sz w:val="24"/>
          <w:szCs w:val="24"/>
          <w:lang w:eastAsia="en-GB"/>
        </w:rPr>
      </w:pPr>
    </w:p>
    <w:p w14:paraId="73D8878E" w14:textId="44E3C863" w:rsidR="003E3E71" w:rsidRPr="002A5631" w:rsidRDefault="009E4DD2"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[2</w:t>
      </w:r>
      <w:r w:rsidR="002A5595" w:rsidRPr="002A5631">
        <w:rPr>
          <w:rFonts w:ascii="Arial" w:eastAsia="Times New Roman" w:hAnsi="Arial" w:cs="Arial"/>
          <w:sz w:val="24"/>
          <w:szCs w:val="24"/>
          <w:lang w:eastAsia="en-GB"/>
        </w:rPr>
        <w:t>3</w:t>
      </w:r>
      <w:r w:rsidR="000348A2"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5B0020" w:rsidRPr="002A5631">
        <w:rPr>
          <w:rFonts w:ascii="Arial" w:eastAsia="Times New Roman" w:hAnsi="Arial" w:cs="Arial"/>
          <w:sz w:val="24"/>
          <w:szCs w:val="24"/>
          <w:lang w:eastAsia="en-GB"/>
        </w:rPr>
        <w:t xml:space="preserve">The first respondent denied that Mrs </w:t>
      </w:r>
      <w:proofErr w:type="spellStart"/>
      <w:r w:rsidR="002D2F23" w:rsidRPr="002A5631">
        <w:rPr>
          <w:rFonts w:ascii="Arial" w:eastAsia="Times New Roman" w:hAnsi="Arial" w:cs="Arial"/>
          <w:sz w:val="24"/>
          <w:szCs w:val="24"/>
          <w:lang w:eastAsia="en-GB"/>
        </w:rPr>
        <w:t>Hadebe</w:t>
      </w:r>
      <w:proofErr w:type="spellEnd"/>
      <w:r w:rsidR="002D2F23" w:rsidRPr="002A5631">
        <w:rPr>
          <w:rFonts w:ascii="Arial" w:eastAsia="Times New Roman" w:hAnsi="Arial" w:cs="Arial"/>
          <w:sz w:val="24"/>
          <w:szCs w:val="24"/>
          <w:lang w:eastAsia="en-GB"/>
        </w:rPr>
        <w:t xml:space="preserve"> </w:t>
      </w:r>
      <w:r w:rsidR="0077204B" w:rsidRPr="002A5631">
        <w:rPr>
          <w:rFonts w:ascii="Arial" w:eastAsia="Times New Roman" w:hAnsi="Arial" w:cs="Arial"/>
          <w:sz w:val="24"/>
          <w:szCs w:val="24"/>
          <w:lang w:eastAsia="en-GB"/>
        </w:rPr>
        <w:t>had</w:t>
      </w:r>
      <w:r w:rsidR="005B0020" w:rsidRPr="002A5631">
        <w:rPr>
          <w:rFonts w:ascii="Arial" w:eastAsia="Times New Roman" w:hAnsi="Arial" w:cs="Arial"/>
          <w:sz w:val="24"/>
          <w:szCs w:val="24"/>
          <w:lang w:eastAsia="en-GB"/>
        </w:rPr>
        <w:t xml:space="preserve"> been present when the loan agreement was concluded, neither was her mother nor the </w:t>
      </w:r>
      <w:r w:rsidR="002D2F23" w:rsidRPr="002A5631">
        <w:rPr>
          <w:rFonts w:ascii="Arial" w:eastAsia="Times New Roman" w:hAnsi="Arial" w:cs="Arial"/>
          <w:sz w:val="24"/>
          <w:szCs w:val="24"/>
          <w:lang w:eastAsia="en-GB"/>
        </w:rPr>
        <w:t xml:space="preserve">applicant’s </w:t>
      </w:r>
      <w:r w:rsidR="005B0020" w:rsidRPr="002A5631">
        <w:rPr>
          <w:rFonts w:ascii="Arial" w:eastAsia="Times New Roman" w:hAnsi="Arial" w:cs="Arial"/>
          <w:sz w:val="24"/>
          <w:szCs w:val="24"/>
          <w:lang w:eastAsia="en-GB"/>
        </w:rPr>
        <w:t>husband</w:t>
      </w:r>
      <w:r w:rsidR="008D330F" w:rsidRPr="002A5631">
        <w:rPr>
          <w:rFonts w:ascii="Arial" w:eastAsia="Times New Roman" w:hAnsi="Arial" w:cs="Arial"/>
          <w:sz w:val="24"/>
          <w:szCs w:val="24"/>
          <w:lang w:eastAsia="en-GB"/>
        </w:rPr>
        <w:t>,</w:t>
      </w:r>
      <w:r w:rsidR="005B0020" w:rsidRPr="002A5631">
        <w:rPr>
          <w:rFonts w:ascii="Arial" w:eastAsia="Times New Roman" w:hAnsi="Arial" w:cs="Arial"/>
          <w:sz w:val="24"/>
          <w:szCs w:val="24"/>
          <w:lang w:eastAsia="en-GB"/>
        </w:rPr>
        <w:t xml:space="preserve"> as claimed by the applicant.</w:t>
      </w:r>
      <w:r w:rsidR="00DF00FC" w:rsidRPr="002A5631">
        <w:rPr>
          <w:rFonts w:ascii="Arial" w:eastAsia="Times New Roman" w:hAnsi="Arial" w:cs="Arial"/>
          <w:sz w:val="24"/>
          <w:szCs w:val="24"/>
          <w:lang w:eastAsia="en-GB"/>
        </w:rPr>
        <w:t xml:space="preserve"> The first respondent also denied that the applicant had approached her and provided </w:t>
      </w:r>
      <w:r w:rsidR="007C01F9" w:rsidRPr="002A5631">
        <w:rPr>
          <w:rFonts w:ascii="Arial" w:eastAsia="Times New Roman" w:hAnsi="Arial" w:cs="Arial"/>
          <w:sz w:val="24"/>
          <w:szCs w:val="24"/>
          <w:lang w:eastAsia="en-GB"/>
        </w:rPr>
        <w:t xml:space="preserve">her </w:t>
      </w:r>
      <w:r w:rsidR="00DF00FC" w:rsidRPr="002A5631">
        <w:rPr>
          <w:rFonts w:ascii="Arial" w:eastAsia="Times New Roman" w:hAnsi="Arial" w:cs="Arial"/>
          <w:sz w:val="24"/>
          <w:szCs w:val="24"/>
          <w:lang w:eastAsia="en-GB"/>
        </w:rPr>
        <w:t>with</w:t>
      </w:r>
      <w:r w:rsidR="007C01F9" w:rsidRPr="002A5631">
        <w:rPr>
          <w:rFonts w:ascii="Arial" w:eastAsia="Times New Roman" w:hAnsi="Arial" w:cs="Arial"/>
          <w:sz w:val="24"/>
          <w:szCs w:val="24"/>
          <w:lang w:eastAsia="en-GB"/>
        </w:rPr>
        <w:t xml:space="preserve"> a purchase or sale agreement at any time. She further stated that the applicant had </w:t>
      </w:r>
      <w:r w:rsidR="007F6BAF" w:rsidRPr="002A5631">
        <w:rPr>
          <w:rFonts w:ascii="Arial" w:eastAsia="Times New Roman" w:hAnsi="Arial" w:cs="Arial"/>
          <w:sz w:val="24"/>
          <w:szCs w:val="24"/>
          <w:lang w:eastAsia="en-GB"/>
        </w:rPr>
        <w:t xml:space="preserve">usurped </w:t>
      </w:r>
      <w:r w:rsidR="007C01F9" w:rsidRPr="002A5631">
        <w:rPr>
          <w:rFonts w:ascii="Arial" w:eastAsia="Times New Roman" w:hAnsi="Arial" w:cs="Arial"/>
          <w:sz w:val="24"/>
          <w:szCs w:val="24"/>
          <w:lang w:eastAsia="en-GB"/>
        </w:rPr>
        <w:t>her property unlawfully</w:t>
      </w:r>
      <w:r w:rsidR="00AC3341" w:rsidRPr="002A5631">
        <w:rPr>
          <w:rFonts w:ascii="Arial" w:eastAsia="Times New Roman" w:hAnsi="Arial" w:cs="Arial"/>
          <w:sz w:val="24"/>
          <w:szCs w:val="24"/>
          <w:lang w:eastAsia="en-GB"/>
        </w:rPr>
        <w:t>.</w:t>
      </w:r>
    </w:p>
    <w:p w14:paraId="4907528C" w14:textId="77777777" w:rsidR="003E3E71" w:rsidRPr="002A5631" w:rsidRDefault="003E3E71" w:rsidP="00A6674F">
      <w:pPr>
        <w:spacing w:after="0" w:line="360" w:lineRule="auto"/>
        <w:contextualSpacing/>
        <w:jc w:val="both"/>
        <w:rPr>
          <w:rFonts w:ascii="Arial" w:eastAsia="Times New Roman" w:hAnsi="Arial" w:cs="Arial"/>
          <w:sz w:val="24"/>
          <w:szCs w:val="24"/>
          <w:lang w:eastAsia="en-GB"/>
        </w:rPr>
      </w:pPr>
    </w:p>
    <w:p w14:paraId="0B0D2A9F" w14:textId="0E9CBC23" w:rsidR="008730C2" w:rsidRPr="002A5631" w:rsidRDefault="009E4DD2" w:rsidP="00A6674F">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w:t>
      </w:r>
      <w:r w:rsidR="002A5595" w:rsidRPr="002A5631">
        <w:rPr>
          <w:rFonts w:ascii="Arial" w:eastAsia="Times New Roman" w:hAnsi="Arial" w:cs="Arial"/>
          <w:sz w:val="24"/>
          <w:szCs w:val="24"/>
          <w:lang w:eastAsia="en-GB"/>
        </w:rPr>
        <w:t>24</w:t>
      </w:r>
      <w:r w:rsidR="00AC3341"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3642AB" w:rsidRPr="002A5631">
        <w:rPr>
          <w:rFonts w:ascii="Arial" w:eastAsia="Times New Roman" w:hAnsi="Arial" w:cs="Arial"/>
          <w:sz w:val="24"/>
          <w:szCs w:val="24"/>
          <w:lang w:eastAsia="en-GB"/>
        </w:rPr>
        <w:t>As far as her counter</w:t>
      </w:r>
      <w:r w:rsidR="008D330F" w:rsidRPr="002A5631">
        <w:rPr>
          <w:rFonts w:ascii="Arial" w:eastAsia="Times New Roman" w:hAnsi="Arial" w:cs="Arial"/>
          <w:sz w:val="24"/>
          <w:szCs w:val="24"/>
          <w:lang w:eastAsia="en-GB"/>
        </w:rPr>
        <w:t>-</w:t>
      </w:r>
      <w:r w:rsidR="003642AB" w:rsidRPr="002A5631">
        <w:rPr>
          <w:rFonts w:ascii="Arial" w:eastAsia="Times New Roman" w:hAnsi="Arial" w:cs="Arial"/>
          <w:sz w:val="24"/>
          <w:szCs w:val="24"/>
          <w:lang w:eastAsia="en-GB"/>
        </w:rPr>
        <w:t xml:space="preserve">application was concerned, </w:t>
      </w:r>
      <w:r w:rsidR="0085172A" w:rsidRPr="002A5631">
        <w:rPr>
          <w:rFonts w:ascii="Arial" w:eastAsia="Times New Roman" w:hAnsi="Arial" w:cs="Arial"/>
          <w:sz w:val="24"/>
          <w:szCs w:val="24"/>
          <w:lang w:eastAsia="en-GB"/>
        </w:rPr>
        <w:t>t</w:t>
      </w:r>
      <w:r w:rsidR="003642AB" w:rsidRPr="002A5631">
        <w:rPr>
          <w:rFonts w:ascii="Arial" w:eastAsia="Times New Roman" w:hAnsi="Arial" w:cs="Arial"/>
          <w:sz w:val="24"/>
          <w:szCs w:val="24"/>
          <w:lang w:eastAsia="en-GB"/>
        </w:rPr>
        <w:t xml:space="preserve">he first respondent stated </w:t>
      </w:r>
      <w:r w:rsidR="00905DEE">
        <w:rPr>
          <w:rFonts w:ascii="Arial" w:eastAsia="Times New Roman" w:hAnsi="Arial" w:cs="Arial"/>
          <w:sz w:val="24"/>
          <w:szCs w:val="24"/>
          <w:lang w:eastAsia="en-GB"/>
        </w:rPr>
        <w:t xml:space="preserve">briefly </w:t>
      </w:r>
      <w:r w:rsidR="003642AB" w:rsidRPr="002A5631">
        <w:rPr>
          <w:rFonts w:ascii="Arial" w:eastAsia="Times New Roman" w:hAnsi="Arial" w:cs="Arial"/>
          <w:sz w:val="24"/>
          <w:szCs w:val="24"/>
          <w:lang w:eastAsia="en-GB"/>
        </w:rPr>
        <w:t xml:space="preserve">that notwithstanding having sold the property to </w:t>
      </w:r>
      <w:r w:rsidR="00DD7F57" w:rsidRPr="002A5631">
        <w:rPr>
          <w:rFonts w:ascii="Arial" w:eastAsia="Times New Roman" w:hAnsi="Arial" w:cs="Arial"/>
          <w:sz w:val="24"/>
          <w:szCs w:val="24"/>
          <w:lang w:eastAsia="en-GB"/>
        </w:rPr>
        <w:t>Mr</w:t>
      </w:r>
      <w:r w:rsidR="003642AB" w:rsidRPr="002A5631">
        <w:rPr>
          <w:rFonts w:ascii="Arial" w:eastAsia="Times New Roman" w:hAnsi="Arial" w:cs="Arial"/>
          <w:sz w:val="24"/>
          <w:szCs w:val="24"/>
          <w:lang w:eastAsia="en-GB"/>
        </w:rPr>
        <w:t xml:space="preserve"> </w:t>
      </w:r>
      <w:proofErr w:type="spellStart"/>
      <w:r w:rsidR="00DD7F57" w:rsidRPr="002A5631">
        <w:rPr>
          <w:rFonts w:ascii="Arial" w:eastAsia="Times New Roman" w:hAnsi="Arial" w:cs="Arial"/>
          <w:sz w:val="24"/>
          <w:szCs w:val="24"/>
          <w:lang w:eastAsia="en-GB"/>
        </w:rPr>
        <w:t>Dlamini</w:t>
      </w:r>
      <w:proofErr w:type="spellEnd"/>
      <w:r w:rsidR="003642AB" w:rsidRPr="002A5631">
        <w:rPr>
          <w:rFonts w:ascii="Arial" w:eastAsia="Times New Roman" w:hAnsi="Arial" w:cs="Arial"/>
          <w:sz w:val="24"/>
          <w:szCs w:val="24"/>
          <w:lang w:eastAsia="en-GB"/>
        </w:rPr>
        <w:t>, transfer has not yet taken place because the applicant holds the keys and the title deed of the property.</w:t>
      </w:r>
      <w:r w:rsidR="0085172A" w:rsidRPr="002A5631">
        <w:rPr>
          <w:rFonts w:ascii="Arial" w:eastAsia="Times New Roman" w:hAnsi="Arial" w:cs="Arial"/>
          <w:sz w:val="24"/>
          <w:szCs w:val="24"/>
          <w:lang w:eastAsia="en-GB"/>
        </w:rPr>
        <w:t xml:space="preserve"> It is evident from the title deed, which is attached to the </w:t>
      </w:r>
      <w:r w:rsidR="00992A1A" w:rsidRPr="002A5631">
        <w:rPr>
          <w:rFonts w:ascii="Arial" w:eastAsia="Times New Roman" w:hAnsi="Arial" w:cs="Arial"/>
          <w:sz w:val="24"/>
          <w:szCs w:val="24"/>
          <w:lang w:eastAsia="en-GB"/>
        </w:rPr>
        <w:t>applicant's</w:t>
      </w:r>
      <w:r w:rsidR="0085172A" w:rsidRPr="002A5631">
        <w:rPr>
          <w:rFonts w:ascii="Arial" w:eastAsia="Times New Roman" w:hAnsi="Arial" w:cs="Arial"/>
          <w:sz w:val="24"/>
          <w:szCs w:val="24"/>
          <w:lang w:eastAsia="en-GB"/>
        </w:rPr>
        <w:t xml:space="preserve"> founding affidavit, that the first respondent is indeed depicted as the owner of the property.</w:t>
      </w:r>
    </w:p>
    <w:p w14:paraId="2017CFBA" w14:textId="291CEE32" w:rsidR="00993672" w:rsidRPr="002A5631" w:rsidRDefault="00993672" w:rsidP="00A6674F">
      <w:pPr>
        <w:spacing w:after="0" w:line="360" w:lineRule="auto"/>
        <w:contextualSpacing/>
        <w:jc w:val="both"/>
        <w:rPr>
          <w:rFonts w:ascii="Arial" w:eastAsia="Times New Roman" w:hAnsi="Arial" w:cs="Arial"/>
          <w:sz w:val="24"/>
          <w:szCs w:val="24"/>
          <w:lang w:eastAsia="en-GB"/>
        </w:rPr>
      </w:pPr>
    </w:p>
    <w:p w14:paraId="29E15EBD" w14:textId="4A4A7305" w:rsidR="002F4E43" w:rsidRPr="002A5631" w:rsidRDefault="009E4DD2" w:rsidP="00A6674F">
      <w:pPr>
        <w:pStyle w:val="ListParagraph"/>
        <w:spacing w:after="0" w:line="360" w:lineRule="auto"/>
        <w:ind w:left="0"/>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lastRenderedPageBreak/>
        <w:t>[2</w:t>
      </w:r>
      <w:r w:rsidR="002A5595" w:rsidRPr="002A5631">
        <w:rPr>
          <w:rFonts w:ascii="Arial" w:eastAsia="Times New Roman" w:hAnsi="Arial" w:cs="Arial"/>
          <w:sz w:val="24"/>
          <w:szCs w:val="24"/>
          <w:lang w:eastAsia="en-GB"/>
        </w:rPr>
        <w:t>5</w:t>
      </w:r>
      <w:r w:rsidR="0031722F"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265F67" w:rsidRPr="002A5631">
        <w:rPr>
          <w:rFonts w:ascii="Arial" w:eastAsia="Times New Roman" w:hAnsi="Arial" w:cs="Arial"/>
          <w:sz w:val="24"/>
          <w:szCs w:val="24"/>
          <w:lang w:eastAsia="en-GB"/>
        </w:rPr>
        <w:t>In her replying affidavit</w:t>
      </w:r>
      <w:r w:rsidR="000D0BC7" w:rsidRPr="002A5631">
        <w:rPr>
          <w:rFonts w:ascii="Arial" w:eastAsia="Times New Roman" w:hAnsi="Arial" w:cs="Arial"/>
          <w:sz w:val="24"/>
          <w:szCs w:val="24"/>
          <w:lang w:eastAsia="en-GB"/>
        </w:rPr>
        <w:t>,</w:t>
      </w:r>
      <w:r w:rsidR="00265F67" w:rsidRPr="002A5631">
        <w:rPr>
          <w:rFonts w:ascii="Arial" w:eastAsia="Times New Roman" w:hAnsi="Arial" w:cs="Arial"/>
          <w:sz w:val="24"/>
          <w:szCs w:val="24"/>
          <w:lang w:eastAsia="en-GB"/>
        </w:rPr>
        <w:t xml:space="preserve"> the applicant </w:t>
      </w:r>
      <w:r w:rsidR="000D0BC7" w:rsidRPr="002A5631">
        <w:rPr>
          <w:rFonts w:ascii="Arial" w:eastAsia="Times New Roman" w:hAnsi="Arial" w:cs="Arial"/>
          <w:sz w:val="24"/>
          <w:szCs w:val="24"/>
          <w:lang w:eastAsia="en-GB"/>
        </w:rPr>
        <w:t xml:space="preserve">dealt with the </w:t>
      </w:r>
      <w:r w:rsidR="00265F67" w:rsidRPr="002A5631">
        <w:rPr>
          <w:rFonts w:ascii="Arial" w:eastAsia="Times New Roman" w:hAnsi="Arial" w:cs="Arial"/>
          <w:sz w:val="24"/>
          <w:szCs w:val="24"/>
          <w:lang w:eastAsia="en-GB"/>
        </w:rPr>
        <w:t xml:space="preserve">points in </w:t>
      </w:r>
      <w:proofErr w:type="spellStart"/>
      <w:r w:rsidR="00265F67" w:rsidRPr="002A5631">
        <w:rPr>
          <w:rFonts w:ascii="Arial" w:eastAsia="Times New Roman" w:hAnsi="Arial" w:cs="Arial"/>
          <w:sz w:val="24"/>
          <w:szCs w:val="24"/>
          <w:lang w:eastAsia="en-GB"/>
        </w:rPr>
        <w:t>l</w:t>
      </w:r>
      <w:r w:rsidR="000D0BC7" w:rsidRPr="002A5631">
        <w:rPr>
          <w:rFonts w:ascii="Arial" w:eastAsia="Times New Roman" w:hAnsi="Arial" w:cs="Arial"/>
          <w:sz w:val="24"/>
          <w:szCs w:val="24"/>
          <w:lang w:eastAsia="en-GB"/>
        </w:rPr>
        <w:t>imine</w:t>
      </w:r>
      <w:proofErr w:type="spellEnd"/>
      <w:r w:rsidR="000D0BC7" w:rsidRPr="002A5631">
        <w:rPr>
          <w:rFonts w:ascii="Arial" w:eastAsia="Times New Roman" w:hAnsi="Arial" w:cs="Arial"/>
          <w:sz w:val="24"/>
          <w:szCs w:val="24"/>
          <w:lang w:eastAsia="en-GB"/>
        </w:rPr>
        <w:t xml:space="preserve"> </w:t>
      </w:r>
      <w:r w:rsidR="007D1445" w:rsidRPr="002A5631">
        <w:rPr>
          <w:rFonts w:ascii="Arial" w:eastAsia="Times New Roman" w:hAnsi="Arial" w:cs="Arial"/>
          <w:sz w:val="24"/>
          <w:szCs w:val="24"/>
          <w:lang w:eastAsia="en-GB"/>
        </w:rPr>
        <w:t xml:space="preserve">raised </w:t>
      </w:r>
      <w:r w:rsidR="00265F67" w:rsidRPr="002A5631">
        <w:rPr>
          <w:rFonts w:ascii="Arial" w:eastAsia="Times New Roman" w:hAnsi="Arial" w:cs="Arial"/>
          <w:sz w:val="24"/>
          <w:szCs w:val="24"/>
          <w:lang w:eastAsia="en-GB"/>
        </w:rPr>
        <w:t xml:space="preserve">by the </w:t>
      </w:r>
      <w:r w:rsidR="007D1445" w:rsidRPr="002A5631">
        <w:rPr>
          <w:rFonts w:ascii="Arial" w:eastAsia="Times New Roman" w:hAnsi="Arial" w:cs="Arial"/>
          <w:sz w:val="24"/>
          <w:szCs w:val="24"/>
          <w:lang w:eastAsia="en-GB"/>
        </w:rPr>
        <w:t xml:space="preserve">first </w:t>
      </w:r>
      <w:r w:rsidR="00265F67" w:rsidRPr="002A5631">
        <w:rPr>
          <w:rFonts w:ascii="Arial" w:eastAsia="Times New Roman" w:hAnsi="Arial" w:cs="Arial"/>
          <w:sz w:val="24"/>
          <w:szCs w:val="24"/>
          <w:lang w:eastAsia="en-GB"/>
        </w:rPr>
        <w:t xml:space="preserve">respondent in a very dismissive way, </w:t>
      </w:r>
      <w:r w:rsidR="00BC2BA4">
        <w:rPr>
          <w:rFonts w:ascii="Arial" w:eastAsia="Times New Roman" w:hAnsi="Arial" w:cs="Arial"/>
          <w:sz w:val="24"/>
          <w:szCs w:val="24"/>
          <w:lang w:eastAsia="en-GB"/>
        </w:rPr>
        <w:t xml:space="preserve">which </w:t>
      </w:r>
      <w:r w:rsidR="00BC2BA4" w:rsidRPr="002A5631">
        <w:rPr>
          <w:rFonts w:ascii="Arial" w:eastAsia="Times New Roman" w:hAnsi="Arial" w:cs="Arial"/>
          <w:sz w:val="24"/>
          <w:szCs w:val="24"/>
          <w:lang w:eastAsia="en-GB"/>
        </w:rPr>
        <w:t>lack</w:t>
      </w:r>
      <w:r w:rsidR="00BC2BA4">
        <w:rPr>
          <w:rFonts w:ascii="Arial" w:eastAsia="Times New Roman" w:hAnsi="Arial" w:cs="Arial"/>
          <w:sz w:val="24"/>
          <w:szCs w:val="24"/>
          <w:lang w:eastAsia="en-GB"/>
        </w:rPr>
        <w:t>ed</w:t>
      </w:r>
      <w:r w:rsidR="00BC2BA4" w:rsidRPr="002A5631">
        <w:rPr>
          <w:rFonts w:ascii="Arial" w:eastAsia="Times New Roman" w:hAnsi="Arial" w:cs="Arial"/>
          <w:sz w:val="24"/>
          <w:szCs w:val="24"/>
          <w:lang w:eastAsia="en-GB"/>
        </w:rPr>
        <w:t xml:space="preserve"> </w:t>
      </w:r>
      <w:r w:rsidR="00265F67" w:rsidRPr="002A5631">
        <w:rPr>
          <w:rFonts w:ascii="Arial" w:eastAsia="Times New Roman" w:hAnsi="Arial" w:cs="Arial"/>
          <w:sz w:val="24"/>
          <w:szCs w:val="24"/>
          <w:lang w:eastAsia="en-GB"/>
        </w:rPr>
        <w:t>substance.</w:t>
      </w:r>
      <w:r w:rsidR="00D47CCB" w:rsidRPr="002A5631">
        <w:rPr>
          <w:rFonts w:ascii="Arial" w:eastAsia="Times New Roman" w:hAnsi="Arial" w:cs="Arial"/>
          <w:sz w:val="24"/>
          <w:szCs w:val="24"/>
          <w:lang w:eastAsia="en-GB"/>
        </w:rPr>
        <w:t xml:space="preserve"> As far as the non</w:t>
      </w:r>
      <w:r w:rsidR="00E32ECF" w:rsidRPr="002A5631">
        <w:rPr>
          <w:rFonts w:ascii="Arial" w:eastAsia="Times New Roman" w:hAnsi="Arial" w:cs="Arial"/>
          <w:sz w:val="24"/>
          <w:szCs w:val="24"/>
          <w:lang w:eastAsia="en-GB"/>
        </w:rPr>
        <w:t>-</w:t>
      </w:r>
      <w:r w:rsidR="00D47CCB" w:rsidRPr="002A5631">
        <w:rPr>
          <w:rFonts w:ascii="Arial" w:eastAsia="Times New Roman" w:hAnsi="Arial" w:cs="Arial"/>
          <w:sz w:val="24"/>
          <w:szCs w:val="24"/>
          <w:lang w:eastAsia="en-GB"/>
        </w:rPr>
        <w:t xml:space="preserve">joinder of Mr </w:t>
      </w:r>
      <w:proofErr w:type="spellStart"/>
      <w:r w:rsidR="007D1445" w:rsidRPr="002A5631">
        <w:rPr>
          <w:rFonts w:ascii="Arial" w:eastAsia="Times New Roman" w:hAnsi="Arial" w:cs="Arial"/>
          <w:sz w:val="24"/>
          <w:szCs w:val="24"/>
          <w:lang w:eastAsia="en-GB"/>
        </w:rPr>
        <w:t>Dlamini</w:t>
      </w:r>
      <w:proofErr w:type="spellEnd"/>
      <w:r w:rsidR="007D1445" w:rsidRPr="002A5631">
        <w:rPr>
          <w:rFonts w:ascii="Arial" w:eastAsia="Times New Roman" w:hAnsi="Arial" w:cs="Arial"/>
          <w:sz w:val="24"/>
          <w:szCs w:val="24"/>
          <w:lang w:eastAsia="en-GB"/>
        </w:rPr>
        <w:t xml:space="preserve"> </w:t>
      </w:r>
      <w:r w:rsidR="00B800D0" w:rsidRPr="002A5631">
        <w:rPr>
          <w:rFonts w:ascii="Arial" w:eastAsia="Times New Roman" w:hAnsi="Arial" w:cs="Arial"/>
          <w:sz w:val="24"/>
          <w:szCs w:val="24"/>
          <w:lang w:eastAsia="en-GB"/>
        </w:rPr>
        <w:t xml:space="preserve">was </w:t>
      </w:r>
      <w:r w:rsidR="00D47CCB" w:rsidRPr="002A5631">
        <w:rPr>
          <w:rFonts w:ascii="Arial" w:eastAsia="Times New Roman" w:hAnsi="Arial" w:cs="Arial"/>
          <w:sz w:val="24"/>
          <w:szCs w:val="24"/>
          <w:lang w:eastAsia="en-GB"/>
        </w:rPr>
        <w:t>concerned, she simply stated that if he believed that he was somehow entitled to ownership and occupation of the property, he is entitled to institute legal proceedings against the applicant. The applicant clearly missed the point of non</w:t>
      </w:r>
      <w:r w:rsidR="00E32ECF" w:rsidRPr="002A5631">
        <w:rPr>
          <w:rFonts w:ascii="Arial" w:eastAsia="Times New Roman" w:hAnsi="Arial" w:cs="Arial"/>
          <w:sz w:val="24"/>
          <w:szCs w:val="24"/>
          <w:lang w:eastAsia="en-GB"/>
        </w:rPr>
        <w:t>-</w:t>
      </w:r>
      <w:r w:rsidR="00D47CCB" w:rsidRPr="002A5631">
        <w:rPr>
          <w:rFonts w:ascii="Arial" w:eastAsia="Times New Roman" w:hAnsi="Arial" w:cs="Arial"/>
          <w:sz w:val="24"/>
          <w:szCs w:val="24"/>
          <w:lang w:eastAsia="en-GB"/>
        </w:rPr>
        <w:t>join</w:t>
      </w:r>
      <w:r w:rsidR="00EE288C" w:rsidRPr="002A5631">
        <w:rPr>
          <w:rFonts w:ascii="Arial" w:eastAsia="Times New Roman" w:hAnsi="Arial" w:cs="Arial"/>
          <w:sz w:val="24"/>
          <w:szCs w:val="24"/>
          <w:lang w:eastAsia="en-GB"/>
        </w:rPr>
        <w:t>der</w:t>
      </w:r>
      <w:r w:rsidR="00FF3CD0" w:rsidRPr="002A5631">
        <w:rPr>
          <w:rFonts w:ascii="Arial" w:eastAsia="Times New Roman" w:hAnsi="Arial" w:cs="Arial"/>
          <w:sz w:val="24"/>
          <w:szCs w:val="24"/>
          <w:lang w:eastAsia="en-GB"/>
        </w:rPr>
        <w:t xml:space="preserve"> </w:t>
      </w:r>
      <w:r w:rsidR="00D47CCB" w:rsidRPr="002A5631">
        <w:rPr>
          <w:rFonts w:ascii="Arial" w:eastAsia="Times New Roman" w:hAnsi="Arial" w:cs="Arial"/>
          <w:sz w:val="24"/>
          <w:szCs w:val="24"/>
          <w:lang w:eastAsia="en-GB"/>
        </w:rPr>
        <w:t>completely or was badly advised.</w:t>
      </w:r>
    </w:p>
    <w:p w14:paraId="54C2391F" w14:textId="77777777" w:rsidR="002F4E43" w:rsidRPr="002A5631" w:rsidRDefault="002F4E43" w:rsidP="00A6674F">
      <w:pPr>
        <w:pStyle w:val="ListParagraph"/>
        <w:spacing w:after="0" w:line="360" w:lineRule="auto"/>
        <w:ind w:left="0"/>
        <w:jc w:val="both"/>
        <w:rPr>
          <w:rFonts w:ascii="Arial" w:eastAsia="Times New Roman" w:hAnsi="Arial" w:cs="Arial"/>
          <w:sz w:val="24"/>
          <w:szCs w:val="24"/>
          <w:lang w:eastAsia="en-GB"/>
        </w:rPr>
      </w:pPr>
    </w:p>
    <w:p w14:paraId="496E2D0D" w14:textId="0C8F5A0D" w:rsidR="0047300F" w:rsidRPr="002A5631" w:rsidRDefault="009E4DD2"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[2</w:t>
      </w:r>
      <w:r w:rsidR="002A5595" w:rsidRPr="002A5631">
        <w:rPr>
          <w:rFonts w:ascii="Arial" w:eastAsia="Calibri" w:hAnsi="Arial" w:cs="Arial"/>
          <w:sz w:val="24"/>
          <w:szCs w:val="24"/>
        </w:rPr>
        <w:t>6</w:t>
      </w:r>
      <w:r w:rsidR="0031722F" w:rsidRPr="002A5631">
        <w:rPr>
          <w:rFonts w:ascii="Arial" w:eastAsia="Calibri" w:hAnsi="Arial" w:cs="Arial"/>
          <w:sz w:val="24"/>
          <w:szCs w:val="24"/>
        </w:rPr>
        <w:t>]</w:t>
      </w:r>
      <w:r w:rsidR="00F84090" w:rsidRPr="002A5631">
        <w:rPr>
          <w:rFonts w:ascii="Arial" w:eastAsia="Calibri" w:hAnsi="Arial" w:cs="Arial"/>
          <w:sz w:val="24"/>
          <w:szCs w:val="24"/>
        </w:rPr>
        <w:tab/>
      </w:r>
      <w:r w:rsidR="001B46C8" w:rsidRPr="002A5631">
        <w:rPr>
          <w:rFonts w:ascii="Arial" w:eastAsia="Calibri" w:hAnsi="Arial" w:cs="Arial"/>
          <w:sz w:val="24"/>
          <w:szCs w:val="24"/>
        </w:rPr>
        <w:t xml:space="preserve">Apart from the </w:t>
      </w:r>
      <w:r w:rsidR="00FF69AC" w:rsidRPr="002A5631">
        <w:rPr>
          <w:rFonts w:ascii="Arial" w:eastAsia="Calibri" w:hAnsi="Arial" w:cs="Arial"/>
          <w:sz w:val="24"/>
          <w:szCs w:val="24"/>
        </w:rPr>
        <w:t xml:space="preserve">denying </w:t>
      </w:r>
      <w:r w:rsidR="001B46C8" w:rsidRPr="002A5631">
        <w:rPr>
          <w:rFonts w:ascii="Arial" w:eastAsia="Calibri" w:hAnsi="Arial" w:cs="Arial"/>
          <w:sz w:val="24"/>
          <w:szCs w:val="24"/>
        </w:rPr>
        <w:t>the verbal loan agreement</w:t>
      </w:r>
      <w:r w:rsidR="00BF167E">
        <w:rPr>
          <w:rFonts w:ascii="Arial" w:eastAsia="Calibri" w:hAnsi="Arial" w:cs="Arial"/>
          <w:sz w:val="24"/>
          <w:szCs w:val="24"/>
        </w:rPr>
        <w:t>,</w:t>
      </w:r>
      <w:r w:rsidR="001B46C8" w:rsidRPr="002A5631">
        <w:rPr>
          <w:rFonts w:ascii="Arial" w:eastAsia="Calibri" w:hAnsi="Arial" w:cs="Arial"/>
          <w:sz w:val="24"/>
          <w:szCs w:val="24"/>
        </w:rPr>
        <w:t xml:space="preserve"> as alleged by the </w:t>
      </w:r>
      <w:r w:rsidR="00FF69AC" w:rsidRPr="002A5631">
        <w:rPr>
          <w:rFonts w:ascii="Arial" w:eastAsia="Calibri" w:hAnsi="Arial" w:cs="Arial"/>
          <w:sz w:val="24"/>
          <w:szCs w:val="24"/>
        </w:rPr>
        <w:t>first</w:t>
      </w:r>
      <w:r w:rsidR="001B46C8" w:rsidRPr="002A5631">
        <w:rPr>
          <w:rFonts w:ascii="Arial" w:eastAsia="Calibri" w:hAnsi="Arial" w:cs="Arial"/>
          <w:sz w:val="24"/>
          <w:szCs w:val="24"/>
        </w:rPr>
        <w:t xml:space="preserve"> respondent,</w:t>
      </w:r>
      <w:r w:rsidR="00D730DE" w:rsidRPr="002A5631">
        <w:rPr>
          <w:rFonts w:ascii="Arial" w:eastAsia="Calibri" w:hAnsi="Arial" w:cs="Arial"/>
          <w:sz w:val="24"/>
          <w:szCs w:val="24"/>
        </w:rPr>
        <w:t xml:space="preserve"> her affidavit was a repetition of the allegations made in her founding affidavit and she insisted that an agreement in respect of the sale and purchase of the property was entered into between herself and the first respondent and</w:t>
      </w:r>
      <w:r w:rsidR="00E32ECF" w:rsidRPr="002A5631">
        <w:rPr>
          <w:rFonts w:ascii="Arial" w:eastAsia="Calibri" w:hAnsi="Arial" w:cs="Arial"/>
          <w:sz w:val="24"/>
          <w:szCs w:val="24"/>
        </w:rPr>
        <w:t xml:space="preserve"> that</w:t>
      </w:r>
      <w:r w:rsidR="00D730DE" w:rsidRPr="002A5631">
        <w:rPr>
          <w:rFonts w:ascii="Arial" w:eastAsia="Calibri" w:hAnsi="Arial" w:cs="Arial"/>
          <w:sz w:val="24"/>
          <w:szCs w:val="24"/>
        </w:rPr>
        <w:t xml:space="preserve"> when she approached the first responder to sign </w:t>
      </w:r>
      <w:r w:rsidR="00BF167E">
        <w:rPr>
          <w:rFonts w:ascii="Arial" w:eastAsia="Calibri" w:hAnsi="Arial" w:cs="Arial"/>
          <w:sz w:val="24"/>
          <w:szCs w:val="24"/>
        </w:rPr>
        <w:t xml:space="preserve">the </w:t>
      </w:r>
      <w:r w:rsidR="004352B7">
        <w:rPr>
          <w:rFonts w:ascii="Arial" w:eastAsia="Calibri" w:hAnsi="Arial" w:cs="Arial"/>
          <w:sz w:val="24"/>
          <w:szCs w:val="24"/>
        </w:rPr>
        <w:t xml:space="preserve">written </w:t>
      </w:r>
      <w:r w:rsidR="00BF167E">
        <w:rPr>
          <w:rFonts w:ascii="Arial" w:eastAsia="Calibri" w:hAnsi="Arial" w:cs="Arial"/>
          <w:sz w:val="24"/>
          <w:szCs w:val="24"/>
        </w:rPr>
        <w:t>agreement</w:t>
      </w:r>
      <w:r w:rsidR="00D730DE" w:rsidRPr="002A5631">
        <w:rPr>
          <w:rFonts w:ascii="Arial" w:eastAsia="Calibri" w:hAnsi="Arial" w:cs="Arial"/>
          <w:sz w:val="24"/>
          <w:szCs w:val="24"/>
        </w:rPr>
        <w:t>, she refused to do so.</w:t>
      </w:r>
      <w:r w:rsidR="00E32ECF" w:rsidRPr="002A5631">
        <w:rPr>
          <w:rFonts w:ascii="Arial" w:eastAsia="Calibri" w:hAnsi="Arial" w:cs="Arial"/>
          <w:sz w:val="24"/>
          <w:szCs w:val="24"/>
        </w:rPr>
        <w:t xml:space="preserve"> </w:t>
      </w:r>
      <w:r w:rsidR="00D8306F" w:rsidRPr="002A5631">
        <w:rPr>
          <w:rFonts w:ascii="Arial" w:eastAsia="Calibri" w:hAnsi="Arial" w:cs="Arial"/>
          <w:sz w:val="24"/>
          <w:szCs w:val="24"/>
        </w:rPr>
        <w:t xml:space="preserve">The </w:t>
      </w:r>
      <w:r w:rsidR="00FF69AC" w:rsidRPr="002A5631">
        <w:rPr>
          <w:rFonts w:ascii="Arial" w:eastAsia="Calibri" w:hAnsi="Arial" w:cs="Arial"/>
          <w:sz w:val="24"/>
          <w:szCs w:val="24"/>
        </w:rPr>
        <w:t>alleged written s</w:t>
      </w:r>
      <w:r w:rsidR="00846629" w:rsidRPr="002A5631">
        <w:rPr>
          <w:rFonts w:ascii="Arial" w:eastAsia="Calibri" w:hAnsi="Arial" w:cs="Arial"/>
          <w:sz w:val="24"/>
          <w:szCs w:val="24"/>
        </w:rPr>
        <w:t xml:space="preserve">ale </w:t>
      </w:r>
      <w:r w:rsidR="00FF69AC" w:rsidRPr="002A5631">
        <w:rPr>
          <w:rFonts w:ascii="Arial" w:eastAsia="Calibri" w:hAnsi="Arial" w:cs="Arial"/>
          <w:sz w:val="24"/>
          <w:szCs w:val="24"/>
        </w:rPr>
        <w:t>agreement was again not attached to the applicant</w:t>
      </w:r>
      <w:r w:rsidR="007529D4">
        <w:rPr>
          <w:rFonts w:ascii="Arial" w:eastAsia="Calibri" w:hAnsi="Arial" w:cs="Arial"/>
          <w:sz w:val="24"/>
          <w:szCs w:val="24"/>
        </w:rPr>
        <w:t>’s</w:t>
      </w:r>
      <w:r w:rsidR="00FF69AC" w:rsidRPr="002A5631">
        <w:rPr>
          <w:rFonts w:ascii="Arial" w:eastAsia="Calibri" w:hAnsi="Arial" w:cs="Arial"/>
          <w:sz w:val="24"/>
          <w:szCs w:val="24"/>
        </w:rPr>
        <w:t xml:space="preserve"> replying affidavit</w:t>
      </w:r>
      <w:r w:rsidR="00846629" w:rsidRPr="002A5631">
        <w:rPr>
          <w:rFonts w:ascii="Arial" w:eastAsia="Calibri" w:hAnsi="Arial" w:cs="Arial"/>
          <w:sz w:val="24"/>
          <w:szCs w:val="24"/>
        </w:rPr>
        <w:t>.</w:t>
      </w:r>
    </w:p>
    <w:p w14:paraId="38DD5034" w14:textId="77777777" w:rsidR="00B85950" w:rsidRPr="002A5631" w:rsidRDefault="00B85950" w:rsidP="00A6674F">
      <w:pPr>
        <w:spacing w:after="0" w:line="360" w:lineRule="auto"/>
        <w:contextualSpacing/>
        <w:jc w:val="both"/>
        <w:rPr>
          <w:rFonts w:ascii="Arial" w:eastAsia="Calibri" w:hAnsi="Arial" w:cs="Arial"/>
          <w:sz w:val="24"/>
          <w:szCs w:val="24"/>
        </w:rPr>
      </w:pPr>
    </w:p>
    <w:p w14:paraId="39CED2E3" w14:textId="737D0E84" w:rsidR="00B85950" w:rsidRPr="002A5631" w:rsidRDefault="00B85950" w:rsidP="00A6674F">
      <w:pPr>
        <w:spacing w:after="0" w:line="360" w:lineRule="auto"/>
        <w:contextualSpacing/>
        <w:jc w:val="both"/>
        <w:rPr>
          <w:rFonts w:ascii="Arial" w:eastAsia="Calibri" w:hAnsi="Arial" w:cs="Arial"/>
          <w:sz w:val="24"/>
          <w:szCs w:val="24"/>
        </w:rPr>
      </w:pPr>
      <w:r w:rsidRPr="002A5631">
        <w:rPr>
          <w:rFonts w:ascii="Arial" w:eastAsia="Calibri" w:hAnsi="Arial" w:cs="Arial"/>
          <w:b/>
          <w:bCs/>
          <w:sz w:val="24"/>
          <w:szCs w:val="24"/>
        </w:rPr>
        <w:t>Referral to oral evidence</w:t>
      </w:r>
    </w:p>
    <w:p w14:paraId="73ABDE95" w14:textId="01CDAE50" w:rsidR="00395638" w:rsidRPr="002A5631" w:rsidRDefault="00395638"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[2</w:t>
      </w:r>
      <w:r w:rsidR="002A5595" w:rsidRPr="002A5631">
        <w:rPr>
          <w:rFonts w:ascii="Arial" w:eastAsia="Calibri" w:hAnsi="Arial" w:cs="Arial"/>
          <w:sz w:val="24"/>
          <w:szCs w:val="24"/>
        </w:rPr>
        <w:t>7</w:t>
      </w:r>
      <w:r w:rsidRPr="002A5631">
        <w:rPr>
          <w:rFonts w:ascii="Arial" w:eastAsia="Calibri" w:hAnsi="Arial" w:cs="Arial"/>
          <w:sz w:val="24"/>
          <w:szCs w:val="24"/>
        </w:rPr>
        <w:t>]</w:t>
      </w:r>
      <w:r w:rsidR="00F84090" w:rsidRPr="002A5631">
        <w:rPr>
          <w:rFonts w:ascii="Arial" w:eastAsia="Calibri" w:hAnsi="Arial" w:cs="Arial"/>
          <w:sz w:val="24"/>
          <w:szCs w:val="24"/>
        </w:rPr>
        <w:tab/>
      </w:r>
      <w:r w:rsidR="00022B78" w:rsidRPr="002A5631">
        <w:rPr>
          <w:rFonts w:ascii="Arial" w:eastAsia="Calibri" w:hAnsi="Arial" w:cs="Arial"/>
          <w:sz w:val="24"/>
          <w:szCs w:val="24"/>
        </w:rPr>
        <w:t>As mentioned above, coun</w:t>
      </w:r>
      <w:r w:rsidR="00126A93" w:rsidRPr="002A5631">
        <w:rPr>
          <w:rFonts w:ascii="Arial" w:eastAsia="Calibri" w:hAnsi="Arial" w:cs="Arial"/>
          <w:sz w:val="24"/>
          <w:szCs w:val="24"/>
        </w:rPr>
        <w:t>sel</w:t>
      </w:r>
      <w:r w:rsidR="00022B78" w:rsidRPr="002A5631">
        <w:rPr>
          <w:rFonts w:ascii="Arial" w:eastAsia="Calibri" w:hAnsi="Arial" w:cs="Arial"/>
          <w:sz w:val="24"/>
          <w:szCs w:val="24"/>
        </w:rPr>
        <w:t xml:space="preserve"> for the </w:t>
      </w:r>
      <w:r w:rsidR="000050F9" w:rsidRPr="002A5631">
        <w:rPr>
          <w:rFonts w:ascii="Arial" w:eastAsia="Calibri" w:hAnsi="Arial" w:cs="Arial"/>
          <w:sz w:val="24"/>
          <w:szCs w:val="24"/>
        </w:rPr>
        <w:t>applicant</w:t>
      </w:r>
      <w:r w:rsidR="00C23B98" w:rsidRPr="002A5631">
        <w:rPr>
          <w:rFonts w:ascii="Arial" w:eastAsia="Calibri" w:hAnsi="Arial" w:cs="Arial"/>
          <w:sz w:val="24"/>
          <w:szCs w:val="24"/>
        </w:rPr>
        <w:t xml:space="preserve"> </w:t>
      </w:r>
      <w:r w:rsidR="00A20708" w:rsidRPr="002A5631">
        <w:rPr>
          <w:rFonts w:ascii="Arial" w:eastAsia="Calibri" w:hAnsi="Arial" w:cs="Arial"/>
          <w:sz w:val="24"/>
          <w:szCs w:val="24"/>
        </w:rPr>
        <w:t>applied for the matter to be referred for the hearing of oral evidence. He was hard</w:t>
      </w:r>
      <w:r w:rsidR="00E32ECF" w:rsidRPr="002A5631">
        <w:rPr>
          <w:rFonts w:ascii="Arial" w:eastAsia="Calibri" w:hAnsi="Arial" w:cs="Arial"/>
          <w:sz w:val="24"/>
          <w:szCs w:val="24"/>
        </w:rPr>
        <w:t>-</w:t>
      </w:r>
      <w:r w:rsidR="00A20708" w:rsidRPr="002A5631">
        <w:rPr>
          <w:rFonts w:ascii="Arial" w:eastAsia="Calibri" w:hAnsi="Arial" w:cs="Arial"/>
          <w:sz w:val="24"/>
          <w:szCs w:val="24"/>
        </w:rPr>
        <w:t xml:space="preserve">pressed to explain why the applicant had commenced </w:t>
      </w:r>
      <w:r w:rsidR="00BF753E">
        <w:rPr>
          <w:rFonts w:ascii="Arial" w:eastAsia="Calibri" w:hAnsi="Arial" w:cs="Arial"/>
          <w:sz w:val="24"/>
          <w:szCs w:val="24"/>
        </w:rPr>
        <w:t xml:space="preserve">proceedings </w:t>
      </w:r>
      <w:r w:rsidR="00A20708" w:rsidRPr="002A5631">
        <w:rPr>
          <w:rFonts w:ascii="Arial" w:eastAsia="Calibri" w:hAnsi="Arial" w:cs="Arial"/>
          <w:sz w:val="24"/>
          <w:szCs w:val="24"/>
        </w:rPr>
        <w:t xml:space="preserve">by way of </w:t>
      </w:r>
      <w:r w:rsidR="005151CF">
        <w:rPr>
          <w:rFonts w:ascii="Arial" w:eastAsia="Calibri" w:hAnsi="Arial" w:cs="Arial"/>
          <w:sz w:val="24"/>
          <w:szCs w:val="24"/>
        </w:rPr>
        <w:t xml:space="preserve">an </w:t>
      </w:r>
      <w:r w:rsidR="00A20708" w:rsidRPr="002A5631">
        <w:rPr>
          <w:rFonts w:ascii="Arial" w:eastAsia="Calibri" w:hAnsi="Arial" w:cs="Arial"/>
          <w:sz w:val="24"/>
          <w:szCs w:val="24"/>
        </w:rPr>
        <w:t xml:space="preserve">application instead of </w:t>
      </w:r>
      <w:r w:rsidR="005151CF">
        <w:rPr>
          <w:rFonts w:ascii="Arial" w:eastAsia="Calibri" w:hAnsi="Arial" w:cs="Arial"/>
          <w:sz w:val="24"/>
          <w:szCs w:val="24"/>
        </w:rPr>
        <w:t xml:space="preserve">an </w:t>
      </w:r>
      <w:r w:rsidR="00A20708" w:rsidRPr="002A5631">
        <w:rPr>
          <w:rFonts w:ascii="Arial" w:eastAsia="Calibri" w:hAnsi="Arial" w:cs="Arial"/>
          <w:sz w:val="24"/>
          <w:szCs w:val="24"/>
        </w:rPr>
        <w:t>action</w:t>
      </w:r>
      <w:r w:rsidR="00791651">
        <w:rPr>
          <w:rFonts w:ascii="Arial" w:eastAsia="Calibri" w:hAnsi="Arial" w:cs="Arial"/>
          <w:sz w:val="24"/>
          <w:szCs w:val="24"/>
        </w:rPr>
        <w:t>,</w:t>
      </w:r>
      <w:r w:rsidR="00A20708" w:rsidRPr="002A5631">
        <w:rPr>
          <w:rFonts w:ascii="Arial" w:eastAsia="Calibri" w:hAnsi="Arial" w:cs="Arial"/>
          <w:sz w:val="24"/>
          <w:szCs w:val="24"/>
        </w:rPr>
        <w:t xml:space="preserve"> when the applicant</w:t>
      </w:r>
      <w:r w:rsidR="002762BE" w:rsidRPr="002A5631">
        <w:rPr>
          <w:rFonts w:ascii="Arial" w:eastAsia="Calibri" w:hAnsi="Arial" w:cs="Arial"/>
          <w:sz w:val="24"/>
          <w:szCs w:val="24"/>
        </w:rPr>
        <w:t>, already</w:t>
      </w:r>
      <w:r w:rsidR="00A20708" w:rsidRPr="002A5631">
        <w:rPr>
          <w:rFonts w:ascii="Arial" w:eastAsia="Calibri" w:hAnsi="Arial" w:cs="Arial"/>
          <w:sz w:val="24"/>
          <w:szCs w:val="24"/>
        </w:rPr>
        <w:t xml:space="preserve"> in her founding affidavit, referred to the version of the first respondent regarding the loan agreement.</w:t>
      </w:r>
      <w:r w:rsidR="00126A93" w:rsidRPr="002A5631">
        <w:rPr>
          <w:rFonts w:ascii="Arial" w:eastAsia="Calibri" w:hAnsi="Arial" w:cs="Arial"/>
          <w:sz w:val="24"/>
          <w:szCs w:val="24"/>
        </w:rPr>
        <w:t xml:space="preserve"> It</w:t>
      </w:r>
      <w:r w:rsidR="00791651">
        <w:rPr>
          <w:rFonts w:ascii="Arial" w:eastAsia="Calibri" w:hAnsi="Arial" w:cs="Arial"/>
          <w:sz w:val="24"/>
          <w:szCs w:val="24"/>
        </w:rPr>
        <w:t xml:space="preserve"> could</w:t>
      </w:r>
      <w:r w:rsidR="00126A93" w:rsidRPr="002A5631">
        <w:rPr>
          <w:rFonts w:ascii="Arial" w:eastAsia="Calibri" w:hAnsi="Arial" w:cs="Arial"/>
          <w:sz w:val="24"/>
          <w:szCs w:val="24"/>
        </w:rPr>
        <w:t xml:space="preserve"> </w:t>
      </w:r>
      <w:r w:rsidR="000953C0" w:rsidRPr="002A5631">
        <w:rPr>
          <w:rFonts w:ascii="Arial" w:eastAsia="Calibri" w:hAnsi="Arial" w:cs="Arial"/>
          <w:sz w:val="24"/>
          <w:szCs w:val="24"/>
        </w:rPr>
        <w:t xml:space="preserve">therefore not come as a </w:t>
      </w:r>
      <w:r w:rsidR="00126A93" w:rsidRPr="002A5631">
        <w:rPr>
          <w:rFonts w:ascii="Arial" w:eastAsia="Calibri" w:hAnsi="Arial" w:cs="Arial"/>
          <w:sz w:val="24"/>
          <w:szCs w:val="24"/>
        </w:rPr>
        <w:t>surprise to the applicant</w:t>
      </w:r>
      <w:r w:rsidR="00F96EEF" w:rsidRPr="002A5631">
        <w:rPr>
          <w:rFonts w:ascii="Arial" w:eastAsia="Calibri" w:hAnsi="Arial" w:cs="Arial"/>
          <w:sz w:val="24"/>
          <w:szCs w:val="24"/>
        </w:rPr>
        <w:t xml:space="preserve"> </w:t>
      </w:r>
      <w:r w:rsidR="00E32ECF" w:rsidRPr="002A5631">
        <w:rPr>
          <w:rFonts w:ascii="Arial" w:eastAsia="Calibri" w:hAnsi="Arial" w:cs="Arial"/>
          <w:sz w:val="24"/>
          <w:szCs w:val="24"/>
        </w:rPr>
        <w:t xml:space="preserve">that </w:t>
      </w:r>
      <w:r w:rsidR="00AA512A" w:rsidRPr="002A5631">
        <w:rPr>
          <w:rFonts w:ascii="Arial" w:eastAsia="Calibri" w:hAnsi="Arial" w:cs="Arial"/>
          <w:sz w:val="24"/>
          <w:szCs w:val="24"/>
        </w:rPr>
        <w:t xml:space="preserve">the first respondent raised the same issue in her </w:t>
      </w:r>
      <w:r w:rsidR="00BF28E7" w:rsidRPr="002A5631">
        <w:rPr>
          <w:rFonts w:ascii="Arial" w:eastAsia="Calibri" w:hAnsi="Arial" w:cs="Arial"/>
          <w:sz w:val="24"/>
          <w:szCs w:val="24"/>
        </w:rPr>
        <w:t>answering affidavit</w:t>
      </w:r>
      <w:r w:rsidR="00CD4B67" w:rsidRPr="002A5631">
        <w:rPr>
          <w:rFonts w:ascii="Arial" w:eastAsia="Calibri" w:hAnsi="Arial" w:cs="Arial"/>
          <w:sz w:val="24"/>
          <w:szCs w:val="24"/>
        </w:rPr>
        <w:t>.</w:t>
      </w:r>
      <w:r w:rsidR="00DC7F68" w:rsidRPr="002A5631">
        <w:rPr>
          <w:rFonts w:ascii="Arial" w:eastAsia="Calibri" w:hAnsi="Arial" w:cs="Arial"/>
          <w:sz w:val="24"/>
          <w:szCs w:val="24"/>
        </w:rPr>
        <w:t xml:space="preserve"> The high</w:t>
      </w:r>
      <w:r w:rsidR="00EF6ABF" w:rsidRPr="002A5631">
        <w:rPr>
          <w:rFonts w:ascii="Arial" w:eastAsia="Calibri" w:hAnsi="Arial" w:cs="Arial"/>
          <w:sz w:val="24"/>
          <w:szCs w:val="24"/>
        </w:rPr>
        <w:t>-</w:t>
      </w:r>
      <w:r w:rsidR="00DC7F68" w:rsidRPr="002A5631">
        <w:rPr>
          <w:rFonts w:ascii="Arial" w:eastAsia="Calibri" w:hAnsi="Arial" w:cs="Arial"/>
          <w:sz w:val="24"/>
          <w:szCs w:val="24"/>
        </w:rPr>
        <w:t xml:space="preserve">water mark of his argument was that the applicant had two affidavits supporting her </w:t>
      </w:r>
      <w:r w:rsidR="003A6341" w:rsidRPr="002A5631">
        <w:rPr>
          <w:rFonts w:ascii="Arial" w:eastAsia="Calibri" w:hAnsi="Arial" w:cs="Arial"/>
          <w:sz w:val="24"/>
          <w:szCs w:val="24"/>
        </w:rPr>
        <w:t>version,</w:t>
      </w:r>
      <w:r w:rsidR="00DC7F68" w:rsidRPr="002A5631">
        <w:rPr>
          <w:rFonts w:ascii="Arial" w:eastAsia="Calibri" w:hAnsi="Arial" w:cs="Arial"/>
          <w:sz w:val="24"/>
          <w:szCs w:val="24"/>
        </w:rPr>
        <w:t xml:space="preserve"> whereas the first respondent had none.</w:t>
      </w:r>
    </w:p>
    <w:p w14:paraId="16CB5FAF" w14:textId="77777777" w:rsidR="00C23B98" w:rsidRPr="002A5631" w:rsidRDefault="00C23B98" w:rsidP="00A6674F">
      <w:pPr>
        <w:spacing w:after="0" w:line="360" w:lineRule="auto"/>
        <w:contextualSpacing/>
        <w:jc w:val="both"/>
        <w:rPr>
          <w:rFonts w:ascii="Arial" w:eastAsia="Calibri" w:hAnsi="Arial" w:cs="Arial"/>
          <w:sz w:val="24"/>
          <w:szCs w:val="24"/>
        </w:rPr>
      </w:pPr>
    </w:p>
    <w:p w14:paraId="2B48735D" w14:textId="4DA1EFB7" w:rsidR="00C23B98" w:rsidRPr="002A5631" w:rsidRDefault="00C23B98"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[2</w:t>
      </w:r>
      <w:r w:rsidR="002A5595" w:rsidRPr="002A5631">
        <w:rPr>
          <w:rFonts w:ascii="Arial" w:eastAsia="Calibri" w:hAnsi="Arial" w:cs="Arial"/>
          <w:sz w:val="24"/>
          <w:szCs w:val="24"/>
        </w:rPr>
        <w:t>8</w:t>
      </w:r>
      <w:r w:rsidRPr="002A5631">
        <w:rPr>
          <w:rFonts w:ascii="Arial" w:eastAsia="Calibri" w:hAnsi="Arial" w:cs="Arial"/>
          <w:sz w:val="24"/>
          <w:szCs w:val="24"/>
        </w:rPr>
        <w:t>]</w:t>
      </w:r>
      <w:r w:rsidR="00F84090" w:rsidRPr="002A5631">
        <w:rPr>
          <w:rFonts w:ascii="Arial" w:eastAsia="Calibri" w:hAnsi="Arial" w:cs="Arial"/>
          <w:sz w:val="24"/>
          <w:szCs w:val="24"/>
        </w:rPr>
        <w:tab/>
      </w:r>
      <w:r w:rsidR="00AA3F6E" w:rsidRPr="002A5631">
        <w:rPr>
          <w:rFonts w:ascii="Arial" w:eastAsia="Calibri" w:hAnsi="Arial" w:cs="Arial"/>
          <w:sz w:val="24"/>
          <w:szCs w:val="24"/>
        </w:rPr>
        <w:t xml:space="preserve">Mr D </w:t>
      </w:r>
      <w:proofErr w:type="spellStart"/>
      <w:r w:rsidR="00C8555A" w:rsidRPr="002A5631">
        <w:rPr>
          <w:rFonts w:ascii="Arial" w:eastAsia="Calibri" w:hAnsi="Arial" w:cs="Arial"/>
          <w:sz w:val="24"/>
          <w:szCs w:val="24"/>
        </w:rPr>
        <w:t>Moodley</w:t>
      </w:r>
      <w:proofErr w:type="spellEnd"/>
      <w:r w:rsidR="00AA3F6E" w:rsidRPr="002A5631">
        <w:rPr>
          <w:rFonts w:ascii="Arial" w:eastAsia="Calibri" w:hAnsi="Arial" w:cs="Arial"/>
          <w:sz w:val="24"/>
          <w:szCs w:val="24"/>
        </w:rPr>
        <w:t>, appearing for the first respondent,</w:t>
      </w:r>
      <w:r w:rsidR="004E2027" w:rsidRPr="002A5631">
        <w:rPr>
          <w:rFonts w:ascii="Arial" w:eastAsia="Calibri" w:hAnsi="Arial" w:cs="Arial"/>
          <w:sz w:val="24"/>
          <w:szCs w:val="24"/>
        </w:rPr>
        <w:t xml:space="preserve"> </w:t>
      </w:r>
      <w:r w:rsidR="00AA3F6E" w:rsidRPr="002A5631">
        <w:rPr>
          <w:rFonts w:ascii="Arial" w:eastAsia="Calibri" w:hAnsi="Arial" w:cs="Arial"/>
          <w:sz w:val="24"/>
          <w:szCs w:val="24"/>
        </w:rPr>
        <w:t xml:space="preserve">objected to any possible referral for oral evidence and submitted that it would lead to unnecessary legal costs and a delay in the </w:t>
      </w:r>
      <w:r w:rsidR="00B943A3" w:rsidRPr="002A5631">
        <w:rPr>
          <w:rFonts w:ascii="Arial" w:eastAsia="Calibri" w:hAnsi="Arial" w:cs="Arial"/>
          <w:sz w:val="24"/>
          <w:szCs w:val="24"/>
        </w:rPr>
        <w:t>finalisation</w:t>
      </w:r>
      <w:r w:rsidR="00AA3F6E" w:rsidRPr="002A5631">
        <w:rPr>
          <w:rFonts w:ascii="Arial" w:eastAsia="Calibri" w:hAnsi="Arial" w:cs="Arial"/>
          <w:sz w:val="24"/>
          <w:szCs w:val="24"/>
        </w:rPr>
        <w:t xml:space="preserve"> of the matter. It was submitted that the applicant had no prospects of success </w:t>
      </w:r>
      <w:r w:rsidR="00B943A3" w:rsidRPr="002A5631">
        <w:rPr>
          <w:rFonts w:ascii="Arial" w:eastAsia="Calibri" w:hAnsi="Arial" w:cs="Arial"/>
          <w:sz w:val="24"/>
          <w:szCs w:val="24"/>
        </w:rPr>
        <w:t xml:space="preserve">in respect </w:t>
      </w:r>
      <w:r w:rsidR="00AA3F6E" w:rsidRPr="002A5631">
        <w:rPr>
          <w:rFonts w:ascii="Arial" w:eastAsia="Calibri" w:hAnsi="Arial" w:cs="Arial"/>
          <w:sz w:val="24"/>
          <w:szCs w:val="24"/>
        </w:rPr>
        <w:t>of the relief being sought</w:t>
      </w:r>
      <w:r w:rsidR="00605807" w:rsidRPr="002A5631">
        <w:rPr>
          <w:rFonts w:ascii="Arial" w:eastAsia="Calibri" w:hAnsi="Arial" w:cs="Arial"/>
          <w:sz w:val="24"/>
          <w:szCs w:val="24"/>
        </w:rPr>
        <w:t>,</w:t>
      </w:r>
      <w:r w:rsidR="00C8555A" w:rsidRPr="002A5631">
        <w:rPr>
          <w:rFonts w:ascii="Arial" w:eastAsia="Calibri" w:hAnsi="Arial" w:cs="Arial"/>
          <w:sz w:val="24"/>
          <w:szCs w:val="24"/>
        </w:rPr>
        <w:t xml:space="preserve"> </w:t>
      </w:r>
      <w:r w:rsidR="00B943A3" w:rsidRPr="002A5631">
        <w:rPr>
          <w:rFonts w:ascii="Arial" w:eastAsia="Calibri" w:hAnsi="Arial" w:cs="Arial"/>
          <w:sz w:val="24"/>
          <w:szCs w:val="24"/>
        </w:rPr>
        <w:t xml:space="preserve">especially </w:t>
      </w:r>
      <w:r w:rsidR="00C8555A" w:rsidRPr="002A5631">
        <w:rPr>
          <w:rFonts w:ascii="Arial" w:eastAsia="Calibri" w:hAnsi="Arial" w:cs="Arial"/>
          <w:sz w:val="24"/>
          <w:szCs w:val="24"/>
        </w:rPr>
        <w:t xml:space="preserve">in light of the obvious </w:t>
      </w:r>
      <w:r w:rsidR="003A4FCD" w:rsidRPr="002A5631">
        <w:rPr>
          <w:rFonts w:ascii="Arial" w:eastAsia="Calibri" w:hAnsi="Arial" w:cs="Arial"/>
          <w:sz w:val="24"/>
          <w:szCs w:val="24"/>
        </w:rPr>
        <w:t>non-compliance</w:t>
      </w:r>
      <w:r w:rsidR="00C8555A" w:rsidRPr="002A5631">
        <w:rPr>
          <w:rFonts w:ascii="Arial" w:eastAsia="Calibri" w:hAnsi="Arial" w:cs="Arial"/>
          <w:sz w:val="24"/>
          <w:szCs w:val="24"/>
        </w:rPr>
        <w:t xml:space="preserve"> with </w:t>
      </w:r>
      <w:r w:rsidR="002C27F5" w:rsidRPr="002A5631">
        <w:rPr>
          <w:rFonts w:ascii="Arial" w:eastAsia="Calibri" w:hAnsi="Arial" w:cs="Arial"/>
          <w:sz w:val="24"/>
          <w:szCs w:val="24"/>
        </w:rPr>
        <w:t xml:space="preserve">section </w:t>
      </w:r>
      <w:r w:rsidR="00C8555A" w:rsidRPr="002A5631">
        <w:rPr>
          <w:rFonts w:ascii="Arial" w:eastAsia="Calibri" w:hAnsi="Arial" w:cs="Arial"/>
          <w:sz w:val="24"/>
          <w:szCs w:val="24"/>
        </w:rPr>
        <w:t>2</w:t>
      </w:r>
      <w:r w:rsidR="002C27F5" w:rsidRPr="002A5631">
        <w:rPr>
          <w:rFonts w:ascii="Arial" w:eastAsia="Calibri" w:hAnsi="Arial" w:cs="Arial"/>
          <w:sz w:val="24"/>
          <w:szCs w:val="24"/>
        </w:rPr>
        <w:t>(1)</w:t>
      </w:r>
      <w:r w:rsidR="004E2027" w:rsidRPr="002A5631">
        <w:rPr>
          <w:rFonts w:ascii="Arial" w:eastAsia="Calibri" w:hAnsi="Arial" w:cs="Arial"/>
          <w:sz w:val="24"/>
          <w:szCs w:val="24"/>
        </w:rPr>
        <w:t xml:space="preserve"> </w:t>
      </w:r>
      <w:r w:rsidR="00C8555A" w:rsidRPr="002A5631">
        <w:rPr>
          <w:rFonts w:ascii="Arial" w:eastAsia="Calibri" w:hAnsi="Arial" w:cs="Arial"/>
          <w:sz w:val="24"/>
          <w:szCs w:val="24"/>
        </w:rPr>
        <w:t xml:space="preserve">of the </w:t>
      </w:r>
      <w:r w:rsidR="002C27F5" w:rsidRPr="002A5631">
        <w:rPr>
          <w:rFonts w:ascii="Arial" w:eastAsia="Calibri" w:hAnsi="Arial" w:cs="Arial"/>
          <w:sz w:val="24"/>
          <w:szCs w:val="24"/>
        </w:rPr>
        <w:t>Alienation Act</w:t>
      </w:r>
      <w:r w:rsidR="00605807" w:rsidRPr="002A5631">
        <w:rPr>
          <w:rFonts w:ascii="Arial" w:eastAsia="Calibri" w:hAnsi="Arial" w:cs="Arial"/>
          <w:sz w:val="24"/>
          <w:szCs w:val="24"/>
        </w:rPr>
        <w:t>.</w:t>
      </w:r>
      <w:r w:rsidR="00DC7F68" w:rsidRPr="002A5631">
        <w:rPr>
          <w:rStyle w:val="FootnoteReference"/>
          <w:rFonts w:ascii="Arial" w:eastAsia="Calibri" w:hAnsi="Arial" w:cs="Arial"/>
          <w:sz w:val="24"/>
          <w:szCs w:val="24"/>
        </w:rPr>
        <w:footnoteReference w:id="1"/>
      </w:r>
    </w:p>
    <w:p w14:paraId="1F317B32" w14:textId="77777777" w:rsidR="004C65FE" w:rsidRPr="002A5631" w:rsidRDefault="004C65FE" w:rsidP="00A6674F">
      <w:pPr>
        <w:spacing w:after="0" w:line="360" w:lineRule="auto"/>
        <w:contextualSpacing/>
        <w:jc w:val="both"/>
        <w:rPr>
          <w:rFonts w:ascii="Arial" w:eastAsia="Calibri" w:hAnsi="Arial" w:cs="Arial"/>
          <w:sz w:val="24"/>
          <w:szCs w:val="24"/>
        </w:rPr>
      </w:pPr>
    </w:p>
    <w:p w14:paraId="4051ECBC" w14:textId="47B2F992" w:rsidR="004C65FE" w:rsidRPr="002A5631" w:rsidRDefault="004C65FE"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lastRenderedPageBreak/>
        <w:t>[2</w:t>
      </w:r>
      <w:r w:rsidR="002A5595" w:rsidRPr="002A5631">
        <w:rPr>
          <w:rFonts w:ascii="Arial" w:eastAsia="Calibri" w:hAnsi="Arial" w:cs="Arial"/>
          <w:sz w:val="24"/>
          <w:szCs w:val="24"/>
        </w:rPr>
        <w:t>9</w:t>
      </w:r>
      <w:r w:rsidRPr="002A5631">
        <w:rPr>
          <w:rFonts w:ascii="Arial" w:eastAsia="Calibri" w:hAnsi="Arial" w:cs="Arial"/>
          <w:sz w:val="24"/>
          <w:szCs w:val="24"/>
        </w:rPr>
        <w:t>]</w:t>
      </w:r>
      <w:r w:rsidR="00F84090" w:rsidRPr="002A5631">
        <w:rPr>
          <w:rFonts w:ascii="Arial" w:eastAsia="Calibri" w:hAnsi="Arial" w:cs="Arial"/>
          <w:sz w:val="24"/>
          <w:szCs w:val="24"/>
        </w:rPr>
        <w:tab/>
      </w:r>
      <w:r w:rsidR="008F1447" w:rsidRPr="002A5631">
        <w:rPr>
          <w:rFonts w:ascii="Arial" w:eastAsia="Calibri" w:hAnsi="Arial" w:cs="Arial"/>
          <w:sz w:val="24"/>
          <w:szCs w:val="24"/>
        </w:rPr>
        <w:t xml:space="preserve">It was </w:t>
      </w:r>
      <w:r w:rsidR="00663938" w:rsidRPr="002A5631">
        <w:rPr>
          <w:rFonts w:ascii="Arial" w:eastAsia="Calibri" w:hAnsi="Arial" w:cs="Arial"/>
          <w:sz w:val="24"/>
          <w:szCs w:val="24"/>
        </w:rPr>
        <w:t xml:space="preserve">also </w:t>
      </w:r>
      <w:r w:rsidR="008F1447" w:rsidRPr="002A5631">
        <w:rPr>
          <w:rFonts w:ascii="Arial" w:eastAsia="Calibri" w:hAnsi="Arial" w:cs="Arial"/>
          <w:sz w:val="24"/>
          <w:szCs w:val="24"/>
        </w:rPr>
        <w:t xml:space="preserve">submitted by Mr </w:t>
      </w:r>
      <w:proofErr w:type="spellStart"/>
      <w:r w:rsidR="00663938" w:rsidRPr="002A5631">
        <w:rPr>
          <w:rFonts w:ascii="Arial" w:eastAsia="Calibri" w:hAnsi="Arial" w:cs="Arial"/>
          <w:sz w:val="24"/>
          <w:szCs w:val="24"/>
        </w:rPr>
        <w:t>Moodley</w:t>
      </w:r>
      <w:proofErr w:type="spellEnd"/>
      <w:r w:rsidR="00663938" w:rsidRPr="002A5631">
        <w:rPr>
          <w:rFonts w:ascii="Arial" w:eastAsia="Calibri" w:hAnsi="Arial" w:cs="Arial"/>
          <w:sz w:val="24"/>
          <w:szCs w:val="24"/>
        </w:rPr>
        <w:t xml:space="preserve"> </w:t>
      </w:r>
      <w:r w:rsidR="008F1447" w:rsidRPr="002A5631">
        <w:rPr>
          <w:rFonts w:ascii="Arial" w:eastAsia="Calibri" w:hAnsi="Arial" w:cs="Arial"/>
          <w:sz w:val="24"/>
          <w:szCs w:val="24"/>
        </w:rPr>
        <w:t xml:space="preserve">that the </w:t>
      </w:r>
      <w:r w:rsidR="003A4FCD" w:rsidRPr="002A5631">
        <w:rPr>
          <w:rFonts w:ascii="Arial" w:eastAsia="Calibri" w:hAnsi="Arial" w:cs="Arial"/>
          <w:sz w:val="24"/>
          <w:szCs w:val="24"/>
        </w:rPr>
        <w:t>non-joinder</w:t>
      </w:r>
      <w:r w:rsidR="008F1447" w:rsidRPr="002A5631">
        <w:rPr>
          <w:rFonts w:ascii="Arial" w:eastAsia="Calibri" w:hAnsi="Arial" w:cs="Arial"/>
          <w:sz w:val="24"/>
          <w:szCs w:val="24"/>
        </w:rPr>
        <w:t xml:space="preserve"> of Mr </w:t>
      </w:r>
      <w:proofErr w:type="spellStart"/>
      <w:r w:rsidR="008C6791" w:rsidRPr="002A5631">
        <w:rPr>
          <w:rFonts w:ascii="Arial" w:eastAsia="Calibri" w:hAnsi="Arial" w:cs="Arial"/>
          <w:sz w:val="24"/>
          <w:szCs w:val="24"/>
        </w:rPr>
        <w:t>Dlamini</w:t>
      </w:r>
      <w:proofErr w:type="spellEnd"/>
      <w:r w:rsidR="004E2027" w:rsidRPr="002A5631">
        <w:rPr>
          <w:rFonts w:ascii="Arial" w:eastAsia="Calibri" w:hAnsi="Arial" w:cs="Arial"/>
          <w:sz w:val="24"/>
          <w:szCs w:val="24"/>
        </w:rPr>
        <w:t xml:space="preserve"> </w:t>
      </w:r>
      <w:r w:rsidR="008F1447" w:rsidRPr="002A5631">
        <w:rPr>
          <w:rFonts w:ascii="Arial" w:eastAsia="Calibri" w:hAnsi="Arial" w:cs="Arial"/>
          <w:sz w:val="24"/>
          <w:szCs w:val="24"/>
        </w:rPr>
        <w:t xml:space="preserve">was fatal to the </w:t>
      </w:r>
      <w:r w:rsidR="008C6791" w:rsidRPr="002A5631">
        <w:rPr>
          <w:rFonts w:ascii="Arial" w:eastAsia="Calibri" w:hAnsi="Arial" w:cs="Arial"/>
          <w:sz w:val="24"/>
          <w:szCs w:val="24"/>
        </w:rPr>
        <w:t xml:space="preserve">applicant’s </w:t>
      </w:r>
      <w:r w:rsidR="008F1447" w:rsidRPr="002A5631">
        <w:rPr>
          <w:rFonts w:ascii="Arial" w:eastAsia="Calibri" w:hAnsi="Arial" w:cs="Arial"/>
          <w:sz w:val="24"/>
          <w:szCs w:val="24"/>
        </w:rPr>
        <w:t xml:space="preserve">application. </w:t>
      </w:r>
      <w:r w:rsidR="008C6791" w:rsidRPr="002A5631">
        <w:rPr>
          <w:rFonts w:ascii="Arial" w:eastAsia="Calibri" w:hAnsi="Arial" w:cs="Arial"/>
          <w:sz w:val="24"/>
          <w:szCs w:val="24"/>
        </w:rPr>
        <w:t xml:space="preserve">He further </w:t>
      </w:r>
      <w:r w:rsidR="008F1447" w:rsidRPr="002A5631">
        <w:rPr>
          <w:rFonts w:ascii="Arial" w:eastAsia="Calibri" w:hAnsi="Arial" w:cs="Arial"/>
          <w:sz w:val="24"/>
          <w:szCs w:val="24"/>
        </w:rPr>
        <w:t>emphasised that the applicant only resorted to litigation 13 years after the alleged agreement was concluded</w:t>
      </w:r>
      <w:r w:rsidR="00663938" w:rsidRPr="002A5631">
        <w:rPr>
          <w:rFonts w:ascii="Arial" w:eastAsia="Calibri" w:hAnsi="Arial" w:cs="Arial"/>
          <w:sz w:val="24"/>
          <w:szCs w:val="24"/>
        </w:rPr>
        <w:t xml:space="preserve"> and only after the first respondent attempted to repay the alleged loan</w:t>
      </w:r>
      <w:r w:rsidR="00D066A5" w:rsidRPr="002A5631">
        <w:rPr>
          <w:rFonts w:ascii="Arial" w:eastAsia="Calibri" w:hAnsi="Arial" w:cs="Arial"/>
          <w:sz w:val="24"/>
          <w:szCs w:val="24"/>
        </w:rPr>
        <w:t>.</w:t>
      </w:r>
    </w:p>
    <w:p w14:paraId="38681FF3" w14:textId="77777777" w:rsidR="00CE3637" w:rsidRPr="002A5631" w:rsidRDefault="00CE3637" w:rsidP="00A6674F">
      <w:pPr>
        <w:spacing w:after="0" w:line="360" w:lineRule="auto"/>
        <w:contextualSpacing/>
        <w:jc w:val="both"/>
        <w:rPr>
          <w:rFonts w:ascii="Arial" w:eastAsia="Calibri" w:hAnsi="Arial" w:cs="Arial"/>
          <w:sz w:val="24"/>
          <w:szCs w:val="24"/>
        </w:rPr>
      </w:pPr>
    </w:p>
    <w:p w14:paraId="1379352E" w14:textId="529D3E17" w:rsidR="00CE3637" w:rsidRPr="002A5631" w:rsidRDefault="00CE3637"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w:t>
      </w:r>
      <w:r w:rsidR="002A5595" w:rsidRPr="002A5631">
        <w:rPr>
          <w:rFonts w:ascii="Arial" w:eastAsia="Calibri" w:hAnsi="Arial" w:cs="Arial"/>
          <w:sz w:val="24"/>
          <w:szCs w:val="24"/>
        </w:rPr>
        <w:t>30</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As far as disputes of fact and the referral to oral evidence is </w:t>
      </w:r>
      <w:r w:rsidR="003A4FCD" w:rsidRPr="002A5631">
        <w:rPr>
          <w:rFonts w:ascii="Arial" w:eastAsia="Calibri" w:hAnsi="Arial" w:cs="Arial"/>
          <w:sz w:val="24"/>
          <w:szCs w:val="24"/>
        </w:rPr>
        <w:t xml:space="preserve">concerned, </w:t>
      </w:r>
      <w:r w:rsidR="003A4FCD" w:rsidRPr="002A5631">
        <w:rPr>
          <w:rFonts w:ascii="Arial" w:eastAsia="Calibri" w:hAnsi="Arial" w:cs="Arial"/>
          <w:i/>
          <w:sz w:val="24"/>
          <w:szCs w:val="24"/>
        </w:rPr>
        <w:t>Erasmus</w:t>
      </w:r>
      <w:r w:rsidRPr="002A5631">
        <w:rPr>
          <w:rFonts w:ascii="Arial" w:eastAsia="Calibri" w:hAnsi="Arial" w:cs="Arial"/>
          <w:i/>
          <w:iCs/>
          <w:sz w:val="24"/>
          <w:szCs w:val="24"/>
        </w:rPr>
        <w:t>:</w:t>
      </w:r>
      <w:r w:rsidR="003A4FCD" w:rsidRPr="002A5631">
        <w:rPr>
          <w:rFonts w:ascii="Arial" w:eastAsia="Calibri" w:hAnsi="Arial" w:cs="Arial"/>
          <w:i/>
          <w:iCs/>
          <w:sz w:val="24"/>
          <w:szCs w:val="24"/>
        </w:rPr>
        <w:t xml:space="preserve"> </w:t>
      </w:r>
      <w:r w:rsidRPr="002A5631">
        <w:rPr>
          <w:rFonts w:ascii="Arial" w:eastAsia="Calibri" w:hAnsi="Arial" w:cs="Arial"/>
          <w:i/>
          <w:iCs/>
          <w:sz w:val="24"/>
          <w:szCs w:val="24"/>
        </w:rPr>
        <w:t>Superior Court Practi</w:t>
      </w:r>
      <w:r w:rsidR="003A4FCD" w:rsidRPr="002A5631">
        <w:rPr>
          <w:rFonts w:ascii="Arial" w:eastAsia="Calibri" w:hAnsi="Arial" w:cs="Arial"/>
          <w:i/>
          <w:iCs/>
          <w:sz w:val="24"/>
          <w:szCs w:val="24"/>
        </w:rPr>
        <w:t>c</w:t>
      </w:r>
      <w:r w:rsidRPr="002A5631">
        <w:rPr>
          <w:rFonts w:ascii="Arial" w:eastAsia="Calibri" w:hAnsi="Arial" w:cs="Arial"/>
          <w:i/>
          <w:iCs/>
          <w:sz w:val="24"/>
          <w:szCs w:val="24"/>
        </w:rPr>
        <w:t>e</w:t>
      </w:r>
      <w:r w:rsidRPr="002A5631">
        <w:rPr>
          <w:rStyle w:val="FootnoteReference"/>
          <w:rFonts w:ascii="Arial" w:eastAsia="Calibri" w:hAnsi="Arial" w:cs="Arial"/>
          <w:i/>
          <w:iCs/>
          <w:sz w:val="24"/>
          <w:szCs w:val="24"/>
        </w:rPr>
        <w:footnoteReference w:id="2"/>
      </w:r>
      <w:r w:rsidR="004E2027" w:rsidRPr="002A5631">
        <w:rPr>
          <w:rFonts w:ascii="Arial" w:eastAsia="Calibri" w:hAnsi="Arial" w:cs="Arial"/>
          <w:sz w:val="24"/>
          <w:szCs w:val="24"/>
        </w:rPr>
        <w:t xml:space="preserve"> </w:t>
      </w:r>
      <w:r w:rsidR="002E6E51" w:rsidRPr="002A5631">
        <w:rPr>
          <w:rFonts w:ascii="Arial" w:eastAsia="Calibri" w:hAnsi="Arial" w:cs="Arial"/>
          <w:sz w:val="24"/>
          <w:szCs w:val="24"/>
        </w:rPr>
        <w:t xml:space="preserve">states </w:t>
      </w:r>
      <w:r w:rsidRPr="002A5631">
        <w:rPr>
          <w:rFonts w:ascii="Arial" w:eastAsia="Calibri" w:hAnsi="Arial" w:cs="Arial"/>
          <w:sz w:val="24"/>
          <w:szCs w:val="24"/>
        </w:rPr>
        <w:t>the following:</w:t>
      </w:r>
    </w:p>
    <w:p w14:paraId="023C6374" w14:textId="77777777" w:rsidR="002E6E51" w:rsidRPr="002A5631" w:rsidRDefault="00CE3637" w:rsidP="002E6E51">
      <w:pPr>
        <w:spacing w:after="0" w:line="360" w:lineRule="auto"/>
        <w:contextualSpacing/>
        <w:jc w:val="both"/>
        <w:rPr>
          <w:rFonts w:ascii="Arial" w:eastAsia="Times New Roman" w:hAnsi="Arial" w:cs="Arial"/>
          <w:color w:val="000000"/>
          <w:szCs w:val="24"/>
          <w:lang w:eastAsia="en-ZA"/>
        </w:rPr>
      </w:pPr>
      <w:r w:rsidRPr="002A5631">
        <w:rPr>
          <w:rFonts w:ascii="Arial" w:eastAsia="Calibri" w:hAnsi="Arial" w:cs="Arial"/>
          <w:szCs w:val="24"/>
        </w:rPr>
        <w:t>‘</w:t>
      </w:r>
      <w:r w:rsidR="002E6E51" w:rsidRPr="002A5631">
        <w:rPr>
          <w:rFonts w:ascii="Arial" w:eastAsia="Times New Roman" w:hAnsi="Arial" w:cs="Arial"/>
          <w:color w:val="000000"/>
          <w:szCs w:val="24"/>
          <w:lang w:eastAsia="en-ZA"/>
        </w:rPr>
        <w:t>As a general rule, decisions of fact cannot properly be founded on a consideration of the probabilities unless the court is satisfied that there is no real and genuine dispute on the facts in question, or that the one party’s allegations are so far-fetched or so clearly untenable or so palpably implausible as to warrant their rejection merely on the papers, </w:t>
      </w:r>
      <w:bookmarkStart w:id="1" w:name="0-0-0-30891"/>
      <w:bookmarkEnd w:id="1"/>
      <w:r w:rsidR="002E6E51" w:rsidRPr="002A5631">
        <w:rPr>
          <w:rFonts w:ascii="Arial" w:eastAsia="Times New Roman" w:hAnsi="Arial" w:cs="Arial"/>
          <w:color w:val="000000"/>
          <w:szCs w:val="24"/>
          <w:lang w:eastAsia="en-ZA"/>
        </w:rPr>
        <w:t>or that </w:t>
      </w:r>
      <w:r w:rsidR="002E6E51" w:rsidRPr="002A5631">
        <w:rPr>
          <w:rFonts w:ascii="Arial" w:eastAsia="Times New Roman" w:hAnsi="Arial" w:cs="Arial"/>
          <w:i/>
          <w:iCs/>
          <w:color w:val="000000"/>
          <w:szCs w:val="24"/>
          <w:lang w:eastAsia="en-ZA"/>
        </w:rPr>
        <w:t xml:space="preserve">viva voce </w:t>
      </w:r>
      <w:r w:rsidR="002E6E51" w:rsidRPr="002A5631">
        <w:rPr>
          <w:rFonts w:ascii="Arial" w:eastAsia="Times New Roman" w:hAnsi="Arial" w:cs="Arial"/>
          <w:color w:val="000000"/>
          <w:szCs w:val="24"/>
          <w:lang w:eastAsia="en-ZA"/>
        </w:rPr>
        <w:t>evidence would not disturb the balance of probabilities appearing from the affidavits. </w:t>
      </w:r>
      <w:bookmarkStart w:id="2" w:name="0-0-0-30897"/>
      <w:bookmarkEnd w:id="2"/>
      <w:r w:rsidR="002E6E51" w:rsidRPr="002A5631">
        <w:rPr>
          <w:rFonts w:ascii="Arial" w:eastAsia="Times New Roman" w:hAnsi="Arial" w:cs="Arial"/>
          <w:color w:val="000000"/>
          <w:szCs w:val="24"/>
          <w:lang w:eastAsia="en-ZA"/>
        </w:rPr>
        <w:t>This rule applies not only to disputes of fact, but also to cases where an applicant seeks to obtain final relief on the basis of the undisputed facts together with the facts contained in the respondent’s affidavits. </w:t>
      </w:r>
      <w:bookmarkStart w:id="3" w:name="0-0-0-30901"/>
      <w:bookmarkEnd w:id="3"/>
      <w:r w:rsidR="002E6E51" w:rsidRPr="002A5631">
        <w:rPr>
          <w:rFonts w:ascii="Arial" w:eastAsia="Times New Roman" w:hAnsi="Arial" w:cs="Arial"/>
          <w:color w:val="000000"/>
          <w:szCs w:val="24"/>
          <w:lang w:eastAsia="en-ZA"/>
        </w:rPr>
        <w:t>In the latter regard it has become known as the “</w:t>
      </w:r>
      <w:proofErr w:type="spellStart"/>
      <w:r w:rsidR="002E6E51" w:rsidRPr="002A5631">
        <w:rPr>
          <w:rFonts w:ascii="Arial" w:eastAsia="Times New Roman" w:hAnsi="Arial" w:cs="Arial"/>
          <w:i/>
          <w:iCs/>
          <w:color w:val="000000"/>
          <w:szCs w:val="24"/>
          <w:lang w:eastAsia="en-ZA"/>
        </w:rPr>
        <w:t>Plascon</w:t>
      </w:r>
      <w:proofErr w:type="spellEnd"/>
      <w:r w:rsidR="002E6E51" w:rsidRPr="002A5631">
        <w:rPr>
          <w:rFonts w:ascii="Arial" w:eastAsia="Times New Roman" w:hAnsi="Arial" w:cs="Arial"/>
          <w:i/>
          <w:iCs/>
          <w:color w:val="000000"/>
          <w:szCs w:val="24"/>
          <w:lang w:eastAsia="en-ZA"/>
        </w:rPr>
        <w:t xml:space="preserve"> Evans</w:t>
      </w:r>
      <w:r w:rsidR="002E6E51" w:rsidRPr="002A5631">
        <w:rPr>
          <w:rFonts w:ascii="Arial" w:eastAsia="Times New Roman" w:hAnsi="Arial" w:cs="Arial"/>
          <w:color w:val="000000"/>
          <w:szCs w:val="24"/>
          <w:lang w:eastAsia="en-ZA"/>
        </w:rPr>
        <w:t> rule”, referred to by the Constitutional Court in </w:t>
      </w:r>
      <w:r w:rsidR="002E6E51" w:rsidRPr="002A5631">
        <w:rPr>
          <w:rFonts w:ascii="Arial" w:eastAsia="Times New Roman" w:hAnsi="Arial" w:cs="Arial"/>
          <w:i/>
          <w:iCs/>
          <w:color w:val="000000"/>
          <w:szCs w:val="24"/>
          <w:lang w:eastAsia="en-ZA"/>
        </w:rPr>
        <w:t>Democratic Alliance in re Electoral Commission of South Africa v Minister of Cooperative Governance</w:t>
      </w:r>
      <w:r w:rsidR="002E6E51" w:rsidRPr="002A5631">
        <w:rPr>
          <w:rFonts w:ascii="Arial" w:eastAsia="Times New Roman" w:hAnsi="Arial" w:cs="Arial"/>
          <w:color w:val="000000"/>
          <w:szCs w:val="24"/>
          <w:lang w:eastAsia="en-ZA"/>
        </w:rPr>
        <w:t> </w:t>
      </w:r>
      <w:bookmarkStart w:id="4" w:name="0-0-0-30905"/>
      <w:bookmarkEnd w:id="4"/>
      <w:r w:rsidR="002E6E51" w:rsidRPr="002A5631">
        <w:rPr>
          <w:rFonts w:ascii="Arial" w:eastAsia="Times New Roman" w:hAnsi="Arial" w:cs="Arial"/>
          <w:color w:val="000000"/>
          <w:szCs w:val="24"/>
          <w:lang w:eastAsia="en-ZA"/>
        </w:rPr>
        <w:t>as follows: </w:t>
      </w:r>
      <w:bookmarkStart w:id="5" w:name="0-0-0-30909"/>
      <w:bookmarkEnd w:id="5"/>
    </w:p>
    <w:p w14:paraId="5133D051" w14:textId="5C1E6DC2" w:rsidR="003A4FCD" w:rsidRPr="002A5631" w:rsidRDefault="002E6E51" w:rsidP="002E6E51">
      <w:pPr>
        <w:spacing w:after="0" w:line="360" w:lineRule="auto"/>
        <w:ind w:left="720"/>
        <w:contextualSpacing/>
        <w:jc w:val="both"/>
        <w:rPr>
          <w:rFonts w:ascii="Arial" w:eastAsia="Times New Roman" w:hAnsi="Arial" w:cs="Arial"/>
          <w:color w:val="000000"/>
          <w:sz w:val="24"/>
          <w:szCs w:val="24"/>
          <w:lang w:eastAsia="en-ZA"/>
        </w:rPr>
      </w:pPr>
      <w:r w:rsidRPr="002A5631">
        <w:rPr>
          <w:rFonts w:ascii="Arial" w:eastAsia="Times New Roman" w:hAnsi="Arial" w:cs="Arial"/>
          <w:color w:val="000000"/>
          <w:szCs w:val="24"/>
          <w:lang w:eastAsia="en-ZA"/>
        </w:rPr>
        <w:t>“The </w:t>
      </w:r>
      <w:proofErr w:type="spellStart"/>
      <w:r w:rsidRPr="002A5631">
        <w:rPr>
          <w:rFonts w:ascii="Arial" w:eastAsia="Times New Roman" w:hAnsi="Arial" w:cs="Arial"/>
          <w:i/>
          <w:iCs/>
          <w:color w:val="000000"/>
          <w:szCs w:val="24"/>
          <w:lang w:eastAsia="en-ZA"/>
        </w:rPr>
        <w:t>Plascon</w:t>
      </w:r>
      <w:proofErr w:type="spellEnd"/>
      <w:r w:rsidRPr="002A5631">
        <w:rPr>
          <w:rFonts w:ascii="Arial" w:eastAsia="Times New Roman" w:hAnsi="Arial" w:cs="Arial"/>
          <w:i/>
          <w:iCs/>
          <w:color w:val="000000"/>
          <w:szCs w:val="24"/>
          <w:lang w:eastAsia="en-ZA"/>
        </w:rPr>
        <w:t>-Evans</w:t>
      </w:r>
      <w:r w:rsidRPr="002A5631">
        <w:rPr>
          <w:rFonts w:ascii="Arial" w:eastAsia="Times New Roman" w:hAnsi="Arial" w:cs="Arial"/>
          <w:color w:val="000000"/>
          <w:szCs w:val="24"/>
          <w:lang w:eastAsia="en-ZA"/>
        </w:rPr>
        <w:t> rule is that an application for final relief must be decided on the facts stated by the respondent, together with those which the applicant states and which the respondent cannot deny, or of which its denials plainly lack credence and can be rejected outright on the papers.”</w:t>
      </w:r>
      <w:r w:rsidR="00CE3637" w:rsidRPr="002A5631">
        <w:rPr>
          <w:rFonts w:ascii="Arial" w:eastAsia="Times New Roman" w:hAnsi="Arial" w:cs="Arial"/>
          <w:color w:val="000000"/>
          <w:lang w:eastAsia="en-ZA"/>
        </w:rPr>
        <w:t>’</w:t>
      </w:r>
      <w:r w:rsidR="006E4BDA" w:rsidRPr="002A5631">
        <w:rPr>
          <w:rFonts w:ascii="Arial" w:eastAsia="Times New Roman" w:hAnsi="Arial" w:cs="Arial"/>
          <w:color w:val="000000"/>
          <w:lang w:eastAsia="en-ZA"/>
        </w:rPr>
        <w:t xml:space="preserve"> </w:t>
      </w:r>
      <w:r w:rsidR="003A4FCD" w:rsidRPr="002A5631">
        <w:rPr>
          <w:rFonts w:ascii="Arial" w:eastAsia="Times New Roman" w:hAnsi="Arial" w:cs="Arial"/>
          <w:color w:val="000000"/>
          <w:lang w:eastAsia="en-ZA"/>
        </w:rPr>
        <w:t>(</w:t>
      </w:r>
      <w:r w:rsidRPr="002A5631">
        <w:rPr>
          <w:rFonts w:ascii="Arial" w:eastAsia="Times New Roman" w:hAnsi="Arial" w:cs="Arial"/>
          <w:color w:val="000000"/>
          <w:lang w:eastAsia="en-ZA"/>
        </w:rPr>
        <w:t xml:space="preserve">Footnotes </w:t>
      </w:r>
      <w:r w:rsidR="003A4FCD" w:rsidRPr="002A5631">
        <w:rPr>
          <w:rFonts w:ascii="Arial" w:eastAsia="Times New Roman" w:hAnsi="Arial" w:cs="Arial"/>
          <w:color w:val="000000"/>
          <w:lang w:eastAsia="en-ZA"/>
        </w:rPr>
        <w:t>omitted</w:t>
      </w:r>
      <w:r w:rsidRPr="002A5631">
        <w:rPr>
          <w:rFonts w:ascii="Arial" w:eastAsia="Times New Roman" w:hAnsi="Arial" w:cs="Arial"/>
          <w:color w:val="000000"/>
          <w:lang w:eastAsia="en-ZA"/>
        </w:rPr>
        <w:t>.</w:t>
      </w:r>
      <w:r w:rsidR="003A4FCD" w:rsidRPr="002A5631">
        <w:rPr>
          <w:rFonts w:ascii="Arial" w:eastAsia="Times New Roman" w:hAnsi="Arial" w:cs="Arial"/>
          <w:color w:val="000000"/>
          <w:lang w:eastAsia="en-ZA"/>
        </w:rPr>
        <w:t>)</w:t>
      </w:r>
    </w:p>
    <w:p w14:paraId="0BFA449E" w14:textId="18D5CE44" w:rsidR="002762BE" w:rsidRPr="002A5631" w:rsidRDefault="002762BE" w:rsidP="00A6674F">
      <w:pPr>
        <w:spacing w:after="0" w:line="360" w:lineRule="auto"/>
        <w:contextualSpacing/>
        <w:jc w:val="both"/>
        <w:rPr>
          <w:rFonts w:ascii="Arial" w:eastAsia="Calibri" w:hAnsi="Arial" w:cs="Arial"/>
          <w:sz w:val="24"/>
          <w:szCs w:val="24"/>
        </w:rPr>
      </w:pPr>
    </w:p>
    <w:p w14:paraId="5D66659D" w14:textId="3AC05DE8" w:rsidR="006E4BDA" w:rsidRPr="002A5631" w:rsidRDefault="002762BE"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w:t>
      </w:r>
      <w:r w:rsidR="009E45B8" w:rsidRPr="002A5631">
        <w:rPr>
          <w:rFonts w:ascii="Arial" w:eastAsia="Calibri" w:hAnsi="Arial" w:cs="Arial"/>
          <w:sz w:val="24"/>
          <w:szCs w:val="24"/>
        </w:rPr>
        <w:t>31</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It is important to remember that </w:t>
      </w:r>
    </w:p>
    <w:p w14:paraId="48890251" w14:textId="7563E0F4" w:rsidR="002762BE" w:rsidRPr="002A5631" w:rsidRDefault="002762BE"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 xml:space="preserve">‘[a] referral to oral evidence or trial is not merely there for the taking. A case ought to be made out for such </w:t>
      </w:r>
      <w:r w:rsidR="007F0A79" w:rsidRPr="002A5631">
        <w:rPr>
          <w:rFonts w:ascii="Arial" w:eastAsia="Calibri" w:hAnsi="Arial" w:cs="Arial"/>
          <w:szCs w:val="24"/>
        </w:rPr>
        <w:t xml:space="preserve">a </w:t>
      </w:r>
      <w:r w:rsidRPr="002A5631">
        <w:rPr>
          <w:rFonts w:ascii="Arial" w:eastAsia="Calibri" w:hAnsi="Arial" w:cs="Arial"/>
          <w:szCs w:val="24"/>
        </w:rPr>
        <w:t>referral and satisfactory explanation provided as to why the applicant did not institute action instead of motion proceedings and whether the applicant did not foresee the possibility of dispute of fact not capable of resolution on paper.</w:t>
      </w:r>
      <w:r w:rsidR="007F0A79" w:rsidRPr="002A5631">
        <w:rPr>
          <w:rFonts w:ascii="Arial" w:eastAsia="Calibri" w:hAnsi="Arial" w:cs="Arial"/>
          <w:szCs w:val="24"/>
        </w:rPr>
        <w:t>’</w:t>
      </w:r>
      <w:r w:rsidRPr="002A5631">
        <w:rPr>
          <w:rStyle w:val="FootnoteReference"/>
          <w:rFonts w:ascii="Arial" w:eastAsia="Calibri" w:hAnsi="Arial" w:cs="Arial"/>
          <w:szCs w:val="24"/>
        </w:rPr>
        <w:footnoteReference w:id="3"/>
      </w:r>
    </w:p>
    <w:p w14:paraId="6C351AA9" w14:textId="77777777" w:rsidR="00DC7F68" w:rsidRPr="002A5631" w:rsidRDefault="00DC7F68" w:rsidP="00A6674F">
      <w:pPr>
        <w:spacing w:after="0" w:line="360" w:lineRule="auto"/>
        <w:contextualSpacing/>
        <w:jc w:val="both"/>
        <w:rPr>
          <w:rFonts w:ascii="Arial" w:eastAsia="Calibri" w:hAnsi="Arial" w:cs="Arial"/>
          <w:sz w:val="24"/>
          <w:szCs w:val="24"/>
        </w:rPr>
      </w:pPr>
    </w:p>
    <w:p w14:paraId="33A5059D" w14:textId="13B9E05D" w:rsidR="00DC7F68" w:rsidRPr="002A5631" w:rsidRDefault="00DC7F68"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2</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The following was</w:t>
      </w:r>
      <w:r w:rsidR="002D3C89">
        <w:rPr>
          <w:rFonts w:ascii="Arial" w:eastAsia="Calibri" w:hAnsi="Arial" w:cs="Arial"/>
          <w:sz w:val="24"/>
          <w:szCs w:val="24"/>
        </w:rPr>
        <w:t xml:space="preserve"> further</w:t>
      </w:r>
      <w:r w:rsidRPr="002A5631">
        <w:rPr>
          <w:rFonts w:ascii="Arial" w:eastAsia="Calibri" w:hAnsi="Arial" w:cs="Arial"/>
          <w:sz w:val="24"/>
          <w:szCs w:val="24"/>
        </w:rPr>
        <w:t xml:space="preserve"> held in </w:t>
      </w:r>
      <w:proofErr w:type="spellStart"/>
      <w:r w:rsidRPr="002A5631">
        <w:rPr>
          <w:rFonts w:ascii="Arial" w:eastAsia="Calibri" w:hAnsi="Arial" w:cs="Arial"/>
          <w:i/>
          <w:iCs/>
          <w:sz w:val="24"/>
          <w:szCs w:val="24"/>
        </w:rPr>
        <w:t>IClear</w:t>
      </w:r>
      <w:proofErr w:type="spellEnd"/>
      <w:r w:rsidRPr="002A5631">
        <w:rPr>
          <w:rFonts w:ascii="Arial" w:eastAsia="Calibri" w:hAnsi="Arial" w:cs="Arial"/>
          <w:i/>
          <w:iCs/>
          <w:sz w:val="24"/>
          <w:szCs w:val="24"/>
        </w:rPr>
        <w:t xml:space="preserve"> Payments (Pty) Ltd v Honeywell</w:t>
      </w:r>
      <w:r w:rsidR="007F0A79" w:rsidRPr="002A5631">
        <w:rPr>
          <w:rFonts w:ascii="Arial" w:eastAsia="Calibri" w:hAnsi="Arial" w:cs="Arial"/>
          <w:iCs/>
          <w:sz w:val="24"/>
          <w:szCs w:val="24"/>
        </w:rPr>
        <w:t>:</w:t>
      </w:r>
      <w:r w:rsidRPr="002A5631">
        <w:rPr>
          <w:rStyle w:val="FootnoteReference"/>
          <w:rFonts w:ascii="Arial" w:eastAsia="Calibri" w:hAnsi="Arial" w:cs="Arial"/>
          <w:iCs/>
          <w:sz w:val="24"/>
          <w:szCs w:val="24"/>
        </w:rPr>
        <w:footnoteReference w:id="4"/>
      </w:r>
    </w:p>
    <w:p w14:paraId="3491C9D7" w14:textId="5CE0FCAA" w:rsidR="00DC7F68" w:rsidRPr="002A5631" w:rsidRDefault="00DC7F68"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‘In my view, to simply allow a litigant to resort to a referral to oral evidence</w:t>
      </w:r>
      <w:r w:rsidR="00E66F42" w:rsidRPr="002A5631">
        <w:rPr>
          <w:rFonts w:ascii="Arial" w:eastAsia="Calibri" w:hAnsi="Arial" w:cs="Arial"/>
          <w:szCs w:val="24"/>
        </w:rPr>
        <w:t xml:space="preserve"> when the shoe pinches in motion proceedings, would be to condone irregular procedure. The applicant elected to proceed by way of motion proceedings when it ought to have been clear to it and </w:t>
      </w:r>
      <w:r w:rsidR="00E66F42" w:rsidRPr="002A5631">
        <w:rPr>
          <w:rFonts w:ascii="Arial" w:eastAsia="Calibri" w:hAnsi="Arial" w:cs="Arial"/>
          <w:szCs w:val="24"/>
        </w:rPr>
        <w:lastRenderedPageBreak/>
        <w:t>its legal representatives that a dispute of fact was bound to emerge, which a court would not be able to decide on the papers.</w:t>
      </w:r>
      <w:r w:rsidR="007F0A79" w:rsidRPr="002A5631">
        <w:rPr>
          <w:rFonts w:ascii="Arial" w:eastAsia="Calibri" w:hAnsi="Arial" w:cs="Arial"/>
          <w:szCs w:val="24"/>
        </w:rPr>
        <w:t>’</w:t>
      </w:r>
    </w:p>
    <w:p w14:paraId="26BA1E48" w14:textId="77777777" w:rsidR="00E66F42" w:rsidRPr="002A5631" w:rsidRDefault="00E66F42" w:rsidP="00A6674F">
      <w:pPr>
        <w:spacing w:after="0" w:line="360" w:lineRule="auto"/>
        <w:contextualSpacing/>
        <w:jc w:val="both"/>
        <w:rPr>
          <w:rFonts w:ascii="Arial" w:eastAsia="Calibri" w:hAnsi="Arial" w:cs="Arial"/>
          <w:sz w:val="24"/>
          <w:szCs w:val="24"/>
        </w:rPr>
      </w:pPr>
    </w:p>
    <w:p w14:paraId="25CD1E1F" w14:textId="6F742E43" w:rsidR="00E66F42" w:rsidRPr="002A5631" w:rsidRDefault="00E66F42"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3</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In </w:t>
      </w:r>
      <w:proofErr w:type="spellStart"/>
      <w:r w:rsidRPr="002A5631">
        <w:rPr>
          <w:rFonts w:ascii="Arial" w:eastAsia="Calibri" w:hAnsi="Arial" w:cs="Arial"/>
          <w:i/>
          <w:iCs/>
          <w:sz w:val="24"/>
          <w:szCs w:val="24"/>
        </w:rPr>
        <w:t>Kalil</w:t>
      </w:r>
      <w:proofErr w:type="spellEnd"/>
      <w:r w:rsidRPr="002A5631">
        <w:rPr>
          <w:rFonts w:ascii="Arial" w:eastAsia="Calibri" w:hAnsi="Arial" w:cs="Arial"/>
          <w:i/>
          <w:iCs/>
          <w:sz w:val="24"/>
          <w:szCs w:val="24"/>
        </w:rPr>
        <w:t xml:space="preserve"> v </w:t>
      </w:r>
      <w:proofErr w:type="spellStart"/>
      <w:r w:rsidRPr="002A5631">
        <w:rPr>
          <w:rFonts w:ascii="Arial" w:eastAsia="Calibri" w:hAnsi="Arial" w:cs="Arial"/>
          <w:i/>
          <w:iCs/>
          <w:sz w:val="24"/>
          <w:szCs w:val="24"/>
        </w:rPr>
        <w:t>Decotex</w:t>
      </w:r>
      <w:proofErr w:type="spellEnd"/>
      <w:r w:rsidRPr="002A5631">
        <w:rPr>
          <w:rFonts w:ascii="Arial" w:eastAsia="Calibri" w:hAnsi="Arial" w:cs="Arial"/>
          <w:i/>
          <w:iCs/>
          <w:sz w:val="24"/>
          <w:szCs w:val="24"/>
        </w:rPr>
        <w:t xml:space="preserve"> (Pty) Ltd and another</w:t>
      </w:r>
      <w:r w:rsidRPr="00A2581C">
        <w:rPr>
          <w:rStyle w:val="FootnoteReference"/>
          <w:rFonts w:ascii="Arial" w:eastAsia="Calibri" w:hAnsi="Arial" w:cs="Arial"/>
          <w:iCs/>
          <w:sz w:val="24"/>
          <w:szCs w:val="24"/>
        </w:rPr>
        <w:footnoteReference w:id="5"/>
      </w:r>
      <w:r w:rsidRPr="002A5631">
        <w:rPr>
          <w:rFonts w:ascii="Arial" w:eastAsia="Calibri" w:hAnsi="Arial" w:cs="Arial"/>
          <w:sz w:val="24"/>
          <w:szCs w:val="24"/>
        </w:rPr>
        <w:t xml:space="preserve"> the court said the following with reference to the discretion to allow oral evidence in the case of an application for a provisional</w:t>
      </w:r>
      <w:r w:rsidR="000117B0">
        <w:rPr>
          <w:rFonts w:ascii="Arial" w:eastAsia="Calibri" w:hAnsi="Arial" w:cs="Arial"/>
          <w:sz w:val="24"/>
          <w:szCs w:val="24"/>
        </w:rPr>
        <w:t xml:space="preserve"> winding-up</w:t>
      </w:r>
      <w:r w:rsidRPr="002A5631">
        <w:rPr>
          <w:rFonts w:ascii="Arial" w:eastAsia="Calibri" w:hAnsi="Arial" w:cs="Arial"/>
          <w:sz w:val="24"/>
          <w:szCs w:val="24"/>
        </w:rPr>
        <w:t xml:space="preserve"> order</w:t>
      </w:r>
      <w:r w:rsidR="006E4A3B" w:rsidRPr="002A5631">
        <w:rPr>
          <w:rFonts w:ascii="Arial" w:eastAsia="Calibri" w:hAnsi="Arial" w:cs="Arial"/>
          <w:sz w:val="24"/>
          <w:szCs w:val="24"/>
        </w:rPr>
        <w:t>:</w:t>
      </w:r>
    </w:p>
    <w:p w14:paraId="69C2E1D9" w14:textId="571FBC32" w:rsidR="006E4A3B" w:rsidRPr="002A5631" w:rsidRDefault="006E4A3B"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w:t>
      </w:r>
      <w:r w:rsidR="00E5778F" w:rsidRPr="002A5631">
        <w:rPr>
          <w:rFonts w:ascii="Arial" w:eastAsia="Calibri" w:hAnsi="Arial" w:cs="Arial"/>
          <w:szCs w:val="24"/>
        </w:rPr>
        <w:t>Naturally, in exercising this discretion the Court should be guided to a large extent by the prospects of </w:t>
      </w:r>
      <w:r w:rsidR="00E5778F" w:rsidRPr="002A5631">
        <w:rPr>
          <w:rFonts w:ascii="Arial" w:eastAsia="Calibri" w:hAnsi="Arial" w:cs="Arial"/>
          <w:i/>
          <w:iCs/>
          <w:szCs w:val="24"/>
        </w:rPr>
        <w:t>viva voce</w:t>
      </w:r>
      <w:r w:rsidR="00E5778F" w:rsidRPr="002A5631">
        <w:rPr>
          <w:rFonts w:ascii="Arial" w:eastAsia="Calibri" w:hAnsi="Arial" w:cs="Arial"/>
          <w:szCs w:val="24"/>
        </w:rPr>
        <w:t> evidence tipping the balance in favour of the applicant. Thus, if on the affidavits the probabilities are evenly balanced, the Court would be more inclined to allow the hearing of oral evidence than if the balance were against the applicant. And the more the scales are depressed against the applicant the less likely the Court would be to exercise the discretion in his favour. Indeed, I think that only in rare cases would the Court order the hearing of oral evidence where the preponderance of probabilities on the affidavits favoured the respondent</w:t>
      </w:r>
      <w:r w:rsidRPr="002A5631">
        <w:rPr>
          <w:rFonts w:ascii="Arial" w:eastAsia="Calibri" w:hAnsi="Arial" w:cs="Arial"/>
          <w:szCs w:val="24"/>
        </w:rPr>
        <w:t>.</w:t>
      </w:r>
      <w:r w:rsidR="00E5778F" w:rsidRPr="002A5631">
        <w:rPr>
          <w:rFonts w:ascii="Arial" w:eastAsia="Calibri" w:hAnsi="Arial" w:cs="Arial"/>
          <w:szCs w:val="24"/>
        </w:rPr>
        <w:t>’</w:t>
      </w:r>
      <w:r w:rsidR="00E5778F" w:rsidRPr="002A5631">
        <w:rPr>
          <w:rStyle w:val="FootnoteReference"/>
          <w:rFonts w:ascii="Arial" w:eastAsia="Calibri" w:hAnsi="Arial" w:cs="Arial"/>
          <w:szCs w:val="24"/>
        </w:rPr>
        <w:footnoteReference w:id="6"/>
      </w:r>
    </w:p>
    <w:p w14:paraId="03C0389A" w14:textId="77777777" w:rsidR="006E4A3B" w:rsidRPr="002A5631" w:rsidRDefault="006E4A3B" w:rsidP="00A6674F">
      <w:pPr>
        <w:spacing w:after="0" w:line="360" w:lineRule="auto"/>
        <w:contextualSpacing/>
        <w:jc w:val="both"/>
        <w:rPr>
          <w:rFonts w:ascii="Arial" w:eastAsia="Calibri" w:hAnsi="Arial" w:cs="Arial"/>
          <w:sz w:val="24"/>
          <w:szCs w:val="24"/>
        </w:rPr>
      </w:pPr>
    </w:p>
    <w:p w14:paraId="43762B62" w14:textId="1D2ACD78" w:rsidR="006E4A3B" w:rsidRPr="002A5631" w:rsidRDefault="006E4A3B"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4</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In my view,</w:t>
      </w:r>
      <w:r w:rsidR="00905DEE">
        <w:rPr>
          <w:rFonts w:ascii="Arial" w:eastAsia="Calibri" w:hAnsi="Arial" w:cs="Arial"/>
          <w:sz w:val="24"/>
          <w:szCs w:val="24"/>
        </w:rPr>
        <w:t xml:space="preserve"> there is nothing far-fetched about the first respondent’s version but</w:t>
      </w:r>
      <w:r w:rsidR="004E2027" w:rsidRPr="002A5631">
        <w:rPr>
          <w:rFonts w:ascii="Arial" w:eastAsia="Calibri" w:hAnsi="Arial" w:cs="Arial"/>
          <w:sz w:val="24"/>
          <w:szCs w:val="24"/>
        </w:rPr>
        <w:t xml:space="preserve"> </w:t>
      </w:r>
      <w:r w:rsidRPr="002A5631">
        <w:rPr>
          <w:rFonts w:ascii="Arial" w:eastAsia="Calibri" w:hAnsi="Arial" w:cs="Arial"/>
          <w:sz w:val="24"/>
          <w:szCs w:val="24"/>
        </w:rPr>
        <w:t>the applicant</w:t>
      </w:r>
      <w:r w:rsidR="00C10DE1" w:rsidRPr="002A5631">
        <w:rPr>
          <w:rFonts w:ascii="Arial" w:eastAsia="Calibri" w:hAnsi="Arial" w:cs="Arial"/>
          <w:sz w:val="24"/>
          <w:szCs w:val="24"/>
        </w:rPr>
        <w:t xml:space="preserve">’s prospects of success </w:t>
      </w:r>
      <w:proofErr w:type="gramStart"/>
      <w:r w:rsidR="00C10DE1" w:rsidRPr="002A5631">
        <w:rPr>
          <w:rFonts w:ascii="Arial" w:eastAsia="Calibri" w:hAnsi="Arial" w:cs="Arial"/>
          <w:sz w:val="24"/>
          <w:szCs w:val="24"/>
        </w:rPr>
        <w:t>is</w:t>
      </w:r>
      <w:proofErr w:type="gramEnd"/>
      <w:r w:rsidR="00905DEE">
        <w:rPr>
          <w:rFonts w:ascii="Arial" w:eastAsia="Calibri" w:hAnsi="Arial" w:cs="Arial"/>
          <w:sz w:val="24"/>
          <w:szCs w:val="24"/>
        </w:rPr>
        <w:t xml:space="preserve"> perhaps</w:t>
      </w:r>
      <w:r w:rsidR="004E2027" w:rsidRPr="002A5631">
        <w:rPr>
          <w:rFonts w:ascii="Arial" w:eastAsia="Calibri" w:hAnsi="Arial" w:cs="Arial"/>
          <w:sz w:val="24"/>
          <w:szCs w:val="24"/>
        </w:rPr>
        <w:t xml:space="preserve"> </w:t>
      </w:r>
      <w:r w:rsidR="00C10DE1" w:rsidRPr="002A5631">
        <w:rPr>
          <w:rFonts w:ascii="Arial" w:eastAsia="Calibri" w:hAnsi="Arial" w:cs="Arial"/>
          <w:sz w:val="24"/>
          <w:szCs w:val="24"/>
        </w:rPr>
        <w:t xml:space="preserve">a </w:t>
      </w:r>
      <w:r w:rsidR="00905DEE">
        <w:rPr>
          <w:rFonts w:ascii="Arial" w:eastAsia="Calibri" w:hAnsi="Arial" w:cs="Arial"/>
          <w:sz w:val="24"/>
          <w:szCs w:val="24"/>
        </w:rPr>
        <w:t>more important</w:t>
      </w:r>
      <w:r w:rsidR="00C10DE1" w:rsidRPr="002A5631">
        <w:rPr>
          <w:rFonts w:ascii="Arial" w:eastAsia="Calibri" w:hAnsi="Arial" w:cs="Arial"/>
          <w:sz w:val="24"/>
          <w:szCs w:val="24"/>
        </w:rPr>
        <w:t xml:space="preserve"> issue to be considered when deciding on the application for a referral</w:t>
      </w:r>
      <w:r w:rsidR="00592FA7">
        <w:rPr>
          <w:rFonts w:ascii="Arial" w:eastAsia="Calibri" w:hAnsi="Arial" w:cs="Arial"/>
          <w:sz w:val="24"/>
          <w:szCs w:val="24"/>
        </w:rPr>
        <w:t xml:space="preserve"> to oral evidence</w:t>
      </w:r>
      <w:r w:rsidR="00C10DE1" w:rsidRPr="002A5631">
        <w:rPr>
          <w:rFonts w:ascii="Arial" w:eastAsia="Calibri" w:hAnsi="Arial" w:cs="Arial"/>
          <w:sz w:val="24"/>
          <w:szCs w:val="24"/>
        </w:rPr>
        <w:t>, in addition to the other issues mentioned above.</w:t>
      </w:r>
      <w:r w:rsidRPr="002A5631">
        <w:rPr>
          <w:rFonts w:ascii="Arial" w:eastAsia="Calibri" w:hAnsi="Arial" w:cs="Arial"/>
          <w:sz w:val="24"/>
          <w:szCs w:val="24"/>
        </w:rPr>
        <w:t xml:space="preserve"> </w:t>
      </w:r>
    </w:p>
    <w:p w14:paraId="63B598B0" w14:textId="633494EB" w:rsidR="00D066A5" w:rsidRPr="002A5631" w:rsidRDefault="00D066A5" w:rsidP="00A6674F">
      <w:pPr>
        <w:spacing w:after="0" w:line="360" w:lineRule="auto"/>
        <w:contextualSpacing/>
        <w:jc w:val="both"/>
        <w:rPr>
          <w:rFonts w:ascii="Arial" w:eastAsia="Calibri" w:hAnsi="Arial" w:cs="Arial"/>
          <w:sz w:val="24"/>
          <w:szCs w:val="24"/>
        </w:rPr>
      </w:pPr>
    </w:p>
    <w:p w14:paraId="0F4D7E37" w14:textId="7C16B21C" w:rsidR="00D066A5" w:rsidRPr="002A5631" w:rsidRDefault="00D066A5" w:rsidP="00A6674F">
      <w:pPr>
        <w:spacing w:after="0" w:line="360" w:lineRule="auto"/>
        <w:contextualSpacing/>
        <w:jc w:val="both"/>
        <w:rPr>
          <w:rFonts w:ascii="Arial" w:eastAsia="Calibri" w:hAnsi="Arial" w:cs="Arial"/>
          <w:sz w:val="24"/>
          <w:szCs w:val="24"/>
        </w:rPr>
      </w:pPr>
      <w:r w:rsidRPr="002A5631">
        <w:rPr>
          <w:rFonts w:ascii="Arial" w:eastAsia="Calibri" w:hAnsi="Arial" w:cs="Arial"/>
          <w:b/>
          <w:bCs/>
          <w:sz w:val="24"/>
          <w:szCs w:val="24"/>
        </w:rPr>
        <w:t xml:space="preserve">The validity of the agreement </w:t>
      </w:r>
    </w:p>
    <w:p w14:paraId="27A93F5A" w14:textId="7783ADBE" w:rsidR="0008113C" w:rsidRPr="002A5631" w:rsidRDefault="0008113C"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w:t>
      </w:r>
      <w:r w:rsidR="00C10DE1" w:rsidRPr="002A5631">
        <w:rPr>
          <w:rFonts w:ascii="Arial" w:eastAsia="Calibri" w:hAnsi="Arial" w:cs="Arial"/>
          <w:sz w:val="24"/>
          <w:szCs w:val="24"/>
        </w:rPr>
        <w:t>3</w:t>
      </w:r>
      <w:r w:rsidR="009E45B8" w:rsidRPr="002A5631">
        <w:rPr>
          <w:rFonts w:ascii="Arial" w:eastAsia="Calibri" w:hAnsi="Arial" w:cs="Arial"/>
          <w:sz w:val="24"/>
          <w:szCs w:val="24"/>
        </w:rPr>
        <w:t>5</w:t>
      </w:r>
      <w:r w:rsidR="00F84090"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The </w:t>
      </w:r>
      <w:r w:rsidR="00F54AA9" w:rsidRPr="002A5631">
        <w:rPr>
          <w:rFonts w:ascii="Arial" w:eastAsia="Calibri" w:hAnsi="Arial" w:cs="Arial"/>
          <w:sz w:val="24"/>
          <w:szCs w:val="24"/>
        </w:rPr>
        <w:t xml:space="preserve">applicant’s </w:t>
      </w:r>
      <w:r w:rsidRPr="002A5631">
        <w:rPr>
          <w:rFonts w:ascii="Arial" w:eastAsia="Calibri" w:hAnsi="Arial" w:cs="Arial"/>
          <w:sz w:val="24"/>
          <w:szCs w:val="24"/>
        </w:rPr>
        <w:t>coun</w:t>
      </w:r>
      <w:r w:rsidR="00F54AA9" w:rsidRPr="002A5631">
        <w:rPr>
          <w:rFonts w:ascii="Arial" w:eastAsia="Calibri" w:hAnsi="Arial" w:cs="Arial"/>
          <w:sz w:val="24"/>
          <w:szCs w:val="24"/>
        </w:rPr>
        <w:t xml:space="preserve">sel </w:t>
      </w:r>
      <w:r w:rsidRPr="002A5631">
        <w:rPr>
          <w:rFonts w:ascii="Arial" w:eastAsia="Calibri" w:hAnsi="Arial" w:cs="Arial"/>
          <w:sz w:val="24"/>
          <w:szCs w:val="24"/>
        </w:rPr>
        <w:t>agreed that the nature of the</w:t>
      </w:r>
      <w:r w:rsidR="00F54AA9" w:rsidRPr="002A5631">
        <w:rPr>
          <w:rFonts w:ascii="Arial" w:eastAsia="Calibri" w:hAnsi="Arial" w:cs="Arial"/>
          <w:sz w:val="24"/>
          <w:szCs w:val="24"/>
        </w:rPr>
        <w:t xml:space="preserve"> alleged agreement between the applicant and the respondent was </w:t>
      </w:r>
      <w:r w:rsidR="00911D1A" w:rsidRPr="002A5631">
        <w:rPr>
          <w:rFonts w:ascii="Arial" w:eastAsia="Calibri" w:hAnsi="Arial" w:cs="Arial"/>
          <w:sz w:val="24"/>
          <w:szCs w:val="24"/>
        </w:rPr>
        <w:t xml:space="preserve">in fact </w:t>
      </w:r>
      <w:r w:rsidR="00F54AA9" w:rsidRPr="002A5631">
        <w:rPr>
          <w:rFonts w:ascii="Arial" w:eastAsia="Calibri" w:hAnsi="Arial" w:cs="Arial"/>
          <w:sz w:val="24"/>
          <w:szCs w:val="24"/>
        </w:rPr>
        <w:t xml:space="preserve">an oral agreement to enter into a written agreement in five </w:t>
      </w:r>
      <w:r w:rsidR="009D3B2F" w:rsidRPr="002A5631">
        <w:rPr>
          <w:rFonts w:ascii="Arial" w:eastAsia="Calibri" w:hAnsi="Arial" w:cs="Arial"/>
          <w:sz w:val="24"/>
          <w:szCs w:val="24"/>
        </w:rPr>
        <w:t>years’ time</w:t>
      </w:r>
      <w:r w:rsidR="00F54AA9" w:rsidRPr="002A5631">
        <w:rPr>
          <w:rFonts w:ascii="Arial" w:eastAsia="Calibri" w:hAnsi="Arial" w:cs="Arial"/>
          <w:sz w:val="24"/>
          <w:szCs w:val="24"/>
        </w:rPr>
        <w:t>.</w:t>
      </w:r>
    </w:p>
    <w:p w14:paraId="2ED266FF" w14:textId="77777777" w:rsidR="00F30EB3" w:rsidRPr="002A5631" w:rsidRDefault="00F30EB3" w:rsidP="00A6674F">
      <w:pPr>
        <w:spacing w:after="0" w:line="360" w:lineRule="auto"/>
        <w:contextualSpacing/>
        <w:jc w:val="both"/>
        <w:rPr>
          <w:rFonts w:ascii="Arial" w:eastAsia="Calibri" w:hAnsi="Arial" w:cs="Arial"/>
          <w:sz w:val="24"/>
          <w:szCs w:val="24"/>
        </w:rPr>
      </w:pPr>
    </w:p>
    <w:p w14:paraId="398B8A01" w14:textId="3DC5D472" w:rsidR="00077D19" w:rsidRDefault="00F30EB3"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6</w:t>
      </w:r>
      <w:r w:rsidRPr="002A5631">
        <w:rPr>
          <w:rFonts w:ascii="Arial" w:eastAsia="Calibri" w:hAnsi="Arial" w:cs="Arial"/>
          <w:sz w:val="24"/>
          <w:szCs w:val="24"/>
        </w:rPr>
        <w:t>]</w:t>
      </w:r>
      <w:r w:rsidR="00F84090" w:rsidRPr="002A5631">
        <w:rPr>
          <w:rFonts w:ascii="Arial" w:eastAsia="Calibri" w:hAnsi="Arial" w:cs="Arial"/>
          <w:sz w:val="24"/>
          <w:szCs w:val="24"/>
        </w:rPr>
        <w:tab/>
      </w:r>
      <w:r w:rsidR="008F2D02" w:rsidRPr="002A5631">
        <w:rPr>
          <w:rFonts w:ascii="Arial" w:eastAsia="Calibri" w:hAnsi="Arial" w:cs="Arial"/>
          <w:sz w:val="24"/>
          <w:szCs w:val="24"/>
        </w:rPr>
        <w:t xml:space="preserve">An agreement to agree </w:t>
      </w:r>
      <w:r w:rsidR="00CE7F2E" w:rsidRPr="002A5631">
        <w:rPr>
          <w:rFonts w:ascii="Arial" w:eastAsia="Calibri" w:hAnsi="Arial" w:cs="Arial"/>
          <w:sz w:val="24"/>
          <w:szCs w:val="24"/>
        </w:rPr>
        <w:t xml:space="preserve">is generally </w:t>
      </w:r>
      <w:r w:rsidR="008F2D02" w:rsidRPr="002A5631">
        <w:rPr>
          <w:rFonts w:ascii="Arial" w:eastAsia="Calibri" w:hAnsi="Arial" w:cs="Arial"/>
          <w:sz w:val="24"/>
          <w:szCs w:val="24"/>
        </w:rPr>
        <w:t xml:space="preserve">not enforced in our law. In </w:t>
      </w:r>
      <w:r w:rsidR="00C10DE1" w:rsidRPr="002A5631">
        <w:rPr>
          <w:rFonts w:ascii="Arial" w:eastAsia="Calibri" w:hAnsi="Arial" w:cs="Arial"/>
          <w:i/>
          <w:iCs/>
          <w:sz w:val="24"/>
          <w:szCs w:val="24"/>
        </w:rPr>
        <w:t>Sheph</w:t>
      </w:r>
      <w:r w:rsidR="00DC62D8" w:rsidRPr="002A5631">
        <w:rPr>
          <w:rFonts w:ascii="Arial" w:eastAsia="Calibri" w:hAnsi="Arial" w:cs="Arial"/>
          <w:i/>
          <w:iCs/>
          <w:sz w:val="24"/>
          <w:szCs w:val="24"/>
        </w:rPr>
        <w:t>e</w:t>
      </w:r>
      <w:r w:rsidR="00C10DE1" w:rsidRPr="002A5631">
        <w:rPr>
          <w:rFonts w:ascii="Arial" w:eastAsia="Calibri" w:hAnsi="Arial" w:cs="Arial"/>
          <w:i/>
          <w:iCs/>
          <w:sz w:val="24"/>
          <w:szCs w:val="24"/>
        </w:rPr>
        <w:t>rd Real Estate Investments</w:t>
      </w:r>
      <w:r w:rsidR="008F2D02" w:rsidRPr="002A5631">
        <w:rPr>
          <w:rFonts w:ascii="Arial" w:eastAsia="Calibri" w:hAnsi="Arial" w:cs="Arial"/>
          <w:sz w:val="24"/>
          <w:szCs w:val="24"/>
        </w:rPr>
        <w:t xml:space="preserve"> </w:t>
      </w:r>
      <w:r w:rsidR="00C10DE1" w:rsidRPr="002A5631">
        <w:rPr>
          <w:rFonts w:ascii="Arial" w:eastAsia="Calibri" w:hAnsi="Arial" w:cs="Arial"/>
          <w:i/>
          <w:iCs/>
          <w:sz w:val="24"/>
          <w:szCs w:val="24"/>
        </w:rPr>
        <w:t>(Pty) Ltd v Roux Le Roux Motors CC</w:t>
      </w:r>
      <w:r w:rsidR="00C10DE1" w:rsidRPr="002A5631">
        <w:rPr>
          <w:rStyle w:val="FootnoteReference"/>
          <w:rFonts w:ascii="Arial" w:eastAsia="Calibri" w:hAnsi="Arial" w:cs="Arial"/>
          <w:iCs/>
          <w:sz w:val="24"/>
          <w:szCs w:val="24"/>
        </w:rPr>
        <w:footnoteReference w:id="7"/>
      </w:r>
      <w:r w:rsidR="004E2027" w:rsidRPr="002A5631">
        <w:rPr>
          <w:rFonts w:ascii="Arial" w:eastAsia="Calibri" w:hAnsi="Arial" w:cs="Arial"/>
          <w:sz w:val="24"/>
          <w:szCs w:val="24"/>
        </w:rPr>
        <w:t xml:space="preserve"> </w:t>
      </w:r>
      <w:r w:rsidR="004057E2" w:rsidRPr="002A5631">
        <w:rPr>
          <w:rFonts w:ascii="Arial" w:eastAsia="Calibri" w:hAnsi="Arial" w:cs="Arial"/>
          <w:sz w:val="24"/>
          <w:szCs w:val="24"/>
        </w:rPr>
        <w:t xml:space="preserve">the following was said: </w:t>
      </w:r>
    </w:p>
    <w:p w14:paraId="768CF8E7" w14:textId="6973F1FA" w:rsidR="00007AF1" w:rsidRPr="002A5631" w:rsidRDefault="00C10DE1"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 xml:space="preserve">‘Thus, </w:t>
      </w:r>
      <w:r w:rsidR="004057E2" w:rsidRPr="002A5631">
        <w:rPr>
          <w:rFonts w:ascii="Arial" w:eastAsia="Calibri" w:hAnsi="Arial" w:cs="Arial"/>
          <w:szCs w:val="24"/>
        </w:rPr>
        <w:t xml:space="preserve">although the position in relation to </w:t>
      </w:r>
      <w:r w:rsidRPr="002A5631">
        <w:rPr>
          <w:rFonts w:ascii="Arial" w:eastAsia="Calibri" w:hAnsi="Arial" w:cs="Arial"/>
          <w:szCs w:val="24"/>
        </w:rPr>
        <w:t>“</w:t>
      </w:r>
      <w:r w:rsidR="004057E2" w:rsidRPr="002A5631">
        <w:rPr>
          <w:rFonts w:ascii="Arial" w:eastAsia="Calibri" w:hAnsi="Arial" w:cs="Arial"/>
          <w:szCs w:val="24"/>
        </w:rPr>
        <w:t>agreements to negotiate in good faith</w:t>
      </w:r>
      <w:r w:rsidRPr="002A5631">
        <w:rPr>
          <w:rFonts w:ascii="Arial" w:eastAsia="Calibri" w:hAnsi="Arial" w:cs="Arial"/>
          <w:szCs w:val="24"/>
        </w:rPr>
        <w:t>”</w:t>
      </w:r>
      <w:r w:rsidR="00E76665" w:rsidRPr="002A5631">
        <w:rPr>
          <w:rFonts w:ascii="Arial" w:eastAsia="Calibri" w:hAnsi="Arial" w:cs="Arial"/>
          <w:szCs w:val="24"/>
        </w:rPr>
        <w:t xml:space="preserve"> rem</w:t>
      </w:r>
      <w:r w:rsidRPr="002A5631">
        <w:rPr>
          <w:rFonts w:ascii="Arial" w:eastAsia="Calibri" w:hAnsi="Arial" w:cs="Arial"/>
          <w:szCs w:val="24"/>
        </w:rPr>
        <w:t>ain</w:t>
      </w:r>
      <w:r w:rsidR="00E76665" w:rsidRPr="002A5631">
        <w:rPr>
          <w:rFonts w:ascii="Arial" w:eastAsia="Calibri" w:hAnsi="Arial" w:cs="Arial"/>
          <w:szCs w:val="24"/>
        </w:rPr>
        <w:t xml:space="preserve">s a complex one in Australia </w:t>
      </w:r>
      <w:r w:rsidR="0034257F" w:rsidRPr="002A5631">
        <w:rPr>
          <w:rFonts w:ascii="Arial" w:eastAsia="Calibri" w:hAnsi="Arial" w:cs="Arial"/>
          <w:szCs w:val="24"/>
        </w:rPr>
        <w:t>in</w:t>
      </w:r>
      <w:r w:rsidR="00E76665" w:rsidRPr="002A5631">
        <w:rPr>
          <w:rFonts w:ascii="Arial" w:eastAsia="Calibri" w:hAnsi="Arial" w:cs="Arial"/>
          <w:szCs w:val="24"/>
        </w:rPr>
        <w:t xml:space="preserve"> the light of </w:t>
      </w:r>
      <w:r w:rsidRPr="002A5631">
        <w:rPr>
          <w:rFonts w:ascii="Arial" w:eastAsia="Calibri" w:hAnsi="Arial" w:cs="Arial"/>
          <w:i/>
          <w:iCs/>
          <w:szCs w:val="24"/>
        </w:rPr>
        <w:t>Coal Cliff Collieries</w:t>
      </w:r>
      <w:r w:rsidRPr="002A5631">
        <w:rPr>
          <w:rFonts w:ascii="Arial" w:eastAsia="Calibri" w:hAnsi="Arial" w:cs="Arial"/>
          <w:szCs w:val="24"/>
        </w:rPr>
        <w:t>, courts</w:t>
      </w:r>
      <w:r w:rsidR="00E76665" w:rsidRPr="002A5631">
        <w:rPr>
          <w:rFonts w:ascii="Arial" w:eastAsia="Calibri" w:hAnsi="Arial" w:cs="Arial"/>
          <w:szCs w:val="24"/>
        </w:rPr>
        <w:t xml:space="preserve"> there, like other comparable </w:t>
      </w:r>
      <w:r w:rsidRPr="002A5631">
        <w:rPr>
          <w:rFonts w:ascii="Arial" w:eastAsia="Calibri" w:hAnsi="Arial" w:cs="Arial"/>
          <w:szCs w:val="24"/>
        </w:rPr>
        <w:t>jurisdictions</w:t>
      </w:r>
      <w:r w:rsidR="00E76665" w:rsidRPr="002A5631">
        <w:rPr>
          <w:rFonts w:ascii="Arial" w:eastAsia="Calibri" w:hAnsi="Arial" w:cs="Arial"/>
          <w:szCs w:val="24"/>
        </w:rPr>
        <w:t xml:space="preserve">, will not enforce </w:t>
      </w:r>
      <w:r w:rsidR="00007AF1" w:rsidRPr="002A5631">
        <w:rPr>
          <w:rFonts w:ascii="Arial" w:eastAsia="Calibri" w:hAnsi="Arial" w:cs="Arial"/>
          <w:szCs w:val="24"/>
        </w:rPr>
        <w:t>“</w:t>
      </w:r>
      <w:r w:rsidR="00E76665" w:rsidRPr="002A5631">
        <w:rPr>
          <w:rFonts w:ascii="Arial" w:eastAsia="Calibri" w:hAnsi="Arial" w:cs="Arial"/>
          <w:szCs w:val="24"/>
        </w:rPr>
        <w:t>an agreement to agree</w:t>
      </w:r>
      <w:r w:rsidR="00007AF1" w:rsidRPr="002A5631">
        <w:rPr>
          <w:rFonts w:ascii="Arial" w:eastAsia="Calibri" w:hAnsi="Arial" w:cs="Arial"/>
          <w:szCs w:val="24"/>
        </w:rPr>
        <w:t>”.</w:t>
      </w:r>
      <w:r w:rsidR="00E76665" w:rsidRPr="002A5631">
        <w:rPr>
          <w:rFonts w:ascii="Arial" w:eastAsia="Calibri" w:hAnsi="Arial" w:cs="Arial"/>
          <w:szCs w:val="24"/>
        </w:rPr>
        <w:t xml:space="preserve"> That a</w:t>
      </w:r>
      <w:r w:rsidR="00007AF1" w:rsidRPr="002A5631">
        <w:rPr>
          <w:rFonts w:ascii="Arial" w:eastAsia="Calibri" w:hAnsi="Arial" w:cs="Arial"/>
          <w:szCs w:val="24"/>
        </w:rPr>
        <w:t>ccords</w:t>
      </w:r>
      <w:r w:rsidR="00E76665" w:rsidRPr="002A5631">
        <w:rPr>
          <w:rFonts w:ascii="Arial" w:eastAsia="Calibri" w:hAnsi="Arial" w:cs="Arial"/>
          <w:szCs w:val="24"/>
        </w:rPr>
        <w:t xml:space="preserve"> as well </w:t>
      </w:r>
      <w:r w:rsidR="00007AF1" w:rsidRPr="002A5631">
        <w:rPr>
          <w:rFonts w:ascii="Arial" w:eastAsia="Calibri" w:hAnsi="Arial" w:cs="Arial"/>
          <w:szCs w:val="24"/>
        </w:rPr>
        <w:t xml:space="preserve">with </w:t>
      </w:r>
      <w:r w:rsidR="00E76665" w:rsidRPr="002A5631">
        <w:rPr>
          <w:rFonts w:ascii="Arial" w:eastAsia="Calibri" w:hAnsi="Arial" w:cs="Arial"/>
          <w:szCs w:val="24"/>
        </w:rPr>
        <w:t>the position in our law</w:t>
      </w:r>
      <w:r w:rsidR="00007AF1" w:rsidRPr="002A5631">
        <w:rPr>
          <w:rFonts w:ascii="Arial" w:eastAsia="Calibri" w:hAnsi="Arial" w:cs="Arial"/>
          <w:szCs w:val="24"/>
        </w:rPr>
        <w:t>.</w:t>
      </w:r>
      <w:r w:rsidR="0034257F" w:rsidRPr="002A5631">
        <w:rPr>
          <w:rFonts w:ascii="Arial" w:eastAsia="Calibri" w:hAnsi="Arial" w:cs="Arial"/>
          <w:szCs w:val="24"/>
        </w:rPr>
        <w:t>’</w:t>
      </w:r>
      <w:r w:rsidR="00007AF1" w:rsidRPr="002A5631">
        <w:rPr>
          <w:rFonts w:ascii="Arial" w:eastAsia="Calibri" w:hAnsi="Arial" w:cs="Arial"/>
          <w:szCs w:val="24"/>
        </w:rPr>
        <w:t xml:space="preserve"> (</w:t>
      </w:r>
      <w:r w:rsidR="0034257F" w:rsidRPr="002A5631">
        <w:rPr>
          <w:rFonts w:ascii="Arial" w:eastAsia="Calibri" w:hAnsi="Arial" w:cs="Arial"/>
          <w:szCs w:val="24"/>
        </w:rPr>
        <w:t xml:space="preserve">Footnote </w:t>
      </w:r>
      <w:r w:rsidR="00007AF1" w:rsidRPr="002A5631">
        <w:rPr>
          <w:rFonts w:ascii="Arial" w:eastAsia="Calibri" w:hAnsi="Arial" w:cs="Arial"/>
          <w:szCs w:val="24"/>
        </w:rPr>
        <w:t>omitted</w:t>
      </w:r>
      <w:r w:rsidR="0034257F" w:rsidRPr="002A5631">
        <w:rPr>
          <w:rFonts w:ascii="Arial" w:eastAsia="Calibri" w:hAnsi="Arial" w:cs="Arial"/>
          <w:szCs w:val="24"/>
        </w:rPr>
        <w:t>.</w:t>
      </w:r>
      <w:r w:rsidR="00007AF1" w:rsidRPr="002A5631">
        <w:rPr>
          <w:rFonts w:ascii="Arial" w:eastAsia="Calibri" w:hAnsi="Arial" w:cs="Arial"/>
          <w:szCs w:val="24"/>
        </w:rPr>
        <w:t>)</w:t>
      </w:r>
    </w:p>
    <w:p w14:paraId="6117B47E" w14:textId="2C477FC5" w:rsidR="00007AF1" w:rsidRPr="002A5631" w:rsidRDefault="00007AF1"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lastRenderedPageBreak/>
        <w:t xml:space="preserve">The court </w:t>
      </w:r>
      <w:r w:rsidR="0034257F" w:rsidRPr="002A5631">
        <w:rPr>
          <w:rFonts w:ascii="Arial" w:eastAsia="Calibri" w:hAnsi="Arial" w:cs="Arial"/>
          <w:sz w:val="24"/>
          <w:szCs w:val="24"/>
        </w:rPr>
        <w:t xml:space="preserve">continued </w:t>
      </w:r>
      <w:r w:rsidR="00E76665" w:rsidRPr="002A5631">
        <w:rPr>
          <w:rFonts w:ascii="Arial" w:eastAsia="Calibri" w:hAnsi="Arial" w:cs="Arial"/>
          <w:sz w:val="24"/>
          <w:szCs w:val="24"/>
        </w:rPr>
        <w:t>as follows:</w:t>
      </w:r>
    </w:p>
    <w:p w14:paraId="3FA0CD21" w14:textId="4DFD706C" w:rsidR="00F30EB3" w:rsidRPr="002A5631" w:rsidRDefault="00007AF1"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‘The</w:t>
      </w:r>
      <w:r w:rsidR="00E76665" w:rsidRPr="002A5631">
        <w:rPr>
          <w:rFonts w:ascii="Arial" w:eastAsia="Calibri" w:hAnsi="Arial" w:cs="Arial"/>
          <w:szCs w:val="24"/>
        </w:rPr>
        <w:t xml:space="preserve"> proper approach</w:t>
      </w:r>
      <w:r w:rsidR="00F5580D" w:rsidRPr="002A5631">
        <w:rPr>
          <w:rFonts w:ascii="Arial" w:eastAsia="Calibri" w:hAnsi="Arial" w:cs="Arial"/>
          <w:szCs w:val="24"/>
        </w:rPr>
        <w:t xml:space="preserve"> in an </w:t>
      </w:r>
      <w:r w:rsidR="0095371E" w:rsidRPr="002A5631">
        <w:rPr>
          <w:rFonts w:ascii="Arial" w:eastAsia="Calibri" w:hAnsi="Arial" w:cs="Arial"/>
          <w:szCs w:val="24"/>
        </w:rPr>
        <w:t>e</w:t>
      </w:r>
      <w:r w:rsidR="00F5580D" w:rsidRPr="002A5631">
        <w:rPr>
          <w:rFonts w:ascii="Arial" w:eastAsia="Calibri" w:hAnsi="Arial" w:cs="Arial"/>
          <w:szCs w:val="24"/>
        </w:rPr>
        <w:t xml:space="preserve">nquiry such as the present depends upon the construction of the </w:t>
      </w:r>
      <w:r w:rsidRPr="002A5631">
        <w:rPr>
          <w:rFonts w:ascii="Arial" w:eastAsia="Calibri" w:hAnsi="Arial" w:cs="Arial"/>
          <w:szCs w:val="24"/>
        </w:rPr>
        <w:t>particular agreement</w:t>
      </w:r>
      <w:r w:rsidR="00F5580D" w:rsidRPr="002A5631">
        <w:rPr>
          <w:rFonts w:ascii="Arial" w:eastAsia="Calibri" w:hAnsi="Arial" w:cs="Arial"/>
          <w:szCs w:val="24"/>
        </w:rPr>
        <w:t>. Accordingly</w:t>
      </w:r>
      <w:r w:rsidRPr="002A5631">
        <w:rPr>
          <w:rFonts w:ascii="Arial" w:eastAsia="Calibri" w:hAnsi="Arial" w:cs="Arial"/>
          <w:szCs w:val="24"/>
        </w:rPr>
        <w:t>,</w:t>
      </w:r>
      <w:r w:rsidR="00F5580D" w:rsidRPr="002A5631">
        <w:rPr>
          <w:rFonts w:ascii="Arial" w:eastAsia="Calibri" w:hAnsi="Arial" w:cs="Arial"/>
          <w:szCs w:val="24"/>
        </w:rPr>
        <w:t xml:space="preserve"> it becomes necessary to </w:t>
      </w:r>
      <w:r w:rsidRPr="002A5631">
        <w:rPr>
          <w:rFonts w:ascii="Arial" w:eastAsia="Calibri" w:hAnsi="Arial" w:cs="Arial"/>
          <w:szCs w:val="24"/>
        </w:rPr>
        <w:t>analyse</w:t>
      </w:r>
      <w:r w:rsidR="00F5580D" w:rsidRPr="002A5631">
        <w:rPr>
          <w:rFonts w:ascii="Arial" w:eastAsia="Calibri" w:hAnsi="Arial" w:cs="Arial"/>
          <w:szCs w:val="24"/>
        </w:rPr>
        <w:t xml:space="preserve"> the relevant paragraph to decide whether its proper characteri</w:t>
      </w:r>
      <w:r w:rsidRPr="002A5631">
        <w:rPr>
          <w:rFonts w:ascii="Arial" w:eastAsia="Calibri" w:hAnsi="Arial" w:cs="Arial"/>
          <w:szCs w:val="24"/>
        </w:rPr>
        <w:t>s</w:t>
      </w:r>
      <w:r w:rsidR="00F5580D" w:rsidRPr="002A5631">
        <w:rPr>
          <w:rFonts w:ascii="Arial" w:eastAsia="Calibri" w:hAnsi="Arial" w:cs="Arial"/>
          <w:szCs w:val="24"/>
        </w:rPr>
        <w:t>ation is merely an agreement to agree</w:t>
      </w:r>
      <w:r w:rsidRPr="002A5631">
        <w:rPr>
          <w:rFonts w:ascii="Arial" w:eastAsia="Calibri" w:hAnsi="Arial" w:cs="Arial"/>
          <w:szCs w:val="24"/>
        </w:rPr>
        <w:t xml:space="preserve"> or</w:t>
      </w:r>
      <w:r w:rsidR="00F5580D" w:rsidRPr="002A5631">
        <w:rPr>
          <w:rFonts w:ascii="Arial" w:eastAsia="Calibri" w:hAnsi="Arial" w:cs="Arial"/>
          <w:szCs w:val="24"/>
        </w:rPr>
        <w:t xml:space="preserve"> whether it contained legally enforceable obligations</w:t>
      </w:r>
      <w:r w:rsidRPr="002A5631">
        <w:rPr>
          <w:rFonts w:ascii="Arial" w:eastAsia="Calibri" w:hAnsi="Arial" w:cs="Arial"/>
          <w:szCs w:val="24"/>
        </w:rPr>
        <w:t>.</w:t>
      </w:r>
      <w:r w:rsidR="0095371E" w:rsidRPr="002A5631">
        <w:rPr>
          <w:rFonts w:ascii="Arial" w:eastAsia="Calibri" w:hAnsi="Arial" w:cs="Arial"/>
          <w:szCs w:val="24"/>
        </w:rPr>
        <w:t>’</w:t>
      </w:r>
      <w:r w:rsidR="0095371E" w:rsidRPr="002A5631">
        <w:rPr>
          <w:rStyle w:val="FootnoteReference"/>
          <w:rFonts w:ascii="Arial" w:eastAsia="Calibri" w:hAnsi="Arial" w:cs="Arial"/>
          <w:szCs w:val="24"/>
        </w:rPr>
        <w:footnoteReference w:id="8"/>
      </w:r>
    </w:p>
    <w:p w14:paraId="6CC36CC2" w14:textId="77777777" w:rsidR="00007AF1" w:rsidRPr="002A5631" w:rsidRDefault="00007AF1" w:rsidP="00A6674F">
      <w:pPr>
        <w:spacing w:after="0" w:line="360" w:lineRule="auto"/>
        <w:contextualSpacing/>
        <w:jc w:val="both"/>
        <w:rPr>
          <w:rFonts w:ascii="Arial" w:eastAsia="Calibri" w:hAnsi="Arial" w:cs="Arial"/>
          <w:sz w:val="24"/>
          <w:szCs w:val="24"/>
        </w:rPr>
      </w:pPr>
    </w:p>
    <w:p w14:paraId="77306793" w14:textId="0ECEC07F" w:rsidR="00007AF1" w:rsidRPr="002A5631" w:rsidRDefault="00007AF1"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7</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In </w:t>
      </w:r>
      <w:r w:rsidRPr="002A5631">
        <w:rPr>
          <w:rFonts w:ascii="Arial" w:eastAsia="Calibri" w:hAnsi="Arial" w:cs="Arial"/>
          <w:i/>
          <w:iCs/>
          <w:sz w:val="24"/>
          <w:szCs w:val="24"/>
        </w:rPr>
        <w:t xml:space="preserve">Bon Com (Pty) Ltd and </w:t>
      </w:r>
      <w:r w:rsidR="001A1CE1" w:rsidRPr="002A5631">
        <w:rPr>
          <w:rFonts w:ascii="Arial" w:eastAsia="Calibri" w:hAnsi="Arial" w:cs="Arial"/>
          <w:i/>
          <w:iCs/>
          <w:sz w:val="24"/>
          <w:szCs w:val="24"/>
        </w:rPr>
        <w:t xml:space="preserve">another </w:t>
      </w:r>
      <w:r w:rsidRPr="002A5631">
        <w:rPr>
          <w:rFonts w:ascii="Arial" w:eastAsia="Calibri" w:hAnsi="Arial" w:cs="Arial"/>
          <w:i/>
          <w:iCs/>
          <w:sz w:val="24"/>
          <w:szCs w:val="24"/>
        </w:rPr>
        <w:t xml:space="preserve">v Services Sector </w:t>
      </w:r>
      <w:r w:rsidR="001A1CE1" w:rsidRPr="002A5631">
        <w:rPr>
          <w:rFonts w:ascii="Arial" w:eastAsia="Calibri" w:hAnsi="Arial" w:cs="Arial"/>
          <w:i/>
          <w:iCs/>
          <w:sz w:val="24"/>
          <w:szCs w:val="24"/>
        </w:rPr>
        <w:t xml:space="preserve">for </w:t>
      </w:r>
      <w:r w:rsidRPr="002A5631">
        <w:rPr>
          <w:rFonts w:ascii="Arial" w:eastAsia="Calibri" w:hAnsi="Arial" w:cs="Arial"/>
          <w:i/>
          <w:iCs/>
          <w:sz w:val="24"/>
          <w:szCs w:val="24"/>
        </w:rPr>
        <w:t xml:space="preserve">Education Training </w:t>
      </w:r>
      <w:r w:rsidR="001A1CE1" w:rsidRPr="002A5631">
        <w:rPr>
          <w:rFonts w:ascii="Arial" w:eastAsia="Calibri" w:hAnsi="Arial" w:cs="Arial"/>
          <w:i/>
          <w:iCs/>
          <w:sz w:val="24"/>
          <w:szCs w:val="24"/>
        </w:rPr>
        <w:t xml:space="preserve">and </w:t>
      </w:r>
      <w:r w:rsidRPr="002A5631">
        <w:rPr>
          <w:rFonts w:ascii="Arial" w:eastAsia="Calibri" w:hAnsi="Arial" w:cs="Arial"/>
          <w:i/>
          <w:iCs/>
          <w:sz w:val="24"/>
          <w:szCs w:val="24"/>
        </w:rPr>
        <w:t xml:space="preserve">Authority and </w:t>
      </w:r>
      <w:r w:rsidR="001A1CE1" w:rsidRPr="002A5631">
        <w:rPr>
          <w:rFonts w:ascii="Arial" w:eastAsia="Calibri" w:hAnsi="Arial" w:cs="Arial"/>
          <w:i/>
          <w:iCs/>
          <w:sz w:val="24"/>
          <w:szCs w:val="24"/>
        </w:rPr>
        <w:t>others</w:t>
      </w:r>
      <w:r w:rsidRPr="002A5631">
        <w:rPr>
          <w:rStyle w:val="FootnoteReference"/>
          <w:rFonts w:ascii="Arial" w:eastAsia="Calibri" w:hAnsi="Arial" w:cs="Arial"/>
          <w:iCs/>
          <w:sz w:val="24"/>
          <w:szCs w:val="24"/>
        </w:rPr>
        <w:footnoteReference w:id="9"/>
      </w:r>
      <w:r w:rsidRPr="002A5631">
        <w:rPr>
          <w:rFonts w:ascii="Arial" w:eastAsia="Calibri" w:hAnsi="Arial" w:cs="Arial"/>
          <w:i/>
          <w:iCs/>
          <w:sz w:val="24"/>
          <w:szCs w:val="24"/>
        </w:rPr>
        <w:t xml:space="preserve"> </w:t>
      </w:r>
      <w:r w:rsidR="00717D86" w:rsidRPr="002A5631">
        <w:rPr>
          <w:rFonts w:ascii="Arial" w:eastAsia="Calibri" w:hAnsi="Arial" w:cs="Arial"/>
          <w:sz w:val="24"/>
          <w:szCs w:val="24"/>
        </w:rPr>
        <w:t>the following was held:</w:t>
      </w:r>
    </w:p>
    <w:p w14:paraId="7A979E76" w14:textId="2CBB72C6" w:rsidR="00717D86" w:rsidRPr="002A5631" w:rsidRDefault="00717D86"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t>‘Each of the initial agreements represents nothing more than</w:t>
      </w:r>
      <w:r w:rsidR="004E2027" w:rsidRPr="002A5631">
        <w:rPr>
          <w:rFonts w:ascii="Arial" w:eastAsia="Calibri" w:hAnsi="Arial" w:cs="Arial"/>
          <w:szCs w:val="24"/>
        </w:rPr>
        <w:t xml:space="preserve"> </w:t>
      </w:r>
      <w:r w:rsidRPr="002A5631">
        <w:rPr>
          <w:rFonts w:ascii="Arial" w:eastAsia="Calibri" w:hAnsi="Arial" w:cs="Arial"/>
          <w:szCs w:val="24"/>
        </w:rPr>
        <w:t>“an agreement to agree”. An agreement of that kind is not binding under South African law and in the</w:t>
      </w:r>
      <w:r w:rsidR="004E2027" w:rsidRPr="002A5631">
        <w:rPr>
          <w:rFonts w:ascii="Arial" w:eastAsia="Calibri" w:hAnsi="Arial" w:cs="Arial"/>
          <w:szCs w:val="24"/>
        </w:rPr>
        <w:t xml:space="preserve"> </w:t>
      </w:r>
      <w:r w:rsidRPr="002A5631">
        <w:rPr>
          <w:rFonts w:ascii="Arial" w:eastAsia="Calibri" w:hAnsi="Arial" w:cs="Arial"/>
          <w:szCs w:val="24"/>
        </w:rPr>
        <w:t xml:space="preserve">circumstances the First Plaintiff’s conduct in not concluding the subsequent agreements cannot, with respect, be said to be wrongful (as to the enforceability of an agreement to agree see </w:t>
      </w:r>
      <w:r w:rsidRPr="002A5631">
        <w:rPr>
          <w:rFonts w:ascii="Arial" w:eastAsia="Calibri" w:hAnsi="Arial" w:cs="Arial"/>
          <w:i/>
          <w:iCs/>
          <w:szCs w:val="24"/>
        </w:rPr>
        <w:t xml:space="preserve">Schwartz NO v Pike and Others </w:t>
      </w:r>
      <w:r w:rsidRPr="002A5631">
        <w:rPr>
          <w:rFonts w:ascii="Arial" w:eastAsia="Calibri" w:hAnsi="Arial" w:cs="Arial"/>
          <w:szCs w:val="24"/>
        </w:rPr>
        <w:t>2008</w:t>
      </w:r>
      <w:r w:rsidR="009A0FAD" w:rsidRPr="002A5631">
        <w:rPr>
          <w:rFonts w:ascii="Arial" w:eastAsia="Calibri" w:hAnsi="Arial" w:cs="Arial"/>
          <w:szCs w:val="24"/>
        </w:rPr>
        <w:t xml:space="preserve"> </w:t>
      </w:r>
      <w:r w:rsidRPr="002A5631">
        <w:rPr>
          <w:rFonts w:ascii="Arial" w:eastAsia="Calibri" w:hAnsi="Arial" w:cs="Arial"/>
          <w:szCs w:val="24"/>
        </w:rPr>
        <w:t>(3) SA 431 (SCA) at paragraph 17). This stems from the fact that it was not obliged to conclude the subsequent agreements</w:t>
      </w:r>
      <w:r w:rsidR="009A0FAD" w:rsidRPr="002A5631">
        <w:rPr>
          <w:rFonts w:ascii="Arial" w:eastAsia="Calibri" w:hAnsi="Arial" w:cs="Arial"/>
          <w:szCs w:val="24"/>
        </w:rPr>
        <w:t>.</w:t>
      </w:r>
      <w:r w:rsidRPr="002A5631">
        <w:rPr>
          <w:rFonts w:ascii="Arial" w:eastAsia="Calibri" w:hAnsi="Arial" w:cs="Arial"/>
          <w:szCs w:val="24"/>
        </w:rPr>
        <w:t>’</w:t>
      </w:r>
    </w:p>
    <w:p w14:paraId="27192B90" w14:textId="77777777" w:rsidR="00717D86" w:rsidRPr="002A5631" w:rsidRDefault="00717D86" w:rsidP="00A6674F">
      <w:pPr>
        <w:spacing w:after="0" w:line="360" w:lineRule="auto"/>
        <w:contextualSpacing/>
        <w:jc w:val="both"/>
        <w:rPr>
          <w:rFonts w:ascii="Arial" w:eastAsia="Calibri" w:hAnsi="Arial" w:cs="Arial"/>
          <w:sz w:val="24"/>
          <w:szCs w:val="24"/>
        </w:rPr>
      </w:pPr>
    </w:p>
    <w:p w14:paraId="6AAA798B" w14:textId="2E2ED6F8" w:rsidR="00717D86" w:rsidRPr="002A5631" w:rsidRDefault="00717D86"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8</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It is in my view clear that </w:t>
      </w:r>
      <w:r w:rsidR="00925B94" w:rsidRPr="002A5631">
        <w:rPr>
          <w:rFonts w:ascii="Arial" w:eastAsia="Calibri" w:hAnsi="Arial" w:cs="Arial"/>
          <w:sz w:val="24"/>
          <w:szCs w:val="24"/>
        </w:rPr>
        <w:t>what the applicant is seeking to enforce falls squarely within the agreements described above, which is clearly not recognised in our law. The applicant</w:t>
      </w:r>
      <w:r w:rsidR="007224A7">
        <w:rPr>
          <w:rFonts w:ascii="Arial" w:eastAsia="Calibri" w:hAnsi="Arial" w:cs="Arial"/>
          <w:sz w:val="24"/>
          <w:szCs w:val="24"/>
        </w:rPr>
        <w:t>,</w:t>
      </w:r>
      <w:r w:rsidR="00925B94" w:rsidRPr="002A5631">
        <w:rPr>
          <w:rFonts w:ascii="Arial" w:eastAsia="Calibri" w:hAnsi="Arial" w:cs="Arial"/>
          <w:sz w:val="24"/>
          <w:szCs w:val="24"/>
        </w:rPr>
        <w:t xml:space="preserve"> at best</w:t>
      </w:r>
      <w:r w:rsidR="007224A7">
        <w:rPr>
          <w:rFonts w:ascii="Arial" w:eastAsia="Calibri" w:hAnsi="Arial" w:cs="Arial"/>
          <w:sz w:val="24"/>
          <w:szCs w:val="24"/>
        </w:rPr>
        <w:t>,</w:t>
      </w:r>
      <w:r w:rsidR="00925B94" w:rsidRPr="002A5631">
        <w:rPr>
          <w:rFonts w:ascii="Arial" w:eastAsia="Calibri" w:hAnsi="Arial" w:cs="Arial"/>
          <w:sz w:val="24"/>
          <w:szCs w:val="24"/>
        </w:rPr>
        <w:t xml:space="preserve"> has a claim against the first respondent for the repayment of the R12 000, which the first respondent has tendered to repay.</w:t>
      </w:r>
    </w:p>
    <w:p w14:paraId="6411A87B" w14:textId="77777777" w:rsidR="00FE7892" w:rsidRPr="002A5631" w:rsidRDefault="00FE7892" w:rsidP="00A6674F">
      <w:pPr>
        <w:spacing w:after="0" w:line="360" w:lineRule="auto"/>
        <w:contextualSpacing/>
        <w:jc w:val="both"/>
        <w:rPr>
          <w:rFonts w:ascii="Arial" w:eastAsia="Calibri" w:hAnsi="Arial" w:cs="Arial"/>
          <w:sz w:val="24"/>
          <w:szCs w:val="24"/>
        </w:rPr>
      </w:pPr>
    </w:p>
    <w:p w14:paraId="0ED6420D" w14:textId="32105025" w:rsidR="00FE7892" w:rsidRPr="002A5631" w:rsidRDefault="00FE7892" w:rsidP="00A6674F">
      <w:pPr>
        <w:spacing w:after="0" w:line="360" w:lineRule="auto"/>
        <w:contextualSpacing/>
        <w:jc w:val="both"/>
        <w:rPr>
          <w:rFonts w:ascii="Arial" w:eastAsia="Calibri" w:hAnsi="Arial" w:cs="Arial"/>
          <w:sz w:val="24"/>
          <w:szCs w:val="24"/>
        </w:rPr>
      </w:pPr>
      <w:r w:rsidRPr="002A5631">
        <w:rPr>
          <w:rFonts w:ascii="Arial" w:eastAsia="Calibri" w:hAnsi="Arial" w:cs="Arial"/>
          <w:b/>
          <w:bCs/>
          <w:sz w:val="24"/>
          <w:szCs w:val="24"/>
        </w:rPr>
        <w:t>Non-joinder</w:t>
      </w:r>
    </w:p>
    <w:p w14:paraId="40D4E240" w14:textId="7847DA64" w:rsidR="00665480" w:rsidRPr="002A5631" w:rsidRDefault="00925B94"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[3</w:t>
      </w:r>
      <w:r w:rsidR="009E45B8" w:rsidRPr="002A5631">
        <w:rPr>
          <w:rFonts w:ascii="Arial" w:eastAsia="Calibri" w:hAnsi="Arial" w:cs="Arial"/>
          <w:sz w:val="24"/>
          <w:szCs w:val="24"/>
        </w:rPr>
        <w:t>9</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As far as the issue of non-joinder is concerned, I will only deal with it briefly considering my finding above. There can be no doubt that Mr </w:t>
      </w:r>
      <w:proofErr w:type="spellStart"/>
      <w:r w:rsidRPr="002A5631">
        <w:rPr>
          <w:rFonts w:ascii="Arial" w:eastAsia="Calibri" w:hAnsi="Arial" w:cs="Arial"/>
          <w:sz w:val="24"/>
          <w:szCs w:val="24"/>
        </w:rPr>
        <w:t>Dlamini</w:t>
      </w:r>
      <w:proofErr w:type="spellEnd"/>
      <w:r w:rsidRPr="002A5631">
        <w:rPr>
          <w:rFonts w:ascii="Arial" w:eastAsia="Calibri" w:hAnsi="Arial" w:cs="Arial"/>
          <w:sz w:val="24"/>
          <w:szCs w:val="24"/>
        </w:rPr>
        <w:t xml:space="preserve"> has a direct and substantial interest in the outcome of these proceedings and the order being sought by the applicant will most certainly affect his interests. Counsel for the applicant submitted in this regard that Mr </w:t>
      </w:r>
      <w:proofErr w:type="spellStart"/>
      <w:r w:rsidRPr="002A5631">
        <w:rPr>
          <w:rFonts w:ascii="Arial" w:eastAsia="Calibri" w:hAnsi="Arial" w:cs="Arial"/>
          <w:sz w:val="24"/>
          <w:szCs w:val="24"/>
        </w:rPr>
        <w:t>Dlamini</w:t>
      </w:r>
      <w:proofErr w:type="spellEnd"/>
      <w:r w:rsidRPr="002A5631">
        <w:rPr>
          <w:rFonts w:ascii="Arial" w:eastAsia="Calibri" w:hAnsi="Arial" w:cs="Arial"/>
          <w:sz w:val="24"/>
          <w:szCs w:val="24"/>
        </w:rPr>
        <w:t xml:space="preserve"> had knowledge of th</w:t>
      </w:r>
      <w:r w:rsidR="00001274" w:rsidRPr="002A5631">
        <w:rPr>
          <w:rFonts w:ascii="Arial" w:eastAsia="Calibri" w:hAnsi="Arial" w:cs="Arial"/>
          <w:sz w:val="24"/>
          <w:szCs w:val="24"/>
        </w:rPr>
        <w:t xml:space="preserve">e </w:t>
      </w:r>
      <w:r w:rsidR="00C94780">
        <w:rPr>
          <w:rFonts w:ascii="Arial" w:eastAsia="Calibri" w:hAnsi="Arial" w:cs="Arial"/>
          <w:sz w:val="24"/>
          <w:szCs w:val="24"/>
        </w:rPr>
        <w:t>matter,</w:t>
      </w:r>
      <w:r w:rsidR="00C94780" w:rsidRPr="002A5631">
        <w:rPr>
          <w:rFonts w:ascii="Arial" w:eastAsia="Calibri" w:hAnsi="Arial" w:cs="Arial"/>
          <w:sz w:val="24"/>
          <w:szCs w:val="24"/>
        </w:rPr>
        <w:t xml:space="preserve"> </w:t>
      </w:r>
      <w:r w:rsidR="00001274" w:rsidRPr="002A5631">
        <w:rPr>
          <w:rFonts w:ascii="Arial" w:eastAsia="Calibri" w:hAnsi="Arial" w:cs="Arial"/>
          <w:sz w:val="24"/>
          <w:szCs w:val="24"/>
        </w:rPr>
        <w:t>as was conveyed in the letter from his attorneys</w:t>
      </w:r>
      <w:r w:rsidR="00C94780">
        <w:rPr>
          <w:rFonts w:ascii="Arial" w:eastAsia="Calibri" w:hAnsi="Arial" w:cs="Arial"/>
          <w:sz w:val="24"/>
          <w:szCs w:val="24"/>
        </w:rPr>
        <w:t>,</w:t>
      </w:r>
      <w:r w:rsidR="00001274" w:rsidRPr="002A5631">
        <w:rPr>
          <w:rFonts w:ascii="Arial" w:eastAsia="Calibri" w:hAnsi="Arial" w:cs="Arial"/>
          <w:sz w:val="24"/>
          <w:szCs w:val="24"/>
        </w:rPr>
        <w:t xml:space="preserve"> and he could have brought an application to intervene if he wanted to. Counsel perhaps lost sight of the provisions of Uniform rule 10, which deals with joinder. In </w:t>
      </w:r>
      <w:proofErr w:type="spellStart"/>
      <w:r w:rsidR="00001274" w:rsidRPr="002A5631">
        <w:rPr>
          <w:rFonts w:ascii="Arial" w:eastAsia="Calibri" w:hAnsi="Arial" w:cs="Arial"/>
          <w:i/>
          <w:iCs/>
          <w:sz w:val="24"/>
          <w:szCs w:val="24"/>
        </w:rPr>
        <w:t>Herbstein</w:t>
      </w:r>
      <w:proofErr w:type="spellEnd"/>
      <w:r w:rsidR="00001274" w:rsidRPr="002A5631">
        <w:rPr>
          <w:rFonts w:ascii="Arial" w:eastAsia="Calibri" w:hAnsi="Arial" w:cs="Arial"/>
          <w:i/>
          <w:iCs/>
          <w:sz w:val="24"/>
          <w:szCs w:val="24"/>
        </w:rPr>
        <w:t xml:space="preserve"> and Van </w:t>
      </w:r>
      <w:proofErr w:type="spellStart"/>
      <w:r w:rsidR="00001274" w:rsidRPr="002A5631">
        <w:rPr>
          <w:rFonts w:ascii="Arial" w:eastAsia="Calibri" w:hAnsi="Arial" w:cs="Arial"/>
          <w:i/>
          <w:iCs/>
          <w:sz w:val="24"/>
          <w:szCs w:val="24"/>
        </w:rPr>
        <w:t>Winsen</w:t>
      </w:r>
      <w:proofErr w:type="spellEnd"/>
      <w:r w:rsidR="00001274" w:rsidRPr="002A5631">
        <w:rPr>
          <w:rFonts w:ascii="Arial" w:eastAsia="Calibri" w:hAnsi="Arial" w:cs="Arial"/>
          <w:i/>
          <w:iCs/>
          <w:sz w:val="24"/>
          <w:szCs w:val="24"/>
        </w:rPr>
        <w:t>: Civil Practi</w:t>
      </w:r>
      <w:r w:rsidR="000F3F92" w:rsidRPr="002A5631">
        <w:rPr>
          <w:rFonts w:ascii="Arial" w:eastAsia="Calibri" w:hAnsi="Arial" w:cs="Arial"/>
          <w:i/>
          <w:iCs/>
          <w:sz w:val="24"/>
          <w:szCs w:val="24"/>
        </w:rPr>
        <w:t>c</w:t>
      </w:r>
      <w:r w:rsidR="00001274" w:rsidRPr="002A5631">
        <w:rPr>
          <w:rFonts w:ascii="Arial" w:eastAsia="Calibri" w:hAnsi="Arial" w:cs="Arial"/>
          <w:i/>
          <w:iCs/>
          <w:sz w:val="24"/>
          <w:szCs w:val="24"/>
        </w:rPr>
        <w:t>e of the High Courts</w:t>
      </w:r>
      <w:r w:rsidR="000F3F92" w:rsidRPr="002A5631">
        <w:rPr>
          <w:rFonts w:ascii="Arial" w:eastAsia="Calibri" w:hAnsi="Arial" w:cs="Arial"/>
          <w:i/>
          <w:iCs/>
          <w:sz w:val="24"/>
          <w:szCs w:val="24"/>
        </w:rPr>
        <w:t xml:space="preserve"> and the Supreme Court of Appeal of South Africa</w:t>
      </w:r>
      <w:r w:rsidR="00001274" w:rsidRPr="00A2581C">
        <w:rPr>
          <w:rStyle w:val="FootnoteReference"/>
          <w:rFonts w:ascii="Arial" w:eastAsia="Calibri" w:hAnsi="Arial" w:cs="Arial"/>
          <w:iCs/>
          <w:sz w:val="24"/>
          <w:szCs w:val="24"/>
        </w:rPr>
        <w:footnoteReference w:id="10"/>
      </w:r>
      <w:r w:rsidR="00665480" w:rsidRPr="002A5631">
        <w:rPr>
          <w:rFonts w:ascii="Arial" w:eastAsia="Calibri" w:hAnsi="Arial" w:cs="Arial"/>
          <w:i/>
          <w:iCs/>
          <w:sz w:val="24"/>
          <w:szCs w:val="24"/>
        </w:rPr>
        <w:t xml:space="preserve"> </w:t>
      </w:r>
      <w:r w:rsidR="00665480" w:rsidRPr="002A5631">
        <w:rPr>
          <w:rFonts w:ascii="Arial" w:eastAsia="Calibri" w:hAnsi="Arial" w:cs="Arial"/>
          <w:sz w:val="24"/>
          <w:szCs w:val="24"/>
        </w:rPr>
        <w:t xml:space="preserve">the authors deal with joinder of necessity, as opposed to joinder of convenience as per rule 10 and </w:t>
      </w:r>
      <w:r w:rsidR="00EA1600">
        <w:rPr>
          <w:rFonts w:ascii="Arial" w:eastAsia="Calibri" w:hAnsi="Arial" w:cs="Arial"/>
          <w:sz w:val="24"/>
          <w:szCs w:val="24"/>
        </w:rPr>
        <w:t>state</w:t>
      </w:r>
      <w:r w:rsidR="00EA1600" w:rsidRPr="002A5631">
        <w:rPr>
          <w:rFonts w:ascii="Arial" w:eastAsia="Calibri" w:hAnsi="Arial" w:cs="Arial"/>
          <w:sz w:val="24"/>
          <w:szCs w:val="24"/>
        </w:rPr>
        <w:t xml:space="preserve"> </w:t>
      </w:r>
      <w:r w:rsidR="00665480" w:rsidRPr="002A5631">
        <w:rPr>
          <w:rFonts w:ascii="Arial" w:eastAsia="Calibri" w:hAnsi="Arial" w:cs="Arial"/>
          <w:sz w:val="24"/>
          <w:szCs w:val="24"/>
        </w:rPr>
        <w:t>the following:</w:t>
      </w:r>
    </w:p>
    <w:p w14:paraId="1E727225" w14:textId="3ABD1DD2" w:rsidR="00665480" w:rsidRPr="002A5631" w:rsidRDefault="00665480" w:rsidP="00A6674F">
      <w:pPr>
        <w:spacing w:after="0" w:line="360" w:lineRule="auto"/>
        <w:contextualSpacing/>
        <w:jc w:val="both"/>
        <w:rPr>
          <w:rFonts w:ascii="Arial" w:eastAsia="Calibri" w:hAnsi="Arial" w:cs="Arial"/>
          <w:szCs w:val="24"/>
        </w:rPr>
      </w:pPr>
      <w:r w:rsidRPr="002A5631">
        <w:rPr>
          <w:rFonts w:ascii="Arial" w:eastAsia="Calibri" w:hAnsi="Arial" w:cs="Arial"/>
          <w:szCs w:val="24"/>
        </w:rPr>
        <w:lastRenderedPageBreak/>
        <w:t xml:space="preserve">‘A third party who has, or may have, a direct and substantial interest in any order the court might make in proceedings or if such an order cannot be sustained or carried into effect without prejudicing that party, is a necessary party and should be joined in the proceedings, unless the court is satisfied that such </w:t>
      </w:r>
      <w:r w:rsidR="009207E7" w:rsidRPr="002A5631">
        <w:rPr>
          <w:rFonts w:ascii="Arial" w:eastAsia="Calibri" w:hAnsi="Arial" w:cs="Arial"/>
          <w:szCs w:val="24"/>
        </w:rPr>
        <w:t>person</w:t>
      </w:r>
      <w:r w:rsidRPr="002A5631">
        <w:rPr>
          <w:rFonts w:ascii="Arial" w:eastAsia="Calibri" w:hAnsi="Arial" w:cs="Arial"/>
          <w:szCs w:val="24"/>
        </w:rPr>
        <w:t xml:space="preserve"> has waived the right to be joined</w:t>
      </w:r>
      <w:r w:rsidR="009207E7" w:rsidRPr="002A5631">
        <w:rPr>
          <w:rFonts w:ascii="Arial" w:eastAsia="Calibri" w:hAnsi="Arial" w:cs="Arial"/>
          <w:szCs w:val="24"/>
        </w:rPr>
        <w:t>.</w:t>
      </w:r>
      <w:r w:rsidRPr="002A5631">
        <w:rPr>
          <w:rFonts w:ascii="Arial" w:eastAsia="Calibri" w:hAnsi="Arial" w:cs="Arial"/>
          <w:szCs w:val="24"/>
        </w:rPr>
        <w:t>’ (</w:t>
      </w:r>
      <w:r w:rsidR="009207E7" w:rsidRPr="002A5631">
        <w:rPr>
          <w:rFonts w:ascii="Arial" w:eastAsia="Calibri" w:hAnsi="Arial" w:cs="Arial"/>
          <w:szCs w:val="24"/>
        </w:rPr>
        <w:t xml:space="preserve">Footnote </w:t>
      </w:r>
      <w:r w:rsidRPr="002A5631">
        <w:rPr>
          <w:rFonts w:ascii="Arial" w:eastAsia="Calibri" w:hAnsi="Arial" w:cs="Arial"/>
          <w:szCs w:val="24"/>
        </w:rPr>
        <w:t>omitted</w:t>
      </w:r>
      <w:r w:rsidR="009207E7" w:rsidRPr="002A5631">
        <w:rPr>
          <w:rFonts w:ascii="Arial" w:eastAsia="Calibri" w:hAnsi="Arial" w:cs="Arial"/>
          <w:szCs w:val="24"/>
        </w:rPr>
        <w:t>.</w:t>
      </w:r>
      <w:r w:rsidRPr="002A5631">
        <w:rPr>
          <w:rFonts w:ascii="Arial" w:eastAsia="Calibri" w:hAnsi="Arial" w:cs="Arial"/>
          <w:szCs w:val="24"/>
        </w:rPr>
        <w:t>)</w:t>
      </w:r>
    </w:p>
    <w:p w14:paraId="1B0425CB" w14:textId="77777777" w:rsidR="00665480" w:rsidRPr="002A5631" w:rsidRDefault="00665480" w:rsidP="00A6674F">
      <w:pPr>
        <w:spacing w:after="0" w:line="360" w:lineRule="auto"/>
        <w:contextualSpacing/>
        <w:jc w:val="both"/>
        <w:rPr>
          <w:rFonts w:ascii="Arial" w:eastAsia="Calibri" w:hAnsi="Arial" w:cs="Arial"/>
          <w:sz w:val="24"/>
          <w:szCs w:val="24"/>
        </w:rPr>
      </w:pPr>
    </w:p>
    <w:p w14:paraId="34EB1C57" w14:textId="77777777" w:rsidR="004B763C" w:rsidRDefault="00665480"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w:t>
      </w:r>
      <w:r w:rsidR="009E45B8" w:rsidRPr="002A5631">
        <w:rPr>
          <w:rFonts w:ascii="Arial" w:eastAsia="Calibri" w:hAnsi="Arial" w:cs="Arial"/>
          <w:sz w:val="24"/>
          <w:szCs w:val="24"/>
        </w:rPr>
        <w:t>40</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In </w:t>
      </w:r>
      <w:r w:rsidRPr="002A5631">
        <w:rPr>
          <w:rFonts w:ascii="Arial" w:eastAsia="Calibri" w:hAnsi="Arial" w:cs="Arial"/>
          <w:i/>
          <w:iCs/>
          <w:sz w:val="24"/>
          <w:szCs w:val="24"/>
        </w:rPr>
        <w:t xml:space="preserve">Civil Procedure: A Practical </w:t>
      </w:r>
      <w:r w:rsidR="00EA1600" w:rsidRPr="002A5631">
        <w:rPr>
          <w:rFonts w:ascii="Arial" w:eastAsia="Calibri" w:hAnsi="Arial" w:cs="Arial"/>
          <w:i/>
          <w:iCs/>
          <w:sz w:val="24"/>
          <w:szCs w:val="24"/>
        </w:rPr>
        <w:t>Guide</w:t>
      </w:r>
      <w:r w:rsidRPr="002A5631">
        <w:rPr>
          <w:rStyle w:val="FootnoteReference"/>
          <w:rFonts w:ascii="Arial" w:eastAsia="Calibri" w:hAnsi="Arial" w:cs="Arial"/>
          <w:iCs/>
          <w:sz w:val="24"/>
          <w:szCs w:val="24"/>
        </w:rPr>
        <w:footnoteReference w:id="11"/>
      </w:r>
      <w:r w:rsidRPr="002A5631">
        <w:rPr>
          <w:rFonts w:ascii="Arial" w:eastAsia="Calibri" w:hAnsi="Arial" w:cs="Arial"/>
          <w:sz w:val="24"/>
          <w:szCs w:val="24"/>
        </w:rPr>
        <w:t xml:space="preserve"> the authors cautioned that a legal practi</w:t>
      </w:r>
      <w:r w:rsidR="002A1CA6" w:rsidRPr="002A5631">
        <w:rPr>
          <w:rFonts w:ascii="Arial" w:eastAsia="Calibri" w:hAnsi="Arial" w:cs="Arial"/>
          <w:sz w:val="24"/>
          <w:szCs w:val="24"/>
        </w:rPr>
        <w:t>ti</w:t>
      </w:r>
      <w:r w:rsidRPr="002A5631">
        <w:rPr>
          <w:rFonts w:ascii="Arial" w:eastAsia="Calibri" w:hAnsi="Arial" w:cs="Arial"/>
          <w:sz w:val="24"/>
          <w:szCs w:val="24"/>
        </w:rPr>
        <w:t xml:space="preserve">oner </w:t>
      </w:r>
      <w:r w:rsidR="00EA1600">
        <w:rPr>
          <w:rFonts w:ascii="Arial" w:eastAsia="Calibri" w:hAnsi="Arial" w:cs="Arial"/>
          <w:sz w:val="24"/>
          <w:szCs w:val="24"/>
        </w:rPr>
        <w:t xml:space="preserve">who </w:t>
      </w:r>
      <w:r w:rsidR="006F3515" w:rsidRPr="002A5631">
        <w:rPr>
          <w:rFonts w:ascii="Arial" w:eastAsia="Calibri" w:hAnsi="Arial" w:cs="Arial"/>
          <w:sz w:val="24"/>
          <w:szCs w:val="24"/>
        </w:rPr>
        <w:t>contemplat</w:t>
      </w:r>
      <w:r w:rsidR="006F3515">
        <w:rPr>
          <w:rFonts w:ascii="Arial" w:eastAsia="Calibri" w:hAnsi="Arial" w:cs="Arial"/>
          <w:sz w:val="24"/>
          <w:szCs w:val="24"/>
        </w:rPr>
        <w:t>es</w:t>
      </w:r>
      <w:r w:rsidR="006F3515" w:rsidRPr="002A5631">
        <w:rPr>
          <w:rFonts w:ascii="Arial" w:eastAsia="Calibri" w:hAnsi="Arial" w:cs="Arial"/>
          <w:sz w:val="24"/>
          <w:szCs w:val="24"/>
        </w:rPr>
        <w:t xml:space="preserve"> </w:t>
      </w:r>
      <w:r w:rsidRPr="002A5631">
        <w:rPr>
          <w:rFonts w:ascii="Arial" w:eastAsia="Calibri" w:hAnsi="Arial" w:cs="Arial"/>
          <w:sz w:val="24"/>
          <w:szCs w:val="24"/>
        </w:rPr>
        <w:t>instituting legal proceedings</w:t>
      </w:r>
      <w:r w:rsidR="002A1CA6" w:rsidRPr="002A5631">
        <w:rPr>
          <w:rFonts w:ascii="Arial" w:eastAsia="Calibri" w:hAnsi="Arial" w:cs="Arial"/>
          <w:sz w:val="24"/>
          <w:szCs w:val="24"/>
        </w:rPr>
        <w:t xml:space="preserve">, must always consider who is likely to be affected by the order or relief being sought and then ensure that such a party is joined, unless the party has specifically waived his right to be joined. This has clearly not happened in the present matter and to simply say that Mr </w:t>
      </w:r>
      <w:proofErr w:type="spellStart"/>
      <w:r w:rsidR="002A1CA6" w:rsidRPr="002A5631">
        <w:rPr>
          <w:rFonts w:ascii="Arial" w:eastAsia="Calibri" w:hAnsi="Arial" w:cs="Arial"/>
          <w:sz w:val="24"/>
          <w:szCs w:val="24"/>
        </w:rPr>
        <w:t>Dlamini</w:t>
      </w:r>
      <w:proofErr w:type="spellEnd"/>
      <w:r w:rsidR="002A1CA6" w:rsidRPr="002A5631">
        <w:rPr>
          <w:rFonts w:ascii="Arial" w:eastAsia="Calibri" w:hAnsi="Arial" w:cs="Arial"/>
          <w:sz w:val="24"/>
          <w:szCs w:val="24"/>
        </w:rPr>
        <w:t xml:space="preserve"> should have intervened if he wanted to, borders on reckless.</w:t>
      </w:r>
    </w:p>
    <w:p w14:paraId="50459108" w14:textId="77777777" w:rsidR="004B763C" w:rsidRDefault="004B763C" w:rsidP="00A6674F">
      <w:pPr>
        <w:spacing w:after="0" w:line="360" w:lineRule="auto"/>
        <w:contextualSpacing/>
        <w:jc w:val="both"/>
        <w:rPr>
          <w:rFonts w:ascii="Arial" w:eastAsia="Calibri" w:hAnsi="Arial" w:cs="Arial"/>
          <w:sz w:val="24"/>
          <w:szCs w:val="24"/>
        </w:rPr>
      </w:pPr>
    </w:p>
    <w:p w14:paraId="15F84492" w14:textId="09E94FD3" w:rsidR="00B5692E" w:rsidRDefault="004B763C" w:rsidP="00A6674F">
      <w:pPr>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[41]   In </w:t>
      </w:r>
      <w:proofErr w:type="spellStart"/>
      <w:r>
        <w:rPr>
          <w:rFonts w:ascii="Arial" w:eastAsia="Calibri" w:hAnsi="Arial" w:cs="Arial"/>
          <w:i/>
          <w:iCs/>
          <w:sz w:val="24"/>
          <w:szCs w:val="24"/>
        </w:rPr>
        <w:t>Matjhabeng</w:t>
      </w:r>
      <w:proofErr w:type="spellEnd"/>
      <w:r>
        <w:rPr>
          <w:rFonts w:ascii="Arial" w:eastAsia="Calibri" w:hAnsi="Arial" w:cs="Arial"/>
          <w:i/>
          <w:iCs/>
          <w:sz w:val="24"/>
          <w:szCs w:val="24"/>
        </w:rPr>
        <w:t xml:space="preserve"> Local Municipality v Eskom Holdings Ltd and others </w:t>
      </w:r>
      <w:r>
        <w:rPr>
          <w:rStyle w:val="FootnoteReference"/>
          <w:rFonts w:ascii="Arial" w:eastAsia="Calibri" w:hAnsi="Arial" w:cs="Arial"/>
          <w:i/>
          <w:iCs/>
          <w:sz w:val="24"/>
          <w:szCs w:val="24"/>
        </w:rPr>
        <w:footnoteReference w:id="12"/>
      </w:r>
      <w:r w:rsidR="002A1CA6" w:rsidRPr="002A5631">
        <w:rPr>
          <w:rFonts w:ascii="Arial" w:eastAsia="Calibri" w:hAnsi="Arial" w:cs="Arial"/>
          <w:sz w:val="24"/>
          <w:szCs w:val="24"/>
        </w:rPr>
        <w:t xml:space="preserve"> </w:t>
      </w:r>
      <w:r w:rsidR="00B5692E">
        <w:rPr>
          <w:rFonts w:ascii="Arial" w:eastAsia="Calibri" w:hAnsi="Arial" w:cs="Arial"/>
          <w:sz w:val="24"/>
          <w:szCs w:val="24"/>
        </w:rPr>
        <w:t>the following was stated at para</w:t>
      </w:r>
      <w:r w:rsidR="0092255E">
        <w:rPr>
          <w:rFonts w:ascii="Arial" w:eastAsia="Calibri" w:hAnsi="Arial" w:cs="Arial"/>
          <w:sz w:val="24"/>
          <w:szCs w:val="24"/>
        </w:rPr>
        <w:t xml:space="preserve"> </w:t>
      </w:r>
      <w:r w:rsidR="00B5692E">
        <w:rPr>
          <w:rFonts w:ascii="Arial" w:eastAsia="Calibri" w:hAnsi="Arial" w:cs="Arial"/>
          <w:sz w:val="24"/>
          <w:szCs w:val="24"/>
        </w:rPr>
        <w:t>91</w:t>
      </w:r>
      <w:r w:rsidR="0092255E">
        <w:rPr>
          <w:rFonts w:ascii="Arial" w:eastAsia="Calibri" w:hAnsi="Arial" w:cs="Arial"/>
          <w:sz w:val="24"/>
          <w:szCs w:val="24"/>
        </w:rPr>
        <w:t>:</w:t>
      </w:r>
    </w:p>
    <w:p w14:paraId="2F333E35" w14:textId="77777777" w:rsidR="00B5692E" w:rsidRDefault="00B5692E" w:rsidP="00A6674F">
      <w:pPr>
        <w:spacing w:after="0" w:line="360" w:lineRule="auto"/>
        <w:contextualSpacing/>
        <w:jc w:val="both"/>
        <w:rPr>
          <w:rFonts w:ascii="Arial" w:eastAsia="Calibri" w:hAnsi="Arial" w:cs="Arial"/>
        </w:rPr>
      </w:pPr>
      <w:r>
        <w:rPr>
          <w:rFonts w:ascii="Arial" w:eastAsia="Calibri" w:hAnsi="Arial" w:cs="Arial"/>
          <w:sz w:val="24"/>
          <w:szCs w:val="24"/>
        </w:rPr>
        <w:t>‘</w:t>
      </w:r>
      <w:r>
        <w:rPr>
          <w:rFonts w:ascii="Arial" w:eastAsia="Calibri" w:hAnsi="Arial" w:cs="Arial"/>
        </w:rPr>
        <w:t xml:space="preserve">At common law courts have an inherent power to order joinder of parties where it is necessary to do so even when there is no substantive application for joinder. A court could, </w:t>
      </w:r>
      <w:proofErr w:type="spellStart"/>
      <w:r>
        <w:rPr>
          <w:rFonts w:ascii="Arial" w:eastAsia="Calibri" w:hAnsi="Arial" w:cs="Arial"/>
        </w:rPr>
        <w:t>mero</w:t>
      </w:r>
      <w:proofErr w:type="spellEnd"/>
      <w:r>
        <w:rPr>
          <w:rFonts w:ascii="Arial" w:eastAsia="Calibri" w:hAnsi="Arial" w:cs="Arial"/>
        </w:rPr>
        <w:t xml:space="preserve"> </w:t>
      </w:r>
      <w:proofErr w:type="spellStart"/>
      <w:r>
        <w:rPr>
          <w:rFonts w:ascii="Arial" w:eastAsia="Calibri" w:hAnsi="Arial" w:cs="Arial"/>
        </w:rPr>
        <w:t>motu</w:t>
      </w:r>
      <w:proofErr w:type="spellEnd"/>
      <w:r>
        <w:rPr>
          <w:rFonts w:ascii="Arial" w:eastAsia="Calibri" w:hAnsi="Arial" w:cs="Arial"/>
        </w:rPr>
        <w:t>, raise a question of joinder to safeguard the interest of a necessary party and decline to hear the matter until joinder has been effected.’</w:t>
      </w:r>
    </w:p>
    <w:p w14:paraId="299A473E" w14:textId="77777777" w:rsidR="00B5692E" w:rsidRDefault="00B5692E" w:rsidP="00A6674F">
      <w:pPr>
        <w:spacing w:after="0" w:line="360" w:lineRule="auto"/>
        <w:contextualSpacing/>
        <w:jc w:val="both"/>
        <w:rPr>
          <w:rFonts w:ascii="Arial" w:eastAsia="Calibri" w:hAnsi="Arial" w:cs="Arial"/>
        </w:rPr>
      </w:pPr>
    </w:p>
    <w:p w14:paraId="5089411B" w14:textId="41CADD5C" w:rsidR="00925B94" w:rsidRPr="002A5631" w:rsidRDefault="00B5692E" w:rsidP="00A6674F">
      <w:pPr>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[42]     </w:t>
      </w:r>
      <w:r>
        <w:rPr>
          <w:rFonts w:ascii="Arial" w:eastAsia="Calibri" w:hAnsi="Arial" w:cs="Arial"/>
        </w:rPr>
        <w:t xml:space="preserve"> </w:t>
      </w:r>
      <w:r w:rsidR="002A1CA6" w:rsidRPr="002A5631">
        <w:rPr>
          <w:rFonts w:ascii="Arial" w:eastAsia="Calibri" w:hAnsi="Arial" w:cs="Arial"/>
          <w:sz w:val="24"/>
          <w:szCs w:val="24"/>
        </w:rPr>
        <w:t xml:space="preserve">A court would </w:t>
      </w:r>
      <w:r>
        <w:rPr>
          <w:rFonts w:ascii="Arial" w:eastAsia="Calibri" w:hAnsi="Arial" w:cs="Arial"/>
          <w:sz w:val="24"/>
          <w:szCs w:val="24"/>
        </w:rPr>
        <w:t xml:space="preserve">however </w:t>
      </w:r>
      <w:r w:rsidR="002A1CA6" w:rsidRPr="002A5631">
        <w:rPr>
          <w:rFonts w:ascii="Arial" w:eastAsia="Calibri" w:hAnsi="Arial" w:cs="Arial"/>
          <w:sz w:val="24"/>
          <w:szCs w:val="24"/>
        </w:rPr>
        <w:t>be fully entitled to dismiss an application due to a material non-joinder</w:t>
      </w:r>
      <w:r>
        <w:rPr>
          <w:rFonts w:ascii="Arial" w:eastAsia="Calibri" w:hAnsi="Arial" w:cs="Arial"/>
          <w:sz w:val="24"/>
          <w:szCs w:val="24"/>
        </w:rPr>
        <w:t xml:space="preserve"> where an applicant has made a deliberate decision not to join another </w:t>
      </w:r>
      <w:r w:rsidR="0092255E">
        <w:rPr>
          <w:rFonts w:ascii="Arial" w:eastAsia="Calibri" w:hAnsi="Arial" w:cs="Arial"/>
          <w:sz w:val="24"/>
          <w:szCs w:val="24"/>
        </w:rPr>
        <w:t>party</w:t>
      </w:r>
      <w:r w:rsidR="0092255E" w:rsidRPr="002A5631">
        <w:rPr>
          <w:rFonts w:ascii="Arial" w:eastAsia="Calibri" w:hAnsi="Arial" w:cs="Arial"/>
          <w:sz w:val="24"/>
          <w:szCs w:val="24"/>
        </w:rPr>
        <w:t>.</w:t>
      </w:r>
      <w:r w:rsidR="002A5595" w:rsidRPr="002A5631">
        <w:rPr>
          <w:rStyle w:val="FootnoteReference"/>
          <w:rFonts w:ascii="Arial" w:eastAsia="Calibri" w:hAnsi="Arial" w:cs="Arial"/>
          <w:sz w:val="24"/>
          <w:szCs w:val="24"/>
        </w:rPr>
        <w:footnoteReference w:id="13"/>
      </w:r>
      <w:r w:rsidR="00AA4F76">
        <w:rPr>
          <w:rFonts w:ascii="Arial" w:eastAsia="Calibri" w:hAnsi="Arial" w:cs="Arial"/>
          <w:sz w:val="24"/>
          <w:szCs w:val="24"/>
        </w:rPr>
        <w:t xml:space="preserve"> </w:t>
      </w:r>
      <w:r>
        <w:rPr>
          <w:rFonts w:ascii="Arial" w:eastAsia="Calibri" w:hAnsi="Arial" w:cs="Arial"/>
          <w:sz w:val="24"/>
          <w:szCs w:val="24"/>
        </w:rPr>
        <w:t xml:space="preserve">In my view, the applicant clearly made a deliberate decision not </w:t>
      </w:r>
      <w:r w:rsidR="0092255E">
        <w:rPr>
          <w:rFonts w:ascii="Arial" w:eastAsia="Calibri" w:hAnsi="Arial" w:cs="Arial"/>
          <w:sz w:val="24"/>
          <w:szCs w:val="24"/>
        </w:rPr>
        <w:t xml:space="preserve">to join Mr </w:t>
      </w:r>
      <w:proofErr w:type="spellStart"/>
      <w:r w:rsidR="0092255E">
        <w:rPr>
          <w:rFonts w:ascii="Arial" w:eastAsia="Calibri" w:hAnsi="Arial" w:cs="Arial"/>
          <w:sz w:val="24"/>
          <w:szCs w:val="24"/>
        </w:rPr>
        <w:t>Dlamini</w:t>
      </w:r>
      <w:proofErr w:type="spellEnd"/>
      <w:r w:rsidR="00905DEE">
        <w:rPr>
          <w:rFonts w:ascii="Arial" w:eastAsia="Calibri" w:hAnsi="Arial" w:cs="Arial"/>
          <w:sz w:val="24"/>
          <w:szCs w:val="24"/>
        </w:rPr>
        <w:t xml:space="preserve">, which would justify a dismissal, </w:t>
      </w:r>
      <w:r w:rsidR="0092255E">
        <w:rPr>
          <w:rFonts w:ascii="Arial" w:eastAsia="Calibri" w:hAnsi="Arial" w:cs="Arial"/>
          <w:sz w:val="24"/>
          <w:szCs w:val="24"/>
        </w:rPr>
        <w:t xml:space="preserve">but even if she didn’t, and in light of my finding above, it would serve no practical purpose to adjourn the matter for the joinder of Mr </w:t>
      </w:r>
      <w:proofErr w:type="spellStart"/>
      <w:r w:rsidR="0092255E">
        <w:rPr>
          <w:rFonts w:ascii="Arial" w:eastAsia="Calibri" w:hAnsi="Arial" w:cs="Arial"/>
          <w:sz w:val="24"/>
          <w:szCs w:val="24"/>
        </w:rPr>
        <w:t>Dlamini</w:t>
      </w:r>
      <w:proofErr w:type="spellEnd"/>
      <w:r w:rsidR="0092255E">
        <w:rPr>
          <w:rFonts w:ascii="Arial" w:eastAsia="Calibri" w:hAnsi="Arial" w:cs="Arial"/>
          <w:sz w:val="24"/>
          <w:szCs w:val="24"/>
        </w:rPr>
        <w:t>.</w:t>
      </w:r>
    </w:p>
    <w:p w14:paraId="310E5198" w14:textId="77777777" w:rsidR="00FE7892" w:rsidRPr="002A5631" w:rsidRDefault="00FE7892" w:rsidP="00A6674F">
      <w:pPr>
        <w:spacing w:after="0" w:line="360" w:lineRule="auto"/>
        <w:contextualSpacing/>
        <w:jc w:val="both"/>
        <w:rPr>
          <w:rFonts w:ascii="Arial" w:eastAsia="Calibri" w:hAnsi="Arial" w:cs="Arial"/>
          <w:sz w:val="24"/>
          <w:szCs w:val="24"/>
        </w:rPr>
      </w:pPr>
    </w:p>
    <w:p w14:paraId="44E2F347" w14:textId="59051EB9" w:rsidR="00FE7892" w:rsidRPr="002A5631" w:rsidRDefault="00FE7892" w:rsidP="00A6674F">
      <w:pPr>
        <w:spacing w:after="0" w:line="360" w:lineRule="auto"/>
        <w:contextualSpacing/>
        <w:jc w:val="both"/>
        <w:rPr>
          <w:rFonts w:ascii="Arial" w:eastAsia="Calibri" w:hAnsi="Arial" w:cs="Arial"/>
          <w:b/>
          <w:bCs/>
          <w:sz w:val="24"/>
          <w:szCs w:val="24"/>
        </w:rPr>
      </w:pPr>
      <w:r w:rsidRPr="002A5631">
        <w:rPr>
          <w:rFonts w:ascii="Arial" w:eastAsia="Calibri" w:hAnsi="Arial" w:cs="Arial"/>
          <w:b/>
          <w:sz w:val="24"/>
          <w:szCs w:val="24"/>
        </w:rPr>
        <w:t>Conclusion</w:t>
      </w:r>
    </w:p>
    <w:p w14:paraId="7C4B3C6D" w14:textId="603B1A7A" w:rsidR="002A1CA6" w:rsidRPr="002A5631" w:rsidRDefault="002A1CA6"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w:t>
      </w:r>
      <w:r w:rsidR="00CE3637" w:rsidRPr="002A5631">
        <w:rPr>
          <w:rFonts w:ascii="Arial" w:eastAsia="Calibri" w:hAnsi="Arial" w:cs="Arial"/>
          <w:sz w:val="24"/>
          <w:szCs w:val="24"/>
        </w:rPr>
        <w:t>4</w:t>
      </w:r>
      <w:r w:rsidR="00CC7C62">
        <w:rPr>
          <w:rFonts w:ascii="Arial" w:eastAsia="Calibri" w:hAnsi="Arial" w:cs="Arial"/>
          <w:sz w:val="24"/>
          <w:szCs w:val="24"/>
        </w:rPr>
        <w:t>3</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 xml:space="preserve">I </w:t>
      </w:r>
      <w:r w:rsidR="00E74FC9" w:rsidRPr="002A5631">
        <w:rPr>
          <w:rFonts w:ascii="Arial" w:eastAsia="Calibri" w:hAnsi="Arial" w:cs="Arial"/>
          <w:sz w:val="24"/>
          <w:szCs w:val="24"/>
        </w:rPr>
        <w:t xml:space="preserve">do not </w:t>
      </w:r>
      <w:r w:rsidRPr="002A5631">
        <w:rPr>
          <w:rFonts w:ascii="Arial" w:eastAsia="Calibri" w:hAnsi="Arial" w:cs="Arial"/>
          <w:sz w:val="24"/>
          <w:szCs w:val="24"/>
        </w:rPr>
        <w:t xml:space="preserve">deem it necessary to deal with the other points raised in </w:t>
      </w:r>
      <w:proofErr w:type="spellStart"/>
      <w:r w:rsidRPr="002A5631">
        <w:rPr>
          <w:rFonts w:ascii="Arial" w:eastAsia="Calibri" w:hAnsi="Arial" w:cs="Arial"/>
          <w:sz w:val="24"/>
          <w:szCs w:val="24"/>
        </w:rPr>
        <w:t>limine</w:t>
      </w:r>
      <w:proofErr w:type="spellEnd"/>
      <w:r w:rsidRPr="002A5631">
        <w:rPr>
          <w:rFonts w:ascii="Arial" w:eastAsia="Calibri" w:hAnsi="Arial" w:cs="Arial"/>
          <w:sz w:val="24"/>
          <w:szCs w:val="24"/>
        </w:rPr>
        <w:t xml:space="preserve">. </w:t>
      </w:r>
      <w:r w:rsidR="00EB7C4E" w:rsidRPr="002A5631">
        <w:rPr>
          <w:rFonts w:ascii="Arial" w:eastAsia="Calibri" w:hAnsi="Arial" w:cs="Arial"/>
          <w:sz w:val="24"/>
          <w:szCs w:val="24"/>
        </w:rPr>
        <w:t>In my view</w:t>
      </w:r>
      <w:r w:rsidR="006F3515">
        <w:rPr>
          <w:rFonts w:ascii="Arial" w:eastAsia="Calibri" w:hAnsi="Arial" w:cs="Arial"/>
          <w:sz w:val="24"/>
          <w:szCs w:val="24"/>
        </w:rPr>
        <w:t>,</w:t>
      </w:r>
      <w:r w:rsidR="00EB7C4E" w:rsidRPr="002A5631">
        <w:rPr>
          <w:rFonts w:ascii="Arial" w:eastAsia="Calibri" w:hAnsi="Arial" w:cs="Arial"/>
          <w:sz w:val="24"/>
          <w:szCs w:val="24"/>
        </w:rPr>
        <w:t xml:space="preserve"> it is clear that what the applicant sought to enforce is simply not part of our law and no amount of oral evidence will resolve that issue. </w:t>
      </w:r>
      <w:r w:rsidR="00521F25">
        <w:rPr>
          <w:rFonts w:ascii="Arial" w:eastAsia="Calibri" w:hAnsi="Arial" w:cs="Arial"/>
          <w:sz w:val="24"/>
          <w:szCs w:val="24"/>
        </w:rPr>
        <w:t xml:space="preserve">The applicant clearly has no </w:t>
      </w:r>
      <w:r w:rsidR="00521F25">
        <w:rPr>
          <w:rFonts w:ascii="Arial" w:eastAsia="Calibri" w:hAnsi="Arial" w:cs="Arial"/>
          <w:sz w:val="24"/>
          <w:szCs w:val="24"/>
        </w:rPr>
        <w:lastRenderedPageBreak/>
        <w:t>prospects of success.</w:t>
      </w:r>
      <w:r w:rsidR="00521F25" w:rsidRPr="002A5631">
        <w:rPr>
          <w:rFonts w:ascii="Arial" w:eastAsia="Calibri" w:hAnsi="Arial" w:cs="Arial"/>
          <w:sz w:val="24"/>
          <w:szCs w:val="24"/>
        </w:rPr>
        <w:t xml:space="preserve"> Even</w:t>
      </w:r>
      <w:r w:rsidR="00EB7C4E" w:rsidRPr="002A5631">
        <w:rPr>
          <w:rFonts w:ascii="Arial" w:eastAsia="Calibri" w:hAnsi="Arial" w:cs="Arial"/>
          <w:sz w:val="24"/>
          <w:szCs w:val="24"/>
        </w:rPr>
        <w:t xml:space="preserve"> if I am wrong in this regard, the applicant clearly should have foreseen the material dispute of fact and should have proceeded by way of action from the outset. No satisfactory explanation for this course of action has been provided.</w:t>
      </w:r>
    </w:p>
    <w:p w14:paraId="73515A65" w14:textId="77777777" w:rsidR="00EB7C4E" w:rsidRPr="002A5631" w:rsidRDefault="00EB7C4E" w:rsidP="00A6674F">
      <w:pPr>
        <w:spacing w:after="0" w:line="360" w:lineRule="auto"/>
        <w:contextualSpacing/>
        <w:jc w:val="both"/>
        <w:rPr>
          <w:rFonts w:ascii="Arial" w:eastAsia="Calibri" w:hAnsi="Arial" w:cs="Arial"/>
          <w:sz w:val="24"/>
          <w:szCs w:val="24"/>
        </w:rPr>
      </w:pPr>
    </w:p>
    <w:p w14:paraId="60C83251" w14:textId="3C08ABD7" w:rsidR="00EB7C4E" w:rsidRPr="002A5631" w:rsidRDefault="00EB7C4E"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[4</w:t>
      </w:r>
      <w:r w:rsidR="00CC7C62">
        <w:rPr>
          <w:rFonts w:ascii="Arial" w:eastAsia="Calibri" w:hAnsi="Arial" w:cs="Arial"/>
          <w:sz w:val="24"/>
          <w:szCs w:val="24"/>
        </w:rPr>
        <w:t>4</w:t>
      </w:r>
      <w:r w:rsidRPr="002A5631">
        <w:rPr>
          <w:rFonts w:ascii="Arial" w:eastAsia="Calibri" w:hAnsi="Arial" w:cs="Arial"/>
          <w:sz w:val="24"/>
          <w:szCs w:val="24"/>
        </w:rPr>
        <w:t>]</w:t>
      </w:r>
      <w:r w:rsidR="00F84090" w:rsidRPr="002A5631">
        <w:rPr>
          <w:rFonts w:ascii="Arial" w:eastAsia="Calibri" w:hAnsi="Arial" w:cs="Arial"/>
          <w:sz w:val="24"/>
          <w:szCs w:val="24"/>
        </w:rPr>
        <w:tab/>
      </w:r>
      <w:r w:rsidR="000E25D4">
        <w:rPr>
          <w:rFonts w:ascii="Arial" w:eastAsia="Calibri" w:hAnsi="Arial" w:cs="Arial"/>
          <w:sz w:val="24"/>
          <w:szCs w:val="24"/>
        </w:rPr>
        <w:t xml:space="preserve">As far as </w:t>
      </w:r>
      <w:r w:rsidRPr="002A5631">
        <w:rPr>
          <w:rFonts w:ascii="Arial" w:eastAsia="Calibri" w:hAnsi="Arial" w:cs="Arial"/>
          <w:sz w:val="24"/>
          <w:szCs w:val="24"/>
        </w:rPr>
        <w:t>the first respondent</w:t>
      </w:r>
      <w:r w:rsidR="000E25D4">
        <w:rPr>
          <w:rFonts w:ascii="Arial" w:eastAsia="Calibri" w:hAnsi="Arial" w:cs="Arial"/>
          <w:sz w:val="24"/>
          <w:szCs w:val="24"/>
        </w:rPr>
        <w:t>’s counter-application is concerned, and in light of my finding that the agreement relied upon by the applicant is not recognised in our law,</w:t>
      </w:r>
      <w:r w:rsidR="00521F25">
        <w:rPr>
          <w:rFonts w:ascii="Arial" w:eastAsia="Calibri" w:hAnsi="Arial" w:cs="Arial"/>
          <w:sz w:val="24"/>
          <w:szCs w:val="24"/>
        </w:rPr>
        <w:t xml:space="preserve"> and that the applicant has no prospects of success,</w:t>
      </w:r>
      <w:r w:rsidR="000E25D4">
        <w:rPr>
          <w:rFonts w:ascii="Arial" w:eastAsia="Calibri" w:hAnsi="Arial" w:cs="Arial"/>
          <w:sz w:val="24"/>
          <w:szCs w:val="24"/>
        </w:rPr>
        <w:t xml:space="preserve"> the counter-application must </w:t>
      </w:r>
      <w:r w:rsidR="00521F25">
        <w:rPr>
          <w:rFonts w:ascii="Arial" w:eastAsia="Calibri" w:hAnsi="Arial" w:cs="Arial"/>
          <w:sz w:val="24"/>
          <w:szCs w:val="24"/>
        </w:rPr>
        <w:t>therefore</w:t>
      </w:r>
      <w:r w:rsidR="000E25D4">
        <w:rPr>
          <w:rFonts w:ascii="Arial" w:eastAsia="Calibri" w:hAnsi="Arial" w:cs="Arial"/>
          <w:sz w:val="24"/>
          <w:szCs w:val="24"/>
        </w:rPr>
        <w:t xml:space="preserve"> succeed. Th</w:t>
      </w:r>
      <w:r w:rsidR="00381F6C">
        <w:rPr>
          <w:rFonts w:ascii="Arial" w:eastAsia="Calibri" w:hAnsi="Arial" w:cs="Arial"/>
          <w:sz w:val="24"/>
          <w:szCs w:val="24"/>
        </w:rPr>
        <w:t>e first respondent is in my view entitled</w:t>
      </w:r>
      <w:r w:rsidR="000E25D4">
        <w:rPr>
          <w:rFonts w:ascii="Arial" w:eastAsia="Calibri" w:hAnsi="Arial" w:cs="Arial"/>
          <w:sz w:val="24"/>
          <w:szCs w:val="24"/>
        </w:rPr>
        <w:t xml:space="preserve"> </w:t>
      </w:r>
      <w:r w:rsidR="00381F6C">
        <w:rPr>
          <w:rFonts w:ascii="Arial" w:eastAsia="Calibri" w:hAnsi="Arial" w:cs="Arial"/>
          <w:sz w:val="24"/>
          <w:szCs w:val="24"/>
        </w:rPr>
        <w:t>to</w:t>
      </w:r>
      <w:r w:rsidR="000E25D4">
        <w:rPr>
          <w:rFonts w:ascii="Arial" w:eastAsia="Calibri" w:hAnsi="Arial" w:cs="Arial"/>
          <w:sz w:val="24"/>
          <w:szCs w:val="24"/>
        </w:rPr>
        <w:t xml:space="preserve"> the</w:t>
      </w:r>
      <w:r w:rsidR="00381F6C">
        <w:rPr>
          <w:rFonts w:ascii="Arial" w:eastAsia="Calibri" w:hAnsi="Arial" w:cs="Arial"/>
          <w:sz w:val="24"/>
          <w:szCs w:val="24"/>
        </w:rPr>
        <w:t xml:space="preserve"> return of the</w:t>
      </w:r>
      <w:r w:rsidR="000E25D4">
        <w:rPr>
          <w:rFonts w:ascii="Arial" w:eastAsia="Calibri" w:hAnsi="Arial" w:cs="Arial"/>
          <w:sz w:val="24"/>
          <w:szCs w:val="24"/>
        </w:rPr>
        <w:t xml:space="preserve"> title deed and keys.</w:t>
      </w:r>
      <w:r w:rsidRPr="002A5631">
        <w:rPr>
          <w:rFonts w:ascii="Arial" w:eastAsia="Calibri" w:hAnsi="Arial" w:cs="Arial"/>
          <w:sz w:val="24"/>
          <w:szCs w:val="24"/>
        </w:rPr>
        <w:t xml:space="preserve"> </w:t>
      </w:r>
    </w:p>
    <w:p w14:paraId="0C2A6A52" w14:textId="3E305E10" w:rsidR="00EB7C4E" w:rsidRPr="002A5631" w:rsidRDefault="00EB7C4E" w:rsidP="00A6674F">
      <w:pPr>
        <w:spacing w:after="0" w:line="360" w:lineRule="auto"/>
        <w:contextualSpacing/>
        <w:jc w:val="both"/>
        <w:rPr>
          <w:rFonts w:ascii="Arial" w:eastAsia="Calibri" w:hAnsi="Arial" w:cs="Arial"/>
          <w:sz w:val="24"/>
          <w:szCs w:val="24"/>
        </w:rPr>
      </w:pPr>
    </w:p>
    <w:p w14:paraId="60955DBF" w14:textId="4A6F2BEB" w:rsidR="000A744E" w:rsidRPr="002A5631" w:rsidRDefault="000A744E" w:rsidP="00A6674F">
      <w:pPr>
        <w:spacing w:after="0" w:line="360" w:lineRule="auto"/>
        <w:contextualSpacing/>
        <w:jc w:val="both"/>
        <w:rPr>
          <w:rFonts w:ascii="Arial" w:eastAsia="Calibri" w:hAnsi="Arial" w:cs="Arial"/>
          <w:b/>
          <w:sz w:val="24"/>
          <w:szCs w:val="24"/>
        </w:rPr>
      </w:pPr>
      <w:r w:rsidRPr="002A5631">
        <w:rPr>
          <w:rFonts w:ascii="Arial" w:eastAsia="Calibri" w:hAnsi="Arial" w:cs="Arial"/>
          <w:b/>
          <w:sz w:val="24"/>
          <w:szCs w:val="24"/>
        </w:rPr>
        <w:t>Costs</w:t>
      </w:r>
    </w:p>
    <w:p w14:paraId="1A653B1B" w14:textId="5D407195" w:rsidR="00EB7C4E" w:rsidRPr="002A5631" w:rsidRDefault="00EB7C4E" w:rsidP="00A6674F">
      <w:pPr>
        <w:spacing w:after="0" w:line="360" w:lineRule="auto"/>
        <w:contextualSpacing/>
        <w:jc w:val="both"/>
        <w:rPr>
          <w:rFonts w:ascii="Arial" w:eastAsia="Calibri" w:hAnsi="Arial" w:cs="Arial"/>
          <w:sz w:val="24"/>
          <w:szCs w:val="24"/>
        </w:rPr>
      </w:pPr>
      <w:r w:rsidRPr="002A5631">
        <w:rPr>
          <w:rFonts w:ascii="Arial" w:eastAsia="Calibri" w:hAnsi="Arial" w:cs="Arial"/>
          <w:sz w:val="24"/>
          <w:szCs w:val="24"/>
        </w:rPr>
        <w:t>[4</w:t>
      </w:r>
      <w:r w:rsidR="00CC7C62">
        <w:rPr>
          <w:rFonts w:ascii="Arial" w:eastAsia="Calibri" w:hAnsi="Arial" w:cs="Arial"/>
          <w:sz w:val="24"/>
          <w:szCs w:val="24"/>
        </w:rPr>
        <w:t>5</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As far as costs are concerned, I have no reason to deviate from the usual approach, namely that costs should follow the result. The first respondent has asked for costs on a punitive scale against the applicant in her counter</w:t>
      </w:r>
      <w:r w:rsidR="00A121BC" w:rsidRPr="002A5631">
        <w:rPr>
          <w:rFonts w:ascii="Arial" w:eastAsia="Calibri" w:hAnsi="Arial" w:cs="Arial"/>
          <w:sz w:val="24"/>
          <w:szCs w:val="24"/>
        </w:rPr>
        <w:t>-</w:t>
      </w:r>
      <w:r w:rsidRPr="002A5631">
        <w:rPr>
          <w:rFonts w:ascii="Arial" w:eastAsia="Calibri" w:hAnsi="Arial" w:cs="Arial"/>
          <w:sz w:val="24"/>
          <w:szCs w:val="24"/>
        </w:rPr>
        <w:t xml:space="preserve">application. </w:t>
      </w:r>
      <w:r w:rsidR="0020116B" w:rsidRPr="002A5631">
        <w:rPr>
          <w:rFonts w:ascii="Arial" w:eastAsia="Calibri" w:hAnsi="Arial" w:cs="Arial"/>
          <w:sz w:val="24"/>
          <w:szCs w:val="24"/>
        </w:rPr>
        <w:t>I am not convinced that such an order is justified</w:t>
      </w:r>
      <w:r w:rsidR="009D3B2F" w:rsidRPr="002A5631">
        <w:rPr>
          <w:rFonts w:ascii="Arial" w:eastAsia="Calibri" w:hAnsi="Arial" w:cs="Arial"/>
          <w:sz w:val="24"/>
          <w:szCs w:val="24"/>
        </w:rPr>
        <w:t xml:space="preserve"> and exercise my discretion against such an order.</w:t>
      </w:r>
    </w:p>
    <w:p w14:paraId="2FE07004" w14:textId="66D53F51" w:rsidR="0020116B" w:rsidRPr="002A5631" w:rsidRDefault="0020116B" w:rsidP="00A6674F">
      <w:pPr>
        <w:spacing w:after="0" w:line="360" w:lineRule="auto"/>
        <w:contextualSpacing/>
        <w:jc w:val="both"/>
        <w:rPr>
          <w:rFonts w:ascii="Arial" w:eastAsia="Calibri" w:hAnsi="Arial" w:cs="Arial"/>
          <w:sz w:val="24"/>
          <w:szCs w:val="24"/>
        </w:rPr>
      </w:pPr>
    </w:p>
    <w:p w14:paraId="1DEAE789" w14:textId="3EF7DF21" w:rsidR="00F84090" w:rsidRPr="002A5631" w:rsidRDefault="00F84090" w:rsidP="00A6674F">
      <w:pPr>
        <w:spacing w:after="0" w:line="360" w:lineRule="auto"/>
        <w:contextualSpacing/>
        <w:jc w:val="both"/>
        <w:rPr>
          <w:rFonts w:ascii="Arial" w:eastAsia="Calibri" w:hAnsi="Arial" w:cs="Arial"/>
          <w:b/>
          <w:sz w:val="24"/>
          <w:szCs w:val="24"/>
        </w:rPr>
      </w:pPr>
      <w:r w:rsidRPr="002A5631">
        <w:rPr>
          <w:rFonts w:ascii="Arial" w:eastAsia="Calibri" w:hAnsi="Arial" w:cs="Arial"/>
          <w:b/>
          <w:sz w:val="24"/>
          <w:szCs w:val="24"/>
        </w:rPr>
        <w:t>Order</w:t>
      </w:r>
    </w:p>
    <w:p w14:paraId="4D99A1DC" w14:textId="49E0CB70" w:rsidR="008C3373" w:rsidRPr="002A5631" w:rsidRDefault="0020116B" w:rsidP="00A6674F">
      <w:pPr>
        <w:spacing w:after="0" w:line="360" w:lineRule="auto"/>
        <w:contextualSpacing/>
        <w:rPr>
          <w:rFonts w:ascii="Arial" w:eastAsia="Times New Roman" w:hAnsi="Arial" w:cs="Arial"/>
          <w:bCs/>
          <w:sz w:val="24"/>
          <w:szCs w:val="24"/>
          <w:lang w:eastAsia="en-GB"/>
        </w:rPr>
      </w:pPr>
      <w:r w:rsidRPr="002A5631">
        <w:rPr>
          <w:rFonts w:ascii="Arial" w:eastAsia="Calibri" w:hAnsi="Arial" w:cs="Arial"/>
          <w:sz w:val="24"/>
          <w:szCs w:val="24"/>
        </w:rPr>
        <w:t>[4</w:t>
      </w:r>
      <w:r w:rsidR="00CC7C62">
        <w:rPr>
          <w:rFonts w:ascii="Arial" w:eastAsia="Calibri" w:hAnsi="Arial" w:cs="Arial"/>
          <w:sz w:val="24"/>
          <w:szCs w:val="24"/>
        </w:rPr>
        <w:t>6</w:t>
      </w:r>
      <w:r w:rsidRPr="002A5631">
        <w:rPr>
          <w:rFonts w:ascii="Arial" w:eastAsia="Calibri" w:hAnsi="Arial" w:cs="Arial"/>
          <w:sz w:val="24"/>
          <w:szCs w:val="24"/>
        </w:rPr>
        <w:t>]</w:t>
      </w:r>
      <w:r w:rsidR="00F84090" w:rsidRPr="002A5631">
        <w:rPr>
          <w:rFonts w:ascii="Arial" w:eastAsia="Calibri" w:hAnsi="Arial" w:cs="Arial"/>
          <w:sz w:val="24"/>
          <w:szCs w:val="24"/>
        </w:rPr>
        <w:tab/>
      </w:r>
      <w:r w:rsidRPr="002A5631">
        <w:rPr>
          <w:rFonts w:ascii="Arial" w:eastAsia="Calibri" w:hAnsi="Arial" w:cs="Arial"/>
          <w:sz w:val="24"/>
          <w:szCs w:val="24"/>
        </w:rPr>
        <w:t>I accordingly make the following order:</w:t>
      </w:r>
      <w:r w:rsidR="008C3373" w:rsidRPr="002A5631">
        <w:rPr>
          <w:rFonts w:ascii="Arial" w:eastAsia="Times New Roman" w:hAnsi="Arial" w:cs="Arial"/>
          <w:bCs/>
          <w:sz w:val="24"/>
          <w:szCs w:val="24"/>
          <w:lang w:eastAsia="en-GB"/>
        </w:rPr>
        <w:t xml:space="preserve"> </w:t>
      </w:r>
    </w:p>
    <w:p w14:paraId="0EFE1C86" w14:textId="250261CC" w:rsidR="008C3373" w:rsidRPr="002A5631" w:rsidRDefault="008C3373" w:rsidP="00F84090">
      <w:pPr>
        <w:spacing w:after="0" w:line="360" w:lineRule="auto"/>
        <w:contextualSpacing/>
        <w:jc w:val="both"/>
        <w:rPr>
          <w:rFonts w:ascii="Arial" w:eastAsia="Times New Roman" w:hAnsi="Arial" w:cs="Arial"/>
          <w:bCs/>
          <w:sz w:val="24"/>
          <w:szCs w:val="24"/>
          <w:lang w:eastAsia="en-GB"/>
        </w:rPr>
      </w:pPr>
      <w:r w:rsidRPr="002A5631">
        <w:rPr>
          <w:rFonts w:ascii="Arial" w:eastAsia="Times New Roman" w:hAnsi="Arial" w:cs="Arial"/>
          <w:bCs/>
          <w:sz w:val="24"/>
          <w:szCs w:val="24"/>
          <w:lang w:eastAsia="en-GB"/>
        </w:rPr>
        <w:t>1.</w:t>
      </w:r>
      <w:r w:rsidR="00F84090" w:rsidRPr="002A5631">
        <w:rPr>
          <w:rFonts w:ascii="Arial" w:eastAsia="Times New Roman" w:hAnsi="Arial" w:cs="Arial"/>
          <w:bCs/>
          <w:sz w:val="24"/>
          <w:szCs w:val="24"/>
          <w:lang w:eastAsia="en-GB"/>
        </w:rPr>
        <w:tab/>
      </w:r>
      <w:r w:rsidRPr="002A5631">
        <w:rPr>
          <w:rFonts w:ascii="Arial" w:eastAsia="Times New Roman" w:hAnsi="Arial" w:cs="Arial"/>
          <w:bCs/>
          <w:sz w:val="24"/>
          <w:szCs w:val="24"/>
          <w:lang w:eastAsia="en-GB"/>
        </w:rPr>
        <w:t xml:space="preserve">The </w:t>
      </w:r>
      <w:r w:rsidR="00A121BC" w:rsidRPr="002A5631">
        <w:rPr>
          <w:rFonts w:ascii="Arial" w:eastAsia="Times New Roman" w:hAnsi="Arial" w:cs="Arial"/>
          <w:bCs/>
          <w:sz w:val="24"/>
          <w:szCs w:val="24"/>
          <w:lang w:eastAsia="en-GB"/>
        </w:rPr>
        <w:t xml:space="preserve">applicant’s </w:t>
      </w:r>
      <w:r w:rsidRPr="002A5631">
        <w:rPr>
          <w:rFonts w:ascii="Arial" w:eastAsia="Times New Roman" w:hAnsi="Arial" w:cs="Arial"/>
          <w:bCs/>
          <w:sz w:val="24"/>
          <w:szCs w:val="24"/>
          <w:lang w:eastAsia="en-GB"/>
        </w:rPr>
        <w:t>application</w:t>
      </w:r>
      <w:r w:rsidR="00521F25">
        <w:rPr>
          <w:rFonts w:ascii="Arial" w:eastAsia="Times New Roman" w:hAnsi="Arial" w:cs="Arial"/>
          <w:bCs/>
          <w:sz w:val="24"/>
          <w:szCs w:val="24"/>
          <w:lang w:eastAsia="en-GB"/>
        </w:rPr>
        <w:t>, which includes the application for referral to oral evidence,</w:t>
      </w:r>
      <w:r w:rsidRPr="002A5631">
        <w:rPr>
          <w:rFonts w:ascii="Arial" w:eastAsia="Times New Roman" w:hAnsi="Arial" w:cs="Arial"/>
          <w:bCs/>
          <w:sz w:val="24"/>
          <w:szCs w:val="24"/>
          <w:lang w:eastAsia="en-GB"/>
        </w:rPr>
        <w:t xml:space="preserve"> is dismissed with costs.</w:t>
      </w:r>
    </w:p>
    <w:p w14:paraId="4598F594" w14:textId="074D8265" w:rsidR="008C3373" w:rsidRPr="002A5631" w:rsidRDefault="008C3373" w:rsidP="00F84090">
      <w:pPr>
        <w:spacing w:after="0" w:line="360" w:lineRule="auto"/>
        <w:contextualSpacing/>
        <w:jc w:val="both"/>
        <w:rPr>
          <w:rFonts w:ascii="Arial" w:eastAsia="Times New Roman" w:hAnsi="Arial" w:cs="Arial"/>
          <w:bCs/>
          <w:sz w:val="24"/>
          <w:szCs w:val="24"/>
          <w:lang w:eastAsia="en-GB"/>
        </w:rPr>
      </w:pPr>
      <w:r w:rsidRPr="002A5631">
        <w:rPr>
          <w:rFonts w:ascii="Arial" w:eastAsia="Times New Roman" w:hAnsi="Arial" w:cs="Arial"/>
          <w:bCs/>
          <w:sz w:val="24"/>
          <w:szCs w:val="24"/>
          <w:lang w:eastAsia="en-GB"/>
        </w:rPr>
        <w:t>2.</w:t>
      </w:r>
      <w:r w:rsidR="00F84090" w:rsidRPr="002A5631">
        <w:rPr>
          <w:rFonts w:ascii="Arial" w:eastAsia="Times New Roman" w:hAnsi="Arial" w:cs="Arial"/>
          <w:bCs/>
          <w:sz w:val="24"/>
          <w:szCs w:val="24"/>
          <w:lang w:eastAsia="en-GB"/>
        </w:rPr>
        <w:tab/>
      </w:r>
      <w:r w:rsidRPr="002A5631">
        <w:rPr>
          <w:rFonts w:ascii="Arial" w:eastAsia="Times New Roman" w:hAnsi="Arial" w:cs="Arial"/>
          <w:bCs/>
          <w:sz w:val="24"/>
          <w:szCs w:val="24"/>
          <w:lang w:eastAsia="en-GB"/>
        </w:rPr>
        <w:t>The respondent’s counter</w:t>
      </w:r>
      <w:r w:rsidR="00A121BC" w:rsidRPr="002A5631">
        <w:rPr>
          <w:rFonts w:ascii="Arial" w:eastAsia="Times New Roman" w:hAnsi="Arial" w:cs="Arial"/>
          <w:bCs/>
          <w:sz w:val="24"/>
          <w:szCs w:val="24"/>
          <w:lang w:eastAsia="en-GB"/>
        </w:rPr>
        <w:t>-</w:t>
      </w:r>
      <w:r w:rsidRPr="002A5631">
        <w:rPr>
          <w:rFonts w:ascii="Arial" w:eastAsia="Times New Roman" w:hAnsi="Arial" w:cs="Arial"/>
          <w:bCs/>
          <w:sz w:val="24"/>
          <w:szCs w:val="24"/>
          <w:lang w:eastAsia="en-GB"/>
        </w:rPr>
        <w:t>application succeeds.</w:t>
      </w:r>
    </w:p>
    <w:p w14:paraId="181211C0" w14:textId="78A0CD25" w:rsidR="008C3373" w:rsidRPr="002A5631" w:rsidRDefault="00F84090" w:rsidP="00F84090">
      <w:pPr>
        <w:spacing w:after="0" w:line="360" w:lineRule="auto"/>
        <w:contextualSpacing/>
        <w:jc w:val="both"/>
        <w:rPr>
          <w:rFonts w:ascii="Arial" w:eastAsia="Times New Roman" w:hAnsi="Arial" w:cs="Arial"/>
          <w:bCs/>
          <w:sz w:val="24"/>
          <w:szCs w:val="24"/>
          <w:lang w:eastAsia="en-GB"/>
        </w:rPr>
      </w:pPr>
      <w:r w:rsidRPr="002A5631">
        <w:rPr>
          <w:rFonts w:ascii="Arial" w:eastAsia="Times New Roman" w:hAnsi="Arial" w:cs="Arial"/>
          <w:bCs/>
          <w:sz w:val="24"/>
          <w:szCs w:val="24"/>
          <w:lang w:eastAsia="en-GB"/>
        </w:rPr>
        <w:t>3.</w:t>
      </w:r>
      <w:r w:rsidRPr="002A5631">
        <w:rPr>
          <w:rFonts w:ascii="Arial" w:eastAsia="Times New Roman" w:hAnsi="Arial" w:cs="Arial"/>
          <w:bCs/>
          <w:sz w:val="24"/>
          <w:szCs w:val="24"/>
          <w:lang w:eastAsia="en-GB"/>
        </w:rPr>
        <w:tab/>
      </w:r>
      <w:r w:rsidR="008C3373" w:rsidRPr="002A5631">
        <w:rPr>
          <w:rFonts w:ascii="Arial" w:eastAsia="Times New Roman" w:hAnsi="Arial" w:cs="Arial"/>
          <w:bCs/>
          <w:sz w:val="24"/>
          <w:szCs w:val="24"/>
          <w:lang w:eastAsia="en-GB"/>
        </w:rPr>
        <w:t xml:space="preserve">The applicant is directed to return the keys and title deed in respect of the property described as Erf </w:t>
      </w:r>
      <w:r w:rsidR="00CB2722">
        <w:rPr>
          <w:rFonts w:ascii="Arial" w:eastAsia="Times New Roman" w:hAnsi="Arial" w:cs="Arial"/>
          <w:bCs/>
          <w:sz w:val="24"/>
          <w:szCs w:val="24"/>
          <w:lang w:eastAsia="en-GB"/>
        </w:rPr>
        <w:t>[…</w:t>
      </w:r>
      <w:proofErr w:type="gramStart"/>
      <w:r w:rsidR="00CB2722">
        <w:rPr>
          <w:rFonts w:ascii="Arial" w:eastAsia="Times New Roman" w:hAnsi="Arial" w:cs="Arial"/>
          <w:bCs/>
          <w:sz w:val="24"/>
          <w:szCs w:val="24"/>
          <w:lang w:eastAsia="en-GB"/>
        </w:rPr>
        <w:t>]</w:t>
      </w:r>
      <w:r w:rsidR="008C3373" w:rsidRPr="002A5631">
        <w:rPr>
          <w:rFonts w:ascii="Arial" w:eastAsia="Times New Roman" w:hAnsi="Arial" w:cs="Arial"/>
          <w:bCs/>
          <w:sz w:val="24"/>
          <w:szCs w:val="24"/>
          <w:lang w:eastAsia="en-GB"/>
        </w:rPr>
        <w:t xml:space="preserve"> ,</w:t>
      </w:r>
      <w:proofErr w:type="gramEnd"/>
      <w:r w:rsidR="008C3373" w:rsidRPr="002A5631">
        <w:rPr>
          <w:rFonts w:ascii="Arial" w:eastAsia="Times New Roman" w:hAnsi="Arial" w:cs="Arial"/>
          <w:bCs/>
          <w:sz w:val="24"/>
          <w:szCs w:val="24"/>
          <w:lang w:eastAsia="en-GB"/>
        </w:rPr>
        <w:t xml:space="preserve"> Registration Division FU,</w:t>
      </w:r>
      <w:r w:rsidR="009D3B2F" w:rsidRPr="002A5631">
        <w:rPr>
          <w:rFonts w:ascii="Arial" w:eastAsia="Times New Roman" w:hAnsi="Arial" w:cs="Arial"/>
          <w:bCs/>
          <w:sz w:val="24"/>
          <w:szCs w:val="24"/>
          <w:lang w:eastAsia="en-GB"/>
        </w:rPr>
        <w:t xml:space="preserve"> s</w:t>
      </w:r>
      <w:r w:rsidR="008C3373" w:rsidRPr="002A5631">
        <w:rPr>
          <w:rFonts w:ascii="Arial" w:eastAsia="Times New Roman" w:hAnsi="Arial" w:cs="Arial"/>
          <w:bCs/>
          <w:sz w:val="24"/>
          <w:szCs w:val="24"/>
          <w:lang w:eastAsia="en-GB"/>
        </w:rPr>
        <w:t xml:space="preserve">ituated in the Dolphin Coast Local Authority Area, Province of KwaZulu-Natal, measuring 300 (three hundred) square metres, and held by Certificate of Registered Title No </w:t>
      </w:r>
      <w:r w:rsidR="009D3B2F" w:rsidRPr="002A5631">
        <w:rPr>
          <w:rFonts w:ascii="Arial" w:eastAsia="Times New Roman" w:hAnsi="Arial" w:cs="Arial"/>
          <w:bCs/>
          <w:sz w:val="24"/>
          <w:szCs w:val="24"/>
          <w:lang w:eastAsia="en-GB"/>
        </w:rPr>
        <w:t>T</w:t>
      </w:r>
      <w:r w:rsidR="008C3373" w:rsidRPr="002A5631">
        <w:rPr>
          <w:rFonts w:ascii="Arial" w:eastAsia="Times New Roman" w:hAnsi="Arial" w:cs="Arial"/>
          <w:bCs/>
          <w:sz w:val="24"/>
          <w:szCs w:val="24"/>
          <w:lang w:eastAsia="en-GB"/>
        </w:rPr>
        <w:t xml:space="preserve"> </w:t>
      </w:r>
      <w:r w:rsidR="00CB2722">
        <w:rPr>
          <w:rFonts w:ascii="Arial" w:eastAsia="Times New Roman" w:hAnsi="Arial" w:cs="Arial"/>
          <w:bCs/>
          <w:sz w:val="24"/>
          <w:szCs w:val="24"/>
          <w:lang w:eastAsia="en-GB"/>
        </w:rPr>
        <w:t>[…]</w:t>
      </w:r>
      <w:bookmarkStart w:id="6" w:name="_GoBack"/>
      <w:bookmarkEnd w:id="6"/>
      <w:r w:rsidR="008C3373" w:rsidRPr="002A5631">
        <w:rPr>
          <w:rFonts w:ascii="Arial" w:eastAsia="Times New Roman" w:hAnsi="Arial" w:cs="Arial"/>
          <w:bCs/>
          <w:sz w:val="24"/>
          <w:szCs w:val="24"/>
          <w:lang w:eastAsia="en-GB"/>
        </w:rPr>
        <w:t>, within 5</w:t>
      </w:r>
      <w:r w:rsidR="00A121BC" w:rsidRPr="002A5631">
        <w:rPr>
          <w:rFonts w:ascii="Arial" w:eastAsia="Times New Roman" w:hAnsi="Arial" w:cs="Arial"/>
          <w:bCs/>
          <w:sz w:val="24"/>
          <w:szCs w:val="24"/>
          <w:lang w:eastAsia="en-GB"/>
        </w:rPr>
        <w:t xml:space="preserve"> </w:t>
      </w:r>
      <w:r w:rsidR="008C3373" w:rsidRPr="002A5631">
        <w:rPr>
          <w:rFonts w:ascii="Arial" w:eastAsia="Times New Roman" w:hAnsi="Arial" w:cs="Arial"/>
          <w:bCs/>
          <w:sz w:val="24"/>
          <w:szCs w:val="24"/>
          <w:lang w:eastAsia="en-GB"/>
        </w:rPr>
        <w:t>(five) days of service of this order.</w:t>
      </w:r>
    </w:p>
    <w:p w14:paraId="083FA435" w14:textId="43900381" w:rsidR="008C3373" w:rsidRPr="002A5631" w:rsidRDefault="008C3373" w:rsidP="00F84090">
      <w:pPr>
        <w:spacing w:after="0" w:line="360" w:lineRule="auto"/>
        <w:contextualSpacing/>
        <w:jc w:val="both"/>
        <w:rPr>
          <w:rFonts w:ascii="Arial" w:eastAsia="Times New Roman" w:hAnsi="Arial" w:cs="Arial"/>
          <w:bCs/>
          <w:sz w:val="24"/>
          <w:szCs w:val="24"/>
          <w:u w:val="single"/>
          <w:lang w:eastAsia="en-GB"/>
        </w:rPr>
      </w:pPr>
      <w:r w:rsidRPr="002A5631">
        <w:rPr>
          <w:rFonts w:ascii="Arial" w:eastAsia="Times New Roman" w:hAnsi="Arial" w:cs="Arial"/>
          <w:bCs/>
          <w:sz w:val="24"/>
          <w:szCs w:val="24"/>
          <w:lang w:eastAsia="en-GB"/>
        </w:rPr>
        <w:t>4.</w:t>
      </w:r>
      <w:r w:rsidR="00F84090" w:rsidRPr="002A5631">
        <w:rPr>
          <w:rFonts w:ascii="Arial" w:eastAsia="Times New Roman" w:hAnsi="Arial" w:cs="Arial"/>
          <w:bCs/>
          <w:sz w:val="24"/>
          <w:szCs w:val="24"/>
          <w:lang w:eastAsia="en-GB"/>
        </w:rPr>
        <w:tab/>
      </w:r>
      <w:r w:rsidRPr="002A5631">
        <w:rPr>
          <w:rFonts w:ascii="Arial" w:eastAsia="Times New Roman" w:hAnsi="Arial" w:cs="Arial"/>
          <w:bCs/>
          <w:sz w:val="24"/>
          <w:szCs w:val="24"/>
          <w:lang w:eastAsia="en-GB"/>
        </w:rPr>
        <w:t>The applicant is directed to pay the costs of the counter</w:t>
      </w:r>
      <w:r w:rsidR="000E0083">
        <w:rPr>
          <w:rFonts w:ascii="Arial" w:eastAsia="Times New Roman" w:hAnsi="Arial" w:cs="Arial"/>
          <w:bCs/>
          <w:sz w:val="24"/>
          <w:szCs w:val="24"/>
          <w:lang w:eastAsia="en-GB"/>
        </w:rPr>
        <w:t>-</w:t>
      </w:r>
      <w:r w:rsidRPr="002A5631">
        <w:rPr>
          <w:rFonts w:ascii="Arial" w:eastAsia="Times New Roman" w:hAnsi="Arial" w:cs="Arial"/>
          <w:bCs/>
          <w:sz w:val="24"/>
          <w:szCs w:val="24"/>
          <w:lang w:eastAsia="en-GB"/>
        </w:rPr>
        <w:t>application.</w:t>
      </w:r>
    </w:p>
    <w:p w14:paraId="0C8B343D" w14:textId="77777777" w:rsidR="008C3373" w:rsidRPr="002A5631" w:rsidRDefault="008C3373" w:rsidP="00A6674F">
      <w:pPr>
        <w:pStyle w:val="ListParagraph"/>
        <w:spacing w:after="0" w:line="360" w:lineRule="auto"/>
        <w:rPr>
          <w:rFonts w:ascii="Arial" w:eastAsia="Times New Roman" w:hAnsi="Arial" w:cs="Arial"/>
          <w:bCs/>
          <w:sz w:val="24"/>
          <w:szCs w:val="24"/>
          <w:u w:val="single"/>
          <w:lang w:eastAsia="en-GB"/>
        </w:rPr>
      </w:pPr>
    </w:p>
    <w:p w14:paraId="442EF15F" w14:textId="535FB75D" w:rsidR="0020116B" w:rsidRPr="002A5631" w:rsidRDefault="0020116B" w:rsidP="007D2066">
      <w:pPr>
        <w:spacing w:after="0" w:line="360" w:lineRule="auto"/>
        <w:contextualSpacing/>
        <w:jc w:val="both"/>
        <w:rPr>
          <w:rFonts w:ascii="Arial" w:eastAsia="Calibri" w:hAnsi="Arial" w:cs="Arial"/>
          <w:sz w:val="24"/>
          <w:szCs w:val="24"/>
        </w:rPr>
      </w:pPr>
    </w:p>
    <w:p w14:paraId="69E8B205" w14:textId="499ECB31" w:rsidR="008C3373" w:rsidRPr="002A5631" w:rsidRDefault="008C3373" w:rsidP="007D2066">
      <w:pPr>
        <w:spacing w:after="0" w:line="360" w:lineRule="auto"/>
        <w:contextualSpacing/>
        <w:jc w:val="both"/>
        <w:rPr>
          <w:rFonts w:ascii="Arial" w:eastAsia="Calibri" w:hAnsi="Arial" w:cs="Arial"/>
          <w:sz w:val="24"/>
          <w:szCs w:val="24"/>
        </w:rPr>
      </w:pPr>
    </w:p>
    <w:p w14:paraId="4EC133E4" w14:textId="77777777" w:rsidR="0020116B" w:rsidRPr="002A5631" w:rsidRDefault="0020116B" w:rsidP="007D2066">
      <w:pPr>
        <w:spacing w:after="0" w:line="360" w:lineRule="auto"/>
        <w:contextualSpacing/>
        <w:jc w:val="both"/>
        <w:rPr>
          <w:rFonts w:ascii="Arial" w:eastAsia="Calibri" w:hAnsi="Arial" w:cs="Arial"/>
          <w:sz w:val="24"/>
          <w:szCs w:val="24"/>
        </w:rPr>
      </w:pPr>
    </w:p>
    <w:p w14:paraId="358194E7" w14:textId="77777777" w:rsidR="002C4999" w:rsidRPr="002A5631" w:rsidRDefault="002C4999" w:rsidP="007D2066">
      <w:pPr>
        <w:spacing w:after="0" w:line="360" w:lineRule="auto"/>
        <w:contextualSpacing/>
        <w:jc w:val="both"/>
        <w:rPr>
          <w:rFonts w:ascii="Arial" w:eastAsia="Calibri" w:hAnsi="Arial" w:cs="Arial"/>
          <w:sz w:val="20"/>
          <w:szCs w:val="20"/>
        </w:rPr>
      </w:pPr>
    </w:p>
    <w:p w14:paraId="4772F360" w14:textId="160CDA01" w:rsidR="00CA73C6" w:rsidRPr="002A5631" w:rsidRDefault="00CA73C6" w:rsidP="007F1A47">
      <w:pPr>
        <w:tabs>
          <w:tab w:val="left" w:pos="5745"/>
        </w:tabs>
        <w:spacing w:after="0" w:line="360" w:lineRule="auto"/>
        <w:contextualSpacing/>
        <w:jc w:val="both"/>
        <w:rPr>
          <w:rFonts w:ascii="Arial" w:eastAsia="Times New Roman" w:hAnsi="Arial" w:cs="Arial"/>
          <w:sz w:val="24"/>
          <w:szCs w:val="24"/>
          <w:vertAlign w:val="superscript"/>
          <w:lang w:eastAsia="en-GB"/>
        </w:rPr>
      </w:pPr>
    </w:p>
    <w:p w14:paraId="061424A5" w14:textId="28FD90ED" w:rsidR="002644AA" w:rsidRPr="002A5631" w:rsidRDefault="002644AA" w:rsidP="007F1A47">
      <w:pPr>
        <w:tabs>
          <w:tab w:val="left" w:pos="5745"/>
        </w:tabs>
        <w:spacing w:after="0" w:line="360" w:lineRule="auto"/>
        <w:contextualSpacing/>
        <w:jc w:val="both"/>
        <w:rPr>
          <w:rFonts w:ascii="Arial" w:eastAsia="Times New Roman" w:hAnsi="Arial" w:cs="Arial"/>
          <w:sz w:val="24"/>
          <w:szCs w:val="24"/>
          <w:vertAlign w:val="superscript"/>
          <w:lang w:eastAsia="en-GB"/>
        </w:rPr>
      </w:pPr>
    </w:p>
    <w:p w14:paraId="22ADAAA4" w14:textId="50BE7E6E" w:rsidR="002644AA" w:rsidRPr="002A5631" w:rsidRDefault="002644AA" w:rsidP="002644AA">
      <w:pPr>
        <w:tabs>
          <w:tab w:val="left" w:pos="5745"/>
        </w:tabs>
        <w:spacing w:after="0" w:line="360" w:lineRule="auto"/>
        <w:contextualSpacing/>
        <w:jc w:val="right"/>
        <w:rPr>
          <w:rFonts w:ascii="Arial" w:eastAsia="Times New Roman" w:hAnsi="Arial" w:cs="Arial"/>
          <w:b/>
          <w:sz w:val="24"/>
          <w:szCs w:val="24"/>
          <w:lang w:eastAsia="en-GB"/>
        </w:rPr>
      </w:pPr>
      <w:r w:rsidRPr="002A5631">
        <w:rPr>
          <w:rFonts w:ascii="Arial" w:eastAsia="Times New Roman" w:hAnsi="Arial" w:cs="Arial"/>
          <w:b/>
          <w:sz w:val="24"/>
          <w:szCs w:val="24"/>
          <w:lang w:eastAsia="en-GB"/>
        </w:rPr>
        <w:t>____________________</w:t>
      </w:r>
    </w:p>
    <w:p w14:paraId="6E4DADC3" w14:textId="3BC76D00" w:rsidR="00C3480B" w:rsidRPr="002A5631"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2A5631">
        <w:rPr>
          <w:rFonts w:ascii="Arial" w:eastAsia="Times New Roman" w:hAnsi="Arial" w:cs="Arial"/>
          <w:b/>
          <w:sz w:val="24"/>
          <w:szCs w:val="24"/>
          <w:lang w:eastAsia="en-GB"/>
        </w:rPr>
        <w:tab/>
      </w:r>
      <w:r w:rsidR="00731AED" w:rsidRPr="002A5631">
        <w:rPr>
          <w:rFonts w:ascii="Arial" w:eastAsia="Times New Roman" w:hAnsi="Arial" w:cs="Arial"/>
          <w:b/>
          <w:sz w:val="24"/>
          <w:szCs w:val="24"/>
          <w:lang w:eastAsia="en-GB"/>
        </w:rPr>
        <w:t xml:space="preserve">E </w:t>
      </w:r>
      <w:proofErr w:type="spellStart"/>
      <w:r w:rsidRPr="002A5631">
        <w:rPr>
          <w:rFonts w:ascii="Arial" w:eastAsia="Times New Roman" w:hAnsi="Arial" w:cs="Arial"/>
          <w:b/>
          <w:sz w:val="24"/>
          <w:szCs w:val="24"/>
          <w:lang w:eastAsia="en-GB"/>
        </w:rPr>
        <w:t>Bezuidenhout</w:t>
      </w:r>
      <w:proofErr w:type="spellEnd"/>
      <w:r w:rsidRPr="002A5631">
        <w:rPr>
          <w:rFonts w:ascii="Arial" w:eastAsia="Times New Roman" w:hAnsi="Arial" w:cs="Arial"/>
          <w:b/>
          <w:sz w:val="24"/>
          <w:szCs w:val="24"/>
          <w:lang w:eastAsia="en-GB"/>
        </w:rPr>
        <w:t xml:space="preserve"> J</w:t>
      </w:r>
    </w:p>
    <w:p w14:paraId="00469A65" w14:textId="05E40AA0" w:rsidR="009261BA" w:rsidRPr="002A5631" w:rsidRDefault="009261BA" w:rsidP="007F1A47">
      <w:pPr>
        <w:spacing w:after="0" w:line="360" w:lineRule="auto"/>
        <w:contextualSpacing/>
        <w:jc w:val="both"/>
        <w:rPr>
          <w:rFonts w:ascii="Arial" w:eastAsia="Times New Roman" w:hAnsi="Arial" w:cs="Arial"/>
          <w:sz w:val="24"/>
          <w:szCs w:val="24"/>
          <w:lang w:eastAsia="en-GB"/>
        </w:rPr>
      </w:pPr>
    </w:p>
    <w:p w14:paraId="0E6B9CC3" w14:textId="0F6879CF" w:rsidR="009261BA" w:rsidRPr="002A5631" w:rsidRDefault="009261BA" w:rsidP="007F1A47">
      <w:pPr>
        <w:spacing w:after="0" w:line="360" w:lineRule="auto"/>
        <w:contextualSpacing/>
        <w:jc w:val="both"/>
        <w:rPr>
          <w:rFonts w:ascii="Arial" w:eastAsia="Times New Roman" w:hAnsi="Arial" w:cs="Arial"/>
          <w:sz w:val="24"/>
          <w:szCs w:val="24"/>
          <w:lang w:eastAsia="en-GB"/>
        </w:rPr>
      </w:pPr>
    </w:p>
    <w:p w14:paraId="5C0408B4" w14:textId="355698BC" w:rsidR="00FF3A99" w:rsidRPr="002A5631" w:rsidRDefault="00AD41EE" w:rsidP="007F1A47">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 xml:space="preserve">Date of hearing: </w:t>
      </w:r>
      <w:r w:rsidR="00323503" w:rsidRPr="002A5631">
        <w:rPr>
          <w:rFonts w:ascii="Arial" w:eastAsia="Times New Roman" w:hAnsi="Arial" w:cs="Arial"/>
          <w:sz w:val="24"/>
          <w:szCs w:val="24"/>
          <w:lang w:eastAsia="en-GB"/>
        </w:rPr>
        <w:t>26 February 2024</w:t>
      </w:r>
      <w:r w:rsidR="00C67674" w:rsidRPr="002A5631">
        <w:rPr>
          <w:rFonts w:ascii="Arial" w:eastAsia="Times New Roman" w:hAnsi="Arial" w:cs="Arial"/>
          <w:sz w:val="24"/>
          <w:szCs w:val="24"/>
          <w:lang w:eastAsia="en-GB"/>
        </w:rPr>
        <w:tab/>
      </w:r>
    </w:p>
    <w:p w14:paraId="3C8199B7" w14:textId="2F84F29B" w:rsidR="00AD41EE" w:rsidRPr="002A5631" w:rsidRDefault="00AD41EE" w:rsidP="007F1A47">
      <w:pPr>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 xml:space="preserve">Date of </w:t>
      </w:r>
      <w:r w:rsidR="006F62E8" w:rsidRPr="002A5631">
        <w:rPr>
          <w:rFonts w:ascii="Arial" w:eastAsia="Times New Roman" w:hAnsi="Arial" w:cs="Arial"/>
          <w:sz w:val="24"/>
          <w:szCs w:val="24"/>
          <w:lang w:eastAsia="en-GB"/>
        </w:rPr>
        <w:t>judgment</w:t>
      </w:r>
      <w:r w:rsidRPr="002A5631">
        <w:rPr>
          <w:rFonts w:ascii="Arial" w:eastAsia="Times New Roman" w:hAnsi="Arial" w:cs="Arial"/>
          <w:sz w:val="24"/>
          <w:szCs w:val="24"/>
          <w:lang w:eastAsia="en-GB"/>
        </w:rPr>
        <w:t>:</w:t>
      </w:r>
      <w:r w:rsidR="004E2027" w:rsidRPr="002A5631">
        <w:rPr>
          <w:rFonts w:ascii="Arial" w:eastAsia="Times New Roman" w:hAnsi="Arial" w:cs="Arial"/>
          <w:sz w:val="24"/>
          <w:szCs w:val="24"/>
          <w:lang w:eastAsia="en-GB"/>
        </w:rPr>
        <w:t xml:space="preserve"> </w:t>
      </w:r>
      <w:r w:rsidR="00C67674" w:rsidRPr="002A5631">
        <w:rPr>
          <w:rFonts w:ascii="Arial" w:eastAsia="Times New Roman" w:hAnsi="Arial" w:cs="Arial"/>
          <w:sz w:val="24"/>
          <w:szCs w:val="24"/>
          <w:lang w:eastAsia="en-GB"/>
        </w:rPr>
        <w:tab/>
      </w:r>
      <w:r w:rsidR="00381F6C">
        <w:rPr>
          <w:rFonts w:ascii="Arial" w:eastAsia="Times New Roman" w:hAnsi="Arial" w:cs="Arial"/>
          <w:sz w:val="24"/>
          <w:szCs w:val="24"/>
          <w:lang w:eastAsia="en-GB"/>
        </w:rPr>
        <w:t>28 March 2024</w:t>
      </w:r>
    </w:p>
    <w:p w14:paraId="22CCC993" w14:textId="2E84D566" w:rsidR="00AD41EE" w:rsidRPr="002A5631" w:rsidRDefault="00AD41EE" w:rsidP="007F1A47">
      <w:pPr>
        <w:spacing w:after="0" w:line="360" w:lineRule="auto"/>
        <w:contextualSpacing/>
        <w:jc w:val="both"/>
        <w:rPr>
          <w:rFonts w:ascii="Arial" w:eastAsia="Times New Roman" w:hAnsi="Arial" w:cs="Arial"/>
          <w:sz w:val="24"/>
          <w:szCs w:val="24"/>
          <w:lang w:eastAsia="en-GB"/>
        </w:rPr>
      </w:pPr>
    </w:p>
    <w:p w14:paraId="6ADE0886" w14:textId="77777777" w:rsidR="00731AED" w:rsidRPr="002A5631" w:rsidRDefault="009261BA"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Appearances:</w:t>
      </w:r>
    </w:p>
    <w:p w14:paraId="62FA2254" w14:textId="6ECCBF04" w:rsidR="00731AED" w:rsidRPr="002A5631" w:rsidRDefault="002F2845"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For the applicant</w:t>
      </w:r>
      <w:r w:rsidR="00731AED" w:rsidRPr="002A5631">
        <w:rPr>
          <w:rFonts w:ascii="Arial" w:eastAsia="Times New Roman" w:hAnsi="Arial" w:cs="Arial"/>
          <w:sz w:val="24"/>
          <w:szCs w:val="24"/>
          <w:lang w:eastAsia="en-GB"/>
        </w:rPr>
        <w:t>:</w:t>
      </w:r>
      <w:r w:rsidR="006949D0" w:rsidRPr="002A5631">
        <w:rPr>
          <w:rFonts w:ascii="Arial" w:eastAsia="Times New Roman" w:hAnsi="Arial" w:cs="Arial"/>
          <w:sz w:val="24"/>
          <w:szCs w:val="24"/>
          <w:lang w:eastAsia="en-GB"/>
        </w:rPr>
        <w:t xml:space="preserve"> </w:t>
      </w:r>
      <w:r w:rsidR="00F84090"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Mr </w:t>
      </w:r>
      <w:r w:rsidR="00323503" w:rsidRPr="002A5631">
        <w:rPr>
          <w:rFonts w:ascii="Arial" w:eastAsia="Times New Roman" w:hAnsi="Arial" w:cs="Arial"/>
          <w:sz w:val="24"/>
          <w:szCs w:val="24"/>
          <w:lang w:eastAsia="en-GB"/>
        </w:rPr>
        <w:t xml:space="preserve">P </w:t>
      </w:r>
      <w:proofErr w:type="gramStart"/>
      <w:r w:rsidR="00323503" w:rsidRPr="002A5631">
        <w:rPr>
          <w:rFonts w:ascii="Arial" w:eastAsia="Times New Roman" w:hAnsi="Arial" w:cs="Arial"/>
          <w:sz w:val="24"/>
          <w:szCs w:val="24"/>
          <w:lang w:eastAsia="en-GB"/>
        </w:rPr>
        <w:t>A</w:t>
      </w:r>
      <w:proofErr w:type="gramEnd"/>
      <w:r w:rsidR="00323503" w:rsidRPr="002A5631">
        <w:rPr>
          <w:rFonts w:ascii="Arial" w:eastAsia="Times New Roman" w:hAnsi="Arial" w:cs="Arial"/>
          <w:sz w:val="24"/>
          <w:szCs w:val="24"/>
          <w:lang w:eastAsia="en-GB"/>
        </w:rPr>
        <w:t xml:space="preserve"> </w:t>
      </w:r>
      <w:proofErr w:type="spellStart"/>
      <w:r w:rsidR="00323503" w:rsidRPr="002A5631">
        <w:rPr>
          <w:rFonts w:ascii="Arial" w:eastAsia="Times New Roman" w:hAnsi="Arial" w:cs="Arial"/>
          <w:sz w:val="24"/>
          <w:szCs w:val="24"/>
          <w:lang w:eastAsia="en-GB"/>
        </w:rPr>
        <w:t>Dlamini</w:t>
      </w:r>
      <w:proofErr w:type="spellEnd"/>
    </w:p>
    <w:p w14:paraId="32C95A01" w14:textId="36B4BE9A" w:rsidR="008C3373" w:rsidRPr="002A5631" w:rsidRDefault="00731AED"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Instructed by:</w:t>
      </w:r>
      <w:r w:rsidR="006949D0" w:rsidRPr="002A5631">
        <w:rPr>
          <w:rFonts w:ascii="Arial" w:eastAsia="Times New Roman" w:hAnsi="Arial" w:cs="Arial"/>
          <w:sz w:val="24"/>
          <w:szCs w:val="24"/>
          <w:lang w:eastAsia="en-GB"/>
        </w:rPr>
        <w:t xml:space="preserve"> </w:t>
      </w:r>
      <w:r w:rsidR="00F84090"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Pretorius </w:t>
      </w:r>
      <w:proofErr w:type="spellStart"/>
      <w:r w:rsidR="008C3373" w:rsidRPr="002A5631">
        <w:rPr>
          <w:rFonts w:ascii="Arial" w:eastAsia="Times New Roman" w:hAnsi="Arial" w:cs="Arial"/>
          <w:sz w:val="24"/>
          <w:szCs w:val="24"/>
          <w:lang w:eastAsia="en-GB"/>
        </w:rPr>
        <w:t>Mdletshe</w:t>
      </w:r>
      <w:proofErr w:type="spellEnd"/>
      <w:r w:rsidR="008C3373" w:rsidRPr="002A5631">
        <w:rPr>
          <w:rFonts w:ascii="Arial" w:eastAsia="Times New Roman" w:hAnsi="Arial" w:cs="Arial"/>
          <w:sz w:val="24"/>
          <w:szCs w:val="24"/>
          <w:lang w:eastAsia="en-GB"/>
        </w:rPr>
        <w:t xml:space="preserve"> &amp; Partners</w:t>
      </w:r>
    </w:p>
    <w:p w14:paraId="3915738E" w14:textId="5EC51535"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Suite 5, </w:t>
      </w:r>
      <w:proofErr w:type="spellStart"/>
      <w:r w:rsidR="008C3373" w:rsidRPr="002A5631">
        <w:rPr>
          <w:rFonts w:ascii="Arial" w:eastAsia="Times New Roman" w:hAnsi="Arial" w:cs="Arial"/>
          <w:sz w:val="24"/>
          <w:szCs w:val="24"/>
          <w:lang w:eastAsia="en-GB"/>
        </w:rPr>
        <w:t>Jognoor</w:t>
      </w:r>
      <w:proofErr w:type="spellEnd"/>
      <w:r w:rsidR="008C3373" w:rsidRPr="002A5631">
        <w:rPr>
          <w:rFonts w:ascii="Arial" w:eastAsia="Times New Roman" w:hAnsi="Arial" w:cs="Arial"/>
          <w:sz w:val="24"/>
          <w:szCs w:val="24"/>
          <w:lang w:eastAsia="en-GB"/>
        </w:rPr>
        <w:t xml:space="preserve"> Centre</w:t>
      </w:r>
    </w:p>
    <w:p w14:paraId="68329CC5" w14:textId="6F0D4BDA"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52 </w:t>
      </w:r>
      <w:proofErr w:type="spellStart"/>
      <w:r w:rsidR="008C3373" w:rsidRPr="002A5631">
        <w:rPr>
          <w:rFonts w:ascii="Arial" w:eastAsia="Times New Roman" w:hAnsi="Arial" w:cs="Arial"/>
          <w:sz w:val="24"/>
          <w:szCs w:val="24"/>
          <w:lang w:eastAsia="en-GB"/>
        </w:rPr>
        <w:t>Hullet</w:t>
      </w:r>
      <w:proofErr w:type="spellEnd"/>
      <w:r w:rsidR="008C3373" w:rsidRPr="002A5631">
        <w:rPr>
          <w:rFonts w:ascii="Arial" w:eastAsia="Times New Roman" w:hAnsi="Arial" w:cs="Arial"/>
          <w:sz w:val="24"/>
          <w:szCs w:val="24"/>
          <w:lang w:eastAsia="en-GB"/>
        </w:rPr>
        <w:t xml:space="preserve"> Street</w:t>
      </w:r>
    </w:p>
    <w:p w14:paraId="7104CABD" w14:textId="5CBC7D97"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KwaDukuza</w:t>
      </w:r>
    </w:p>
    <w:p w14:paraId="394C2E7E" w14:textId="2113DB10"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Tel no 032 552 2243</w:t>
      </w:r>
    </w:p>
    <w:p w14:paraId="78FFB5D2" w14:textId="58788068"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Email: </w:t>
      </w:r>
      <w:hyperlink r:id="rId10" w:history="1">
        <w:r w:rsidR="008C3373" w:rsidRPr="002A5631">
          <w:rPr>
            <w:rStyle w:val="Hyperlink"/>
            <w:rFonts w:ascii="Arial" w:eastAsia="Times New Roman" w:hAnsi="Arial" w:cs="Arial"/>
            <w:sz w:val="24"/>
            <w:szCs w:val="24"/>
            <w:lang w:eastAsia="en-GB"/>
          </w:rPr>
          <w:t>pmpattorneys@gmail.com</w:t>
        </w:r>
      </w:hyperlink>
    </w:p>
    <w:p w14:paraId="1E831343" w14:textId="05097D75"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Ref: VV MDLETSHE/FQ/MTHEMBU</w:t>
      </w:r>
    </w:p>
    <w:p w14:paraId="4E2C899D" w14:textId="015D1F79"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c/o </w:t>
      </w:r>
      <w:proofErr w:type="spellStart"/>
      <w:r w:rsidR="008C3373" w:rsidRPr="002A5631">
        <w:rPr>
          <w:rFonts w:ascii="Arial" w:eastAsia="Times New Roman" w:hAnsi="Arial" w:cs="Arial"/>
          <w:sz w:val="24"/>
          <w:szCs w:val="24"/>
          <w:lang w:eastAsia="en-GB"/>
        </w:rPr>
        <w:t>Madonsela</w:t>
      </w:r>
      <w:proofErr w:type="spellEnd"/>
      <w:r w:rsidR="008C3373" w:rsidRPr="002A5631">
        <w:rPr>
          <w:rFonts w:ascii="Arial" w:eastAsia="Times New Roman" w:hAnsi="Arial" w:cs="Arial"/>
          <w:sz w:val="24"/>
          <w:szCs w:val="24"/>
          <w:lang w:eastAsia="en-GB"/>
        </w:rPr>
        <w:t xml:space="preserve"> &amp; Associates</w:t>
      </w:r>
    </w:p>
    <w:p w14:paraId="6DB770FA" w14:textId="38D61879"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1 </w:t>
      </w:r>
      <w:proofErr w:type="spellStart"/>
      <w:r w:rsidR="008C3373" w:rsidRPr="002A5631">
        <w:rPr>
          <w:rFonts w:ascii="Arial" w:eastAsia="Times New Roman" w:hAnsi="Arial" w:cs="Arial"/>
          <w:sz w:val="24"/>
          <w:szCs w:val="24"/>
          <w:lang w:eastAsia="en-GB"/>
        </w:rPr>
        <w:t>st</w:t>
      </w:r>
      <w:proofErr w:type="spellEnd"/>
      <w:r w:rsidR="008C3373" w:rsidRPr="002A5631">
        <w:rPr>
          <w:rFonts w:ascii="Arial" w:eastAsia="Times New Roman" w:hAnsi="Arial" w:cs="Arial"/>
          <w:sz w:val="24"/>
          <w:szCs w:val="24"/>
          <w:lang w:eastAsia="en-GB"/>
        </w:rPr>
        <w:t xml:space="preserve"> Floor Main City Building</w:t>
      </w:r>
    </w:p>
    <w:p w14:paraId="341B69CC" w14:textId="7D9F15F5" w:rsidR="008C3373"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210 Langalibalele Street</w:t>
      </w:r>
    </w:p>
    <w:p w14:paraId="2BEB54F0" w14:textId="50E9342B"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 Pietermaritzburg</w:t>
      </w:r>
    </w:p>
    <w:p w14:paraId="36833CDC" w14:textId="0DAB9760" w:rsidR="001738A8"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 xml:space="preserve"> Ref Mr </w:t>
      </w:r>
      <w:proofErr w:type="spellStart"/>
      <w:r w:rsidR="000B6E1A" w:rsidRPr="002A5631">
        <w:rPr>
          <w:rFonts w:ascii="Arial" w:eastAsia="Times New Roman" w:hAnsi="Arial" w:cs="Arial"/>
          <w:sz w:val="24"/>
          <w:szCs w:val="24"/>
          <w:lang w:eastAsia="en-GB"/>
        </w:rPr>
        <w:t>Sithole</w:t>
      </w:r>
      <w:proofErr w:type="spellEnd"/>
      <w:r w:rsidR="00EB532B" w:rsidRPr="002A5631">
        <w:rPr>
          <w:rFonts w:ascii="Arial" w:eastAsia="Times New Roman" w:hAnsi="Arial" w:cs="Arial"/>
          <w:sz w:val="24"/>
          <w:szCs w:val="24"/>
          <w:lang w:eastAsia="en-GB"/>
        </w:rPr>
        <w:tab/>
      </w:r>
    </w:p>
    <w:p w14:paraId="09E5ED41" w14:textId="7466E11C" w:rsidR="001738A8" w:rsidRPr="002A5631" w:rsidRDefault="001738A8" w:rsidP="00F84090">
      <w:pPr>
        <w:tabs>
          <w:tab w:val="left" w:pos="2268"/>
          <w:tab w:val="left" w:pos="3402"/>
        </w:tabs>
        <w:spacing w:after="0" w:line="360" w:lineRule="auto"/>
        <w:contextualSpacing/>
        <w:jc w:val="both"/>
        <w:rPr>
          <w:rFonts w:ascii="Arial" w:eastAsia="Times New Roman" w:hAnsi="Arial" w:cs="Arial"/>
          <w:sz w:val="24"/>
          <w:szCs w:val="24"/>
          <w:lang w:eastAsia="en-GB"/>
        </w:rPr>
      </w:pPr>
    </w:p>
    <w:p w14:paraId="02E6532B" w14:textId="26CD2B31" w:rsidR="007423B8" w:rsidRPr="002A5631" w:rsidRDefault="007423B8" w:rsidP="00F84090">
      <w:pPr>
        <w:tabs>
          <w:tab w:val="left" w:pos="3402"/>
        </w:tabs>
        <w:spacing w:after="0" w:line="360" w:lineRule="auto"/>
        <w:contextualSpacing/>
        <w:jc w:val="both"/>
        <w:rPr>
          <w:rFonts w:ascii="Arial" w:eastAsia="Times New Roman" w:hAnsi="Arial" w:cs="Arial"/>
          <w:sz w:val="24"/>
          <w:szCs w:val="24"/>
          <w:lang w:eastAsia="en-GB"/>
        </w:rPr>
      </w:pPr>
    </w:p>
    <w:p w14:paraId="3BAEB1AE" w14:textId="16133230" w:rsidR="00731AED" w:rsidRPr="002A5631" w:rsidRDefault="00731AED"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For the</w:t>
      </w:r>
      <w:r w:rsidR="000B6E1A" w:rsidRPr="002A5631">
        <w:rPr>
          <w:rFonts w:ascii="Arial" w:eastAsia="Times New Roman" w:hAnsi="Arial" w:cs="Arial"/>
          <w:sz w:val="24"/>
          <w:szCs w:val="24"/>
          <w:lang w:eastAsia="en-GB"/>
        </w:rPr>
        <w:t xml:space="preserve"> first</w:t>
      </w:r>
      <w:r w:rsidRPr="002A5631">
        <w:rPr>
          <w:rFonts w:ascii="Arial" w:eastAsia="Times New Roman" w:hAnsi="Arial" w:cs="Arial"/>
          <w:sz w:val="24"/>
          <w:szCs w:val="24"/>
          <w:lang w:eastAsia="en-GB"/>
        </w:rPr>
        <w:t xml:space="preserve"> </w:t>
      </w:r>
      <w:r w:rsidR="00323503" w:rsidRPr="002A5631">
        <w:rPr>
          <w:rFonts w:ascii="Arial" w:eastAsia="Times New Roman" w:hAnsi="Arial" w:cs="Arial"/>
          <w:sz w:val="24"/>
          <w:szCs w:val="24"/>
          <w:lang w:eastAsia="en-GB"/>
        </w:rPr>
        <w:t>respondent</w:t>
      </w:r>
      <w:r w:rsidR="00704848" w:rsidRPr="002A5631">
        <w:rPr>
          <w:rFonts w:ascii="Arial" w:eastAsia="Times New Roman" w:hAnsi="Arial" w:cs="Arial"/>
          <w:sz w:val="24"/>
          <w:szCs w:val="24"/>
          <w:lang w:eastAsia="en-GB"/>
        </w:rPr>
        <w:t>:</w:t>
      </w:r>
      <w:r w:rsidR="00F84090" w:rsidRPr="002A5631">
        <w:rPr>
          <w:rFonts w:ascii="Arial" w:eastAsia="Times New Roman" w:hAnsi="Arial" w:cs="Arial"/>
          <w:sz w:val="24"/>
          <w:szCs w:val="24"/>
          <w:lang w:eastAsia="en-GB"/>
        </w:rPr>
        <w:tab/>
      </w:r>
      <w:r w:rsidR="008C3373" w:rsidRPr="002A5631">
        <w:rPr>
          <w:rFonts w:ascii="Arial" w:eastAsia="Times New Roman" w:hAnsi="Arial" w:cs="Arial"/>
          <w:sz w:val="24"/>
          <w:szCs w:val="24"/>
          <w:lang w:eastAsia="en-GB"/>
        </w:rPr>
        <w:t xml:space="preserve">Mr </w:t>
      </w:r>
      <w:r w:rsidR="00E1264A" w:rsidRPr="002A5631">
        <w:rPr>
          <w:rFonts w:ascii="Arial" w:eastAsia="Times New Roman" w:hAnsi="Arial" w:cs="Arial"/>
          <w:sz w:val="24"/>
          <w:szCs w:val="24"/>
          <w:lang w:eastAsia="en-GB"/>
        </w:rPr>
        <w:t>D</w:t>
      </w:r>
      <w:r w:rsidR="00713870" w:rsidRPr="002A5631">
        <w:rPr>
          <w:rFonts w:ascii="Arial" w:eastAsia="Times New Roman" w:hAnsi="Arial" w:cs="Arial"/>
          <w:sz w:val="24"/>
          <w:szCs w:val="24"/>
          <w:lang w:eastAsia="en-GB"/>
        </w:rPr>
        <w:t xml:space="preserve"> </w:t>
      </w:r>
      <w:proofErr w:type="spellStart"/>
      <w:r w:rsidR="00713870" w:rsidRPr="002A5631">
        <w:rPr>
          <w:rFonts w:ascii="Arial" w:eastAsia="Times New Roman" w:hAnsi="Arial" w:cs="Arial"/>
          <w:sz w:val="24"/>
          <w:szCs w:val="24"/>
          <w:lang w:eastAsia="en-GB"/>
        </w:rPr>
        <w:t>Moodley</w:t>
      </w:r>
      <w:proofErr w:type="spellEnd"/>
      <w:r w:rsidR="00713870" w:rsidRPr="002A5631">
        <w:rPr>
          <w:rFonts w:ascii="Arial" w:eastAsia="Times New Roman" w:hAnsi="Arial" w:cs="Arial"/>
          <w:sz w:val="24"/>
          <w:szCs w:val="24"/>
          <w:lang w:eastAsia="en-GB"/>
        </w:rPr>
        <w:t xml:space="preserve"> </w:t>
      </w:r>
    </w:p>
    <w:p w14:paraId="49CF393A" w14:textId="07C65A23" w:rsidR="000B6E1A" w:rsidRPr="002A5631" w:rsidRDefault="00731AED"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Instructed by:</w:t>
      </w:r>
      <w:r w:rsidR="00F84090"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CJ Cogan Attorneys</w:t>
      </w:r>
    </w:p>
    <w:p w14:paraId="6E5A4A50" w14:textId="16E07629"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The Work Station</w:t>
      </w:r>
    </w:p>
    <w:p w14:paraId="699AE17C" w14:textId="0BBFA872"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 xml:space="preserve">1 Old Main Road, </w:t>
      </w:r>
      <w:proofErr w:type="spellStart"/>
      <w:r w:rsidR="000B6E1A" w:rsidRPr="002A5631">
        <w:rPr>
          <w:rFonts w:ascii="Arial" w:eastAsia="Times New Roman" w:hAnsi="Arial" w:cs="Arial"/>
          <w:sz w:val="24"/>
          <w:szCs w:val="24"/>
          <w:lang w:eastAsia="en-GB"/>
        </w:rPr>
        <w:t>Umhlali</w:t>
      </w:r>
      <w:proofErr w:type="spellEnd"/>
    </w:p>
    <w:p w14:paraId="04D44CB9" w14:textId="337CBF79"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 xml:space="preserve"> Tel no 032 947 0865</w:t>
      </w:r>
    </w:p>
    <w:p w14:paraId="51A769F0" w14:textId="3E3A77DE"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 xml:space="preserve">Email: </w:t>
      </w:r>
      <w:hyperlink r:id="rId11" w:history="1">
        <w:r w:rsidR="000B6E1A" w:rsidRPr="002A5631">
          <w:rPr>
            <w:rStyle w:val="Hyperlink"/>
            <w:rFonts w:ascii="Arial" w:eastAsia="Times New Roman" w:hAnsi="Arial" w:cs="Arial"/>
            <w:sz w:val="24"/>
            <w:szCs w:val="24"/>
            <w:lang w:eastAsia="en-GB"/>
          </w:rPr>
          <w:t>sindi@cjcogan.co.za</w:t>
        </w:r>
      </w:hyperlink>
    </w:p>
    <w:p w14:paraId="4BF92F75" w14:textId="450FE435"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Ref: PMPUNGOSE</w:t>
      </w:r>
    </w:p>
    <w:p w14:paraId="229DB1BC" w14:textId="1DC0071B"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 xml:space="preserve">c/o Mason </w:t>
      </w:r>
      <w:proofErr w:type="spellStart"/>
      <w:r w:rsidR="000B6E1A" w:rsidRPr="002A5631">
        <w:rPr>
          <w:rFonts w:ascii="Arial" w:eastAsia="Times New Roman" w:hAnsi="Arial" w:cs="Arial"/>
          <w:sz w:val="24"/>
          <w:szCs w:val="24"/>
          <w:lang w:eastAsia="en-GB"/>
        </w:rPr>
        <w:t>Inc</w:t>
      </w:r>
      <w:proofErr w:type="spellEnd"/>
      <w:r w:rsidR="000B6E1A" w:rsidRPr="002A5631">
        <w:rPr>
          <w:rFonts w:ascii="Arial" w:eastAsia="Times New Roman" w:hAnsi="Arial" w:cs="Arial"/>
          <w:sz w:val="24"/>
          <w:szCs w:val="24"/>
          <w:lang w:eastAsia="en-GB"/>
        </w:rPr>
        <w:t xml:space="preserve"> Attorneys</w:t>
      </w:r>
    </w:p>
    <w:p w14:paraId="3A44B1D2" w14:textId="58DDBF37"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Suite 2,3 &amp;4 Investec House</w:t>
      </w:r>
    </w:p>
    <w:p w14:paraId="75E44880" w14:textId="64CBFF76"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lastRenderedPageBreak/>
        <w:tab/>
      </w:r>
      <w:r w:rsidR="000B6E1A" w:rsidRPr="002A5631">
        <w:rPr>
          <w:rFonts w:ascii="Arial" w:eastAsia="Times New Roman" w:hAnsi="Arial" w:cs="Arial"/>
          <w:sz w:val="24"/>
          <w:szCs w:val="24"/>
          <w:lang w:eastAsia="en-GB"/>
        </w:rPr>
        <w:t>Victoria Country Club Office Park</w:t>
      </w:r>
    </w:p>
    <w:p w14:paraId="2109EB8D" w14:textId="4419E656"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170 Peter Brown Street</w:t>
      </w:r>
    </w:p>
    <w:p w14:paraId="7CCA91E6" w14:textId="769FF983"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Pietermaritzburg</w:t>
      </w:r>
    </w:p>
    <w:p w14:paraId="19DE348C" w14:textId="1161F6D6" w:rsidR="000B6E1A" w:rsidRPr="002A5631" w:rsidRDefault="00F84090" w:rsidP="00F84090">
      <w:pPr>
        <w:tabs>
          <w:tab w:val="left" w:pos="3402"/>
        </w:tabs>
        <w:spacing w:after="0" w:line="360" w:lineRule="auto"/>
        <w:contextualSpacing/>
        <w:jc w:val="both"/>
        <w:rPr>
          <w:rFonts w:ascii="Arial" w:eastAsia="Times New Roman" w:hAnsi="Arial" w:cs="Arial"/>
          <w:sz w:val="24"/>
          <w:szCs w:val="24"/>
          <w:lang w:eastAsia="en-GB"/>
        </w:rPr>
      </w:pPr>
      <w:r w:rsidRPr="002A5631">
        <w:rPr>
          <w:rFonts w:ascii="Arial" w:eastAsia="Times New Roman" w:hAnsi="Arial" w:cs="Arial"/>
          <w:sz w:val="24"/>
          <w:szCs w:val="24"/>
          <w:lang w:eastAsia="en-GB"/>
        </w:rPr>
        <w:tab/>
      </w:r>
      <w:r w:rsidR="000B6E1A" w:rsidRPr="002A5631">
        <w:rPr>
          <w:rFonts w:ascii="Arial" w:eastAsia="Times New Roman" w:hAnsi="Arial" w:cs="Arial"/>
          <w:sz w:val="24"/>
          <w:szCs w:val="24"/>
          <w:lang w:eastAsia="en-GB"/>
        </w:rPr>
        <w:t>Ref 16011/2022P</w:t>
      </w:r>
    </w:p>
    <w:sectPr w:rsidR="000B6E1A" w:rsidRPr="002A5631" w:rsidSect="00253041">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EB9FC" w14:textId="77777777" w:rsidR="00BF4908" w:rsidRDefault="00BF4908" w:rsidP="00CB6044">
      <w:pPr>
        <w:spacing w:after="0" w:line="240" w:lineRule="auto"/>
      </w:pPr>
      <w:r>
        <w:separator/>
      </w:r>
    </w:p>
  </w:endnote>
  <w:endnote w:type="continuationSeparator" w:id="0">
    <w:p w14:paraId="37E1381B" w14:textId="77777777" w:rsidR="00BF4908" w:rsidRDefault="00BF4908"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2A5631" w:rsidRDefault="002A5631">
    <w:pPr>
      <w:pStyle w:val="Footer"/>
      <w:jc w:val="right"/>
    </w:pPr>
  </w:p>
  <w:p w14:paraId="2A8DD1D1" w14:textId="77777777" w:rsidR="002A5631" w:rsidRDefault="002A5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01E2" w14:textId="77777777" w:rsidR="00BF4908" w:rsidRDefault="00BF4908" w:rsidP="00CB6044">
      <w:pPr>
        <w:spacing w:after="0" w:line="240" w:lineRule="auto"/>
      </w:pPr>
      <w:r>
        <w:separator/>
      </w:r>
    </w:p>
  </w:footnote>
  <w:footnote w:type="continuationSeparator" w:id="0">
    <w:p w14:paraId="204227BB" w14:textId="77777777" w:rsidR="00BF4908" w:rsidRDefault="00BF4908" w:rsidP="00CB6044">
      <w:pPr>
        <w:spacing w:after="0" w:line="240" w:lineRule="auto"/>
      </w:pPr>
      <w:r>
        <w:continuationSeparator/>
      </w:r>
    </w:p>
  </w:footnote>
  <w:footnote w:id="1">
    <w:p w14:paraId="6695B286" w14:textId="587A161D"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lang w:val="en-GB"/>
        </w:rPr>
        <w:t>Section 2(1) reads: ‘No alienation of land after the commencement of this section shall, subject to the provisions of section 28, be of any force or effect unless it is contained in a deed of alienation signed by the parties thereto or by their agents acting on their written authority.’</w:t>
      </w:r>
    </w:p>
  </w:footnote>
  <w:footnote w:id="2">
    <w:p w14:paraId="7275985E" w14:textId="3BABB258"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DE </w:t>
      </w:r>
      <w:r w:rsidRPr="00406E45">
        <w:rPr>
          <w:rFonts w:ascii="Arial" w:hAnsi="Arial" w:cs="Arial"/>
          <w:lang w:val="en-GB"/>
        </w:rPr>
        <w:t xml:space="preserve">van </w:t>
      </w:r>
      <w:proofErr w:type="spellStart"/>
      <w:r w:rsidRPr="00406E45">
        <w:rPr>
          <w:rFonts w:ascii="Arial" w:hAnsi="Arial" w:cs="Arial"/>
          <w:lang w:val="en-GB"/>
        </w:rPr>
        <w:t>Loggerenberg</w:t>
      </w:r>
      <w:proofErr w:type="spellEnd"/>
      <w:r w:rsidRPr="00406E45">
        <w:rPr>
          <w:rFonts w:ascii="Arial" w:hAnsi="Arial" w:cs="Arial"/>
          <w:lang w:val="en-GB"/>
        </w:rPr>
        <w:t xml:space="preserve"> </w:t>
      </w:r>
      <w:r w:rsidRPr="00406E45">
        <w:rPr>
          <w:rFonts w:ascii="Arial" w:hAnsi="Arial" w:cs="Arial"/>
          <w:i/>
          <w:iCs/>
          <w:lang w:val="en-GB"/>
        </w:rPr>
        <w:t xml:space="preserve">Erasmus: Superior Court Practice </w:t>
      </w:r>
      <w:r w:rsidRPr="00406E45">
        <w:rPr>
          <w:rFonts w:ascii="Arial" w:hAnsi="Arial" w:cs="Arial"/>
          <w:lang w:val="en-GB"/>
        </w:rPr>
        <w:t>(</w:t>
      </w:r>
      <w:r w:rsidRPr="00406E45">
        <w:rPr>
          <w:rFonts w:ascii="Arial" w:hAnsi="Arial" w:cs="Arial"/>
          <w:iCs/>
          <w:lang w:val="en-GB"/>
        </w:rPr>
        <w:t>RS 22, 2023</w:t>
      </w:r>
      <w:r w:rsidRPr="00406E45">
        <w:rPr>
          <w:rFonts w:ascii="Arial" w:hAnsi="Arial" w:cs="Arial"/>
          <w:i/>
          <w:iCs/>
          <w:lang w:val="en-GB"/>
        </w:rPr>
        <w:t xml:space="preserve">) </w:t>
      </w:r>
      <w:r w:rsidRPr="00406E45">
        <w:rPr>
          <w:rFonts w:ascii="Arial" w:hAnsi="Arial" w:cs="Arial"/>
          <w:iCs/>
          <w:lang w:val="en-GB"/>
        </w:rPr>
        <w:t>at D1-Rule 6-39</w:t>
      </w:r>
      <w:r w:rsidR="009C60AC">
        <w:rPr>
          <w:rFonts w:ascii="Arial" w:hAnsi="Arial" w:cs="Arial"/>
          <w:iCs/>
          <w:lang w:val="en-GB"/>
        </w:rPr>
        <w:t xml:space="preserve"> to </w:t>
      </w:r>
      <w:r w:rsidRPr="00406E45">
        <w:rPr>
          <w:rFonts w:ascii="Arial" w:hAnsi="Arial" w:cs="Arial"/>
          <w:iCs/>
          <w:lang w:val="en-GB"/>
        </w:rPr>
        <w:t>D1-Rule 6-40,</w:t>
      </w:r>
      <w:r w:rsidRPr="00406E45">
        <w:rPr>
          <w:rFonts w:ascii="Arial" w:hAnsi="Arial" w:cs="Arial"/>
          <w:i/>
          <w:iCs/>
          <w:lang w:val="en-GB"/>
        </w:rPr>
        <w:t xml:space="preserve"> </w:t>
      </w:r>
      <w:r w:rsidRPr="00406E45">
        <w:rPr>
          <w:rFonts w:ascii="Arial" w:hAnsi="Arial" w:cs="Arial"/>
          <w:lang w:val="en-GB"/>
        </w:rPr>
        <w:t>and the authorities referred to</w:t>
      </w:r>
      <w:r w:rsidR="00E92B76">
        <w:rPr>
          <w:rFonts w:ascii="Arial" w:hAnsi="Arial" w:cs="Arial"/>
          <w:lang w:val="en-GB"/>
        </w:rPr>
        <w:t xml:space="preserve"> therein</w:t>
      </w:r>
      <w:r w:rsidRPr="00406E45">
        <w:rPr>
          <w:rFonts w:ascii="Arial" w:hAnsi="Arial" w:cs="Arial"/>
          <w:lang w:val="en-GB"/>
        </w:rPr>
        <w:t>.</w:t>
      </w:r>
    </w:p>
  </w:footnote>
  <w:footnote w:id="3">
    <w:p w14:paraId="4EBA1CCD" w14:textId="6469CBA3"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i/>
          <w:lang w:val="en-GB"/>
        </w:rPr>
        <w:t xml:space="preserve">Richardson and others v </w:t>
      </w:r>
      <w:proofErr w:type="spellStart"/>
      <w:r w:rsidRPr="00406E45">
        <w:rPr>
          <w:rFonts w:ascii="Arial" w:hAnsi="Arial" w:cs="Arial"/>
          <w:i/>
          <w:lang w:val="en-GB"/>
        </w:rPr>
        <w:t>Fernandes</w:t>
      </w:r>
      <w:proofErr w:type="spellEnd"/>
      <w:r w:rsidRPr="00406E45">
        <w:rPr>
          <w:rFonts w:ascii="Arial" w:hAnsi="Arial" w:cs="Arial"/>
          <w:i/>
          <w:lang w:val="en-GB"/>
        </w:rPr>
        <w:t xml:space="preserve"> and others</w:t>
      </w:r>
      <w:r w:rsidRPr="00406E45">
        <w:rPr>
          <w:rFonts w:ascii="Arial" w:hAnsi="Arial" w:cs="Arial"/>
          <w:lang w:val="en-GB"/>
        </w:rPr>
        <w:t xml:space="preserve"> [2017] ZAGPJHC 166 para 8.</w:t>
      </w:r>
    </w:p>
  </w:footnote>
  <w:footnote w:id="4">
    <w:p w14:paraId="4608F168" w14:textId="0346FD04"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proofErr w:type="spellStart"/>
      <w:r w:rsidRPr="00406E45">
        <w:rPr>
          <w:rFonts w:ascii="Arial" w:hAnsi="Arial" w:cs="Arial"/>
          <w:i/>
          <w:lang w:val="en-GB"/>
        </w:rPr>
        <w:t>IClear</w:t>
      </w:r>
      <w:proofErr w:type="spellEnd"/>
      <w:r w:rsidRPr="00406E45">
        <w:rPr>
          <w:rFonts w:ascii="Arial" w:hAnsi="Arial" w:cs="Arial"/>
          <w:i/>
          <w:lang w:val="en-GB"/>
        </w:rPr>
        <w:t xml:space="preserve"> Payments (Pty) Ltd v Honeywell</w:t>
      </w:r>
      <w:r w:rsidRPr="00406E45">
        <w:rPr>
          <w:rFonts w:ascii="Arial" w:hAnsi="Arial" w:cs="Arial"/>
          <w:lang w:val="en-GB"/>
        </w:rPr>
        <w:t xml:space="preserve"> [2023] ZAKZDHC 5 para 17.</w:t>
      </w:r>
    </w:p>
  </w:footnote>
  <w:footnote w:id="5">
    <w:p w14:paraId="1EE34870" w14:textId="44E5B4EF"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proofErr w:type="spellStart"/>
      <w:r w:rsidRPr="00406E45">
        <w:rPr>
          <w:rFonts w:ascii="Arial" w:hAnsi="Arial" w:cs="Arial"/>
          <w:i/>
          <w:lang w:val="en-GB"/>
        </w:rPr>
        <w:t>Kalil</w:t>
      </w:r>
      <w:proofErr w:type="spellEnd"/>
      <w:r w:rsidRPr="00406E45">
        <w:rPr>
          <w:rFonts w:ascii="Arial" w:hAnsi="Arial" w:cs="Arial"/>
          <w:i/>
          <w:lang w:val="en-GB"/>
        </w:rPr>
        <w:t xml:space="preserve"> v </w:t>
      </w:r>
      <w:proofErr w:type="spellStart"/>
      <w:r w:rsidRPr="00406E45">
        <w:rPr>
          <w:rFonts w:ascii="Arial" w:hAnsi="Arial" w:cs="Arial"/>
          <w:i/>
          <w:lang w:val="en-GB"/>
        </w:rPr>
        <w:t>Decotex</w:t>
      </w:r>
      <w:proofErr w:type="spellEnd"/>
      <w:r w:rsidRPr="00406E45">
        <w:rPr>
          <w:rFonts w:ascii="Arial" w:hAnsi="Arial" w:cs="Arial"/>
          <w:i/>
          <w:lang w:val="en-GB"/>
        </w:rPr>
        <w:t xml:space="preserve"> (Pty) Ltd and another</w:t>
      </w:r>
      <w:r w:rsidRPr="00406E45">
        <w:rPr>
          <w:rFonts w:ascii="Arial" w:hAnsi="Arial" w:cs="Arial"/>
          <w:lang w:val="en-GB"/>
        </w:rPr>
        <w:t xml:space="preserve"> 1988 (1) SA 943 (A) at 979H-I.</w:t>
      </w:r>
    </w:p>
  </w:footnote>
  <w:footnote w:id="6">
    <w:p w14:paraId="5C81BB6D" w14:textId="2D7477FD"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lang w:val="en-GB"/>
        </w:rPr>
        <w:t xml:space="preserve">In </w:t>
      </w:r>
      <w:proofErr w:type="spellStart"/>
      <w:r w:rsidRPr="00406E45">
        <w:rPr>
          <w:rFonts w:ascii="Arial" w:hAnsi="Arial" w:cs="Arial"/>
          <w:i/>
          <w:iCs/>
        </w:rPr>
        <w:t>Bocimar</w:t>
      </w:r>
      <w:proofErr w:type="spellEnd"/>
      <w:r w:rsidRPr="00406E45">
        <w:rPr>
          <w:rFonts w:ascii="Arial" w:hAnsi="Arial" w:cs="Arial"/>
          <w:i/>
          <w:iCs/>
        </w:rPr>
        <w:t xml:space="preserve"> NV v Kotor Overseas Shipping Ltd </w:t>
      </w:r>
      <w:r w:rsidRPr="00406E45">
        <w:rPr>
          <w:rFonts w:ascii="Arial" w:hAnsi="Arial" w:cs="Arial"/>
        </w:rPr>
        <w:t>1994 (2) SA 563 (A) at 587F-G the court held that these observations are also applicable to applications in general.</w:t>
      </w:r>
    </w:p>
  </w:footnote>
  <w:footnote w:id="7">
    <w:p w14:paraId="3FCDA36A" w14:textId="3B5AFBEF"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i/>
          <w:lang w:val="en-GB"/>
        </w:rPr>
        <w:t>Shepherd Real Estate Investments (Pty) Ltd v Roux Le Roux Motors CC</w:t>
      </w:r>
      <w:r w:rsidRPr="00406E45">
        <w:rPr>
          <w:rFonts w:ascii="Arial" w:hAnsi="Arial" w:cs="Arial"/>
          <w:lang w:val="en-GB"/>
        </w:rPr>
        <w:t xml:space="preserve"> [2019] ZASCA 178; 2020 (2) SA 419 (SCA) para 16.</w:t>
      </w:r>
    </w:p>
  </w:footnote>
  <w:footnote w:id="8">
    <w:p w14:paraId="7406D56F" w14:textId="6F7BC3DF"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lang w:val="en-GB"/>
        </w:rPr>
        <w:t>Ibid para 17.</w:t>
      </w:r>
    </w:p>
  </w:footnote>
  <w:footnote w:id="9">
    <w:p w14:paraId="356B9D2E" w14:textId="2C7FC1C3"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i/>
          <w:lang w:val="en-GB"/>
        </w:rPr>
        <w:t>Bon Com (Pty) Ltd and another v Services Sector for Education Training and Authority and others</w:t>
      </w:r>
      <w:r w:rsidRPr="00406E45">
        <w:rPr>
          <w:rFonts w:ascii="Arial" w:hAnsi="Arial" w:cs="Arial"/>
          <w:lang w:val="en-GB"/>
        </w:rPr>
        <w:t xml:space="preserve"> [2023] ZAGPJHC 1156 para 7.</w:t>
      </w:r>
    </w:p>
  </w:footnote>
  <w:footnote w:id="10">
    <w:p w14:paraId="0666C159" w14:textId="7801023A"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lang w:val="en-GB"/>
        </w:rPr>
        <w:t xml:space="preserve">AC </w:t>
      </w:r>
      <w:proofErr w:type="spellStart"/>
      <w:r w:rsidRPr="00406E45">
        <w:rPr>
          <w:rFonts w:ascii="Arial" w:hAnsi="Arial" w:cs="Arial"/>
          <w:lang w:val="en-GB"/>
        </w:rPr>
        <w:t>Cilliers</w:t>
      </w:r>
      <w:proofErr w:type="spellEnd"/>
      <w:r w:rsidRPr="00406E45">
        <w:rPr>
          <w:rFonts w:ascii="Arial" w:hAnsi="Arial" w:cs="Arial"/>
          <w:lang w:val="en-GB"/>
        </w:rPr>
        <w:t xml:space="preserve">, C Loots and HC </w:t>
      </w:r>
      <w:proofErr w:type="spellStart"/>
      <w:r w:rsidRPr="00406E45">
        <w:rPr>
          <w:rFonts w:ascii="Arial" w:hAnsi="Arial" w:cs="Arial"/>
          <w:lang w:val="en-GB"/>
        </w:rPr>
        <w:t>Nel</w:t>
      </w:r>
      <w:proofErr w:type="spellEnd"/>
      <w:r w:rsidRPr="00406E45">
        <w:rPr>
          <w:rFonts w:ascii="Arial" w:hAnsi="Arial" w:cs="Arial"/>
          <w:lang w:val="en-GB"/>
        </w:rPr>
        <w:t xml:space="preserve"> </w:t>
      </w:r>
      <w:proofErr w:type="spellStart"/>
      <w:r w:rsidRPr="00406E45">
        <w:rPr>
          <w:rFonts w:ascii="Arial" w:hAnsi="Arial" w:cs="Arial"/>
          <w:i/>
          <w:iCs/>
          <w:lang w:val="en-GB"/>
        </w:rPr>
        <w:t>Herbstein</w:t>
      </w:r>
      <w:proofErr w:type="spellEnd"/>
      <w:r w:rsidRPr="00406E45">
        <w:rPr>
          <w:rFonts w:ascii="Arial" w:hAnsi="Arial" w:cs="Arial"/>
          <w:i/>
          <w:iCs/>
          <w:lang w:val="en-GB"/>
        </w:rPr>
        <w:t xml:space="preserve"> and Van </w:t>
      </w:r>
      <w:proofErr w:type="spellStart"/>
      <w:r w:rsidRPr="00406E45">
        <w:rPr>
          <w:rFonts w:ascii="Arial" w:hAnsi="Arial" w:cs="Arial"/>
          <w:i/>
          <w:iCs/>
          <w:lang w:val="en-GB"/>
        </w:rPr>
        <w:t>Winsen</w:t>
      </w:r>
      <w:proofErr w:type="spellEnd"/>
      <w:r w:rsidRPr="00406E45">
        <w:rPr>
          <w:rFonts w:ascii="Arial" w:hAnsi="Arial" w:cs="Arial"/>
          <w:i/>
          <w:iCs/>
          <w:lang w:val="en-GB"/>
        </w:rPr>
        <w:t xml:space="preserve">: The Civil Practice of the High Courts and the Supreme Court of Appeal of South Africa </w:t>
      </w:r>
      <w:r w:rsidRPr="00406E45">
        <w:rPr>
          <w:rFonts w:ascii="Arial" w:hAnsi="Arial" w:cs="Arial"/>
          <w:iCs/>
          <w:lang w:val="en-GB"/>
        </w:rPr>
        <w:t>5</w:t>
      </w:r>
      <w:r w:rsidRPr="00406E45">
        <w:rPr>
          <w:rFonts w:ascii="Arial" w:hAnsi="Arial" w:cs="Arial"/>
          <w:i/>
          <w:iCs/>
          <w:lang w:val="en-GB"/>
        </w:rPr>
        <w:t xml:space="preserve"> </w:t>
      </w:r>
      <w:proofErr w:type="spellStart"/>
      <w:r w:rsidRPr="00406E45">
        <w:rPr>
          <w:rFonts w:ascii="Arial" w:hAnsi="Arial" w:cs="Arial"/>
          <w:lang w:val="en-GB"/>
        </w:rPr>
        <w:t>ed</w:t>
      </w:r>
      <w:proofErr w:type="spellEnd"/>
      <w:r w:rsidRPr="00406E45">
        <w:rPr>
          <w:rFonts w:ascii="Arial" w:hAnsi="Arial" w:cs="Arial"/>
          <w:lang w:val="en-GB"/>
        </w:rPr>
        <w:t xml:space="preserve"> (2009) at ch6-215.</w:t>
      </w:r>
    </w:p>
  </w:footnote>
  <w:footnote w:id="11">
    <w:p w14:paraId="38D7AE59" w14:textId="1D1C09DB" w:rsidR="002A5631" w:rsidRPr="00406E45" w:rsidRDefault="002A5631" w:rsidP="00406E45">
      <w:pPr>
        <w:pStyle w:val="FootnoteText"/>
        <w:contextualSpacing/>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r w:rsidRPr="00406E45">
        <w:rPr>
          <w:rFonts w:ascii="Arial" w:hAnsi="Arial" w:cs="Arial"/>
          <w:lang w:val="en-GB"/>
        </w:rPr>
        <w:t xml:space="preserve">S </w:t>
      </w:r>
      <w:proofErr w:type="spellStart"/>
      <w:r w:rsidRPr="00406E45">
        <w:rPr>
          <w:rFonts w:ascii="Arial" w:hAnsi="Arial" w:cs="Arial"/>
          <w:lang w:val="en-GB"/>
        </w:rPr>
        <w:t>Peté</w:t>
      </w:r>
      <w:proofErr w:type="spellEnd"/>
      <w:r w:rsidRPr="00406E45">
        <w:rPr>
          <w:rFonts w:ascii="Arial" w:hAnsi="Arial" w:cs="Arial"/>
          <w:lang w:val="en-GB"/>
        </w:rPr>
        <w:t xml:space="preserve"> </w:t>
      </w:r>
      <w:r w:rsidRPr="00406E45">
        <w:rPr>
          <w:rFonts w:ascii="Arial" w:hAnsi="Arial" w:cs="Arial"/>
          <w:i/>
          <w:iCs/>
          <w:lang w:val="en-GB"/>
        </w:rPr>
        <w:t xml:space="preserve">et al Civil Procedure: A Practical Guide </w:t>
      </w:r>
      <w:r w:rsidRPr="00406E45">
        <w:rPr>
          <w:rFonts w:ascii="Arial" w:hAnsi="Arial" w:cs="Arial"/>
          <w:lang w:val="en-GB"/>
        </w:rPr>
        <w:t xml:space="preserve">3 </w:t>
      </w:r>
      <w:proofErr w:type="spellStart"/>
      <w:r w:rsidRPr="00406E45">
        <w:rPr>
          <w:rFonts w:ascii="Arial" w:hAnsi="Arial" w:cs="Arial"/>
          <w:lang w:val="en-GB"/>
        </w:rPr>
        <w:t>ed</w:t>
      </w:r>
      <w:proofErr w:type="spellEnd"/>
      <w:r w:rsidRPr="00406E45">
        <w:rPr>
          <w:rFonts w:ascii="Arial" w:hAnsi="Arial" w:cs="Arial"/>
          <w:lang w:val="en-GB"/>
        </w:rPr>
        <w:t xml:space="preserve"> (2017) at 441.</w:t>
      </w:r>
    </w:p>
  </w:footnote>
  <w:footnote w:id="12">
    <w:p w14:paraId="1BD77FB0" w14:textId="47A4BF36" w:rsidR="004B763C" w:rsidRPr="004B763C" w:rsidRDefault="004B763C">
      <w:pPr>
        <w:pStyle w:val="FootnoteText"/>
        <w:rPr>
          <w:rFonts w:ascii="Arial" w:hAnsi="Arial" w:cs="Arial"/>
          <w:lang w:val="en-GB"/>
        </w:rPr>
      </w:pPr>
      <w:r>
        <w:rPr>
          <w:rStyle w:val="FootnoteReference"/>
        </w:rPr>
        <w:footnoteRef/>
      </w:r>
      <w:r>
        <w:t xml:space="preserve"> </w:t>
      </w:r>
      <w:proofErr w:type="spellStart"/>
      <w:r>
        <w:rPr>
          <w:rFonts w:ascii="Arial" w:hAnsi="Arial" w:cs="Arial"/>
          <w:i/>
          <w:iCs/>
          <w:lang w:val="en-GB"/>
        </w:rPr>
        <w:t>Matjhhabeng</w:t>
      </w:r>
      <w:proofErr w:type="spellEnd"/>
      <w:r>
        <w:rPr>
          <w:rFonts w:ascii="Arial" w:hAnsi="Arial" w:cs="Arial"/>
          <w:i/>
          <w:iCs/>
          <w:lang w:val="en-GB"/>
        </w:rPr>
        <w:t xml:space="preserve"> Local </w:t>
      </w:r>
      <w:proofErr w:type="spellStart"/>
      <w:r>
        <w:rPr>
          <w:rFonts w:ascii="Arial" w:hAnsi="Arial" w:cs="Arial"/>
          <w:i/>
          <w:iCs/>
          <w:lang w:val="en-GB"/>
        </w:rPr>
        <w:t>Munincipality</w:t>
      </w:r>
      <w:proofErr w:type="spellEnd"/>
      <w:r>
        <w:rPr>
          <w:rFonts w:ascii="Arial" w:hAnsi="Arial" w:cs="Arial"/>
          <w:i/>
          <w:iCs/>
          <w:lang w:val="en-GB"/>
        </w:rPr>
        <w:t xml:space="preserve"> v Eskom Holdings Ltd and others </w:t>
      </w:r>
      <w:r w:rsidR="00B5692E">
        <w:rPr>
          <w:rFonts w:ascii="Arial" w:hAnsi="Arial" w:cs="Arial"/>
          <w:lang w:val="en-GB"/>
        </w:rPr>
        <w:t>2018(1) SA 1 (CC)</w:t>
      </w:r>
    </w:p>
  </w:footnote>
  <w:footnote w:id="13">
    <w:p w14:paraId="034F4517" w14:textId="27E4CF6B" w:rsidR="002A5631" w:rsidRPr="00521F25" w:rsidRDefault="002A5631" w:rsidP="002A5595">
      <w:pPr>
        <w:pStyle w:val="FootnoteText"/>
        <w:jc w:val="both"/>
        <w:rPr>
          <w:rFonts w:ascii="Arial" w:hAnsi="Arial" w:cs="Arial"/>
          <w:lang w:val="en-GB"/>
        </w:rPr>
      </w:pPr>
      <w:r w:rsidRPr="00406E45">
        <w:rPr>
          <w:rStyle w:val="FootnoteReference"/>
          <w:rFonts w:ascii="Arial" w:hAnsi="Arial" w:cs="Arial"/>
        </w:rPr>
        <w:footnoteRef/>
      </w:r>
      <w:r w:rsidRPr="00406E45">
        <w:rPr>
          <w:rFonts w:ascii="Arial" w:hAnsi="Arial" w:cs="Arial"/>
        </w:rPr>
        <w:t xml:space="preserve"> </w:t>
      </w:r>
      <w:proofErr w:type="spellStart"/>
      <w:r w:rsidRPr="00406E45">
        <w:rPr>
          <w:rFonts w:ascii="Arial" w:hAnsi="Arial" w:cs="Arial"/>
          <w:i/>
        </w:rPr>
        <w:t>Kransfontein</w:t>
      </w:r>
      <w:proofErr w:type="spellEnd"/>
      <w:r w:rsidRPr="00406E45">
        <w:rPr>
          <w:rFonts w:ascii="Arial" w:hAnsi="Arial" w:cs="Arial"/>
          <w:i/>
        </w:rPr>
        <w:t xml:space="preserve"> </w:t>
      </w:r>
      <w:proofErr w:type="spellStart"/>
      <w:r w:rsidRPr="00406E45">
        <w:rPr>
          <w:rFonts w:ascii="Arial" w:hAnsi="Arial" w:cs="Arial"/>
          <w:i/>
        </w:rPr>
        <w:t>Beleggings</w:t>
      </w:r>
      <w:proofErr w:type="spellEnd"/>
      <w:r w:rsidRPr="00406E45">
        <w:rPr>
          <w:rFonts w:ascii="Arial" w:hAnsi="Arial" w:cs="Arial"/>
          <w:i/>
        </w:rPr>
        <w:t xml:space="preserve"> (Pty) Ltd v </w:t>
      </w:r>
      <w:proofErr w:type="spellStart"/>
      <w:r w:rsidRPr="00406E45">
        <w:rPr>
          <w:rFonts w:ascii="Arial" w:hAnsi="Arial" w:cs="Arial"/>
          <w:i/>
        </w:rPr>
        <w:t>Corlink</w:t>
      </w:r>
      <w:proofErr w:type="spellEnd"/>
      <w:r w:rsidRPr="00406E45">
        <w:rPr>
          <w:rFonts w:ascii="Arial" w:hAnsi="Arial" w:cs="Arial"/>
          <w:i/>
        </w:rPr>
        <w:t xml:space="preserve"> </w:t>
      </w:r>
      <w:proofErr w:type="gramStart"/>
      <w:r w:rsidRPr="00406E45">
        <w:rPr>
          <w:rFonts w:ascii="Arial" w:hAnsi="Arial" w:cs="Arial"/>
          <w:i/>
        </w:rPr>
        <w:t>Twenty Five</w:t>
      </w:r>
      <w:proofErr w:type="gramEnd"/>
      <w:r w:rsidRPr="00406E45">
        <w:rPr>
          <w:rFonts w:ascii="Arial" w:hAnsi="Arial" w:cs="Arial"/>
          <w:i/>
        </w:rPr>
        <w:t xml:space="preserve"> (Pty) Ltd and others</w:t>
      </w:r>
      <w:r w:rsidRPr="00406E45">
        <w:rPr>
          <w:rFonts w:ascii="Arial" w:hAnsi="Arial" w:cs="Arial"/>
        </w:rPr>
        <w:t xml:space="preserve"> [2017] ZASCA 131 para 16.</w:t>
      </w:r>
      <w:r w:rsidR="00905DEE">
        <w:rPr>
          <w:rFonts w:ascii="Arial" w:hAnsi="Arial" w:cs="Arial"/>
        </w:rPr>
        <w:t xml:space="preserve"> See also </w:t>
      </w:r>
      <w:proofErr w:type="spellStart"/>
      <w:r w:rsidR="00905DEE">
        <w:rPr>
          <w:rFonts w:ascii="Arial" w:hAnsi="Arial" w:cs="Arial"/>
          <w:i/>
          <w:iCs/>
        </w:rPr>
        <w:t>Umdeni</w:t>
      </w:r>
      <w:proofErr w:type="spellEnd"/>
      <w:r w:rsidR="00905DEE">
        <w:rPr>
          <w:rFonts w:ascii="Arial" w:hAnsi="Arial" w:cs="Arial"/>
          <w:i/>
          <w:iCs/>
        </w:rPr>
        <w:t xml:space="preserve"> (clan) of </w:t>
      </w:r>
      <w:proofErr w:type="spellStart"/>
      <w:r w:rsidR="00905DEE">
        <w:rPr>
          <w:rFonts w:ascii="Arial" w:hAnsi="Arial" w:cs="Arial"/>
          <w:i/>
          <w:iCs/>
        </w:rPr>
        <w:t>Amantungwa</w:t>
      </w:r>
      <w:proofErr w:type="spellEnd"/>
      <w:r w:rsidR="00905DEE">
        <w:rPr>
          <w:rFonts w:ascii="Arial" w:hAnsi="Arial" w:cs="Arial"/>
          <w:i/>
          <w:iCs/>
        </w:rPr>
        <w:t xml:space="preserve"> and others v MEC, Housing and Traditional Affairs and another [2011] 2 All SA 548 (SCA) para38 </w:t>
      </w:r>
      <w:proofErr w:type="gramStart"/>
      <w:r w:rsidR="00905DEE">
        <w:rPr>
          <w:rFonts w:ascii="Arial" w:hAnsi="Arial" w:cs="Arial"/>
          <w:i/>
          <w:iCs/>
        </w:rPr>
        <w:t>and  Golden</w:t>
      </w:r>
      <w:proofErr w:type="gramEnd"/>
      <w:r w:rsidR="00905DEE">
        <w:rPr>
          <w:rFonts w:ascii="Arial" w:hAnsi="Arial" w:cs="Arial"/>
          <w:i/>
          <w:iCs/>
        </w:rPr>
        <w:t xml:space="preserve"> Dividend 339 (Pty) Ltd and Another v Absa Bank Ltd [2016] ZASCA 78 para10</w:t>
      </w:r>
      <w:r w:rsidR="00521F25">
        <w:rPr>
          <w:rFonts w:ascii="Arial" w:hAnsi="Arial" w:cs="Arial"/>
          <w:i/>
          <w:iCs/>
        </w:rPr>
        <w:t xml:space="preserve"> </w:t>
      </w:r>
      <w:r w:rsidR="00521F25">
        <w:rPr>
          <w:rFonts w:ascii="Arial" w:hAnsi="Arial" w:cs="Arial"/>
        </w:rPr>
        <w:t>where it was held that non-joinder was fatal to the relief sought.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29AFF5F1" w:rsidR="002A5631" w:rsidRPr="00C46F32" w:rsidRDefault="002A5631">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CB2722">
          <w:rPr>
            <w:rFonts w:ascii="Arial" w:hAnsi="Arial" w:cs="Arial"/>
            <w:noProof/>
            <w:sz w:val="24"/>
          </w:rPr>
          <w:t>12</w:t>
        </w:r>
        <w:r w:rsidRPr="00C46F32">
          <w:rPr>
            <w:rFonts w:ascii="Arial" w:hAnsi="Arial" w:cs="Arial"/>
            <w:noProof/>
            <w:sz w:val="24"/>
          </w:rPr>
          <w:fldChar w:fldCharType="end"/>
        </w:r>
      </w:p>
    </w:sdtContent>
  </w:sdt>
  <w:p w14:paraId="2F4F042F" w14:textId="77777777" w:rsidR="002A5631" w:rsidRDefault="002A56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435"/>
    <w:multiLevelType w:val="hybridMultilevel"/>
    <w:tmpl w:val="5498CE9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E53B0F"/>
    <w:multiLevelType w:val="hybridMultilevel"/>
    <w:tmpl w:val="2338A3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05B7C"/>
    <w:multiLevelType w:val="hybridMultilevel"/>
    <w:tmpl w:val="2338A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9701275"/>
    <w:multiLevelType w:val="hybridMultilevel"/>
    <w:tmpl w:val="2338A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14603A"/>
    <w:multiLevelType w:val="hybridMultilevel"/>
    <w:tmpl w:val="2AC655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5"/>
  </w:num>
  <w:num w:numId="5">
    <w:abstractNumId w:val="8"/>
  </w:num>
  <w:num w:numId="6">
    <w:abstractNumId w:val="9"/>
  </w:num>
  <w:num w:numId="7">
    <w:abstractNumId w:val="19"/>
  </w:num>
  <w:num w:numId="8">
    <w:abstractNumId w:val="12"/>
  </w:num>
  <w:num w:numId="9">
    <w:abstractNumId w:val="2"/>
  </w:num>
  <w:num w:numId="10">
    <w:abstractNumId w:val="22"/>
  </w:num>
  <w:num w:numId="11">
    <w:abstractNumId w:val="14"/>
  </w:num>
  <w:num w:numId="12">
    <w:abstractNumId w:val="21"/>
  </w:num>
  <w:num w:numId="13">
    <w:abstractNumId w:val="20"/>
  </w:num>
  <w:num w:numId="14">
    <w:abstractNumId w:val="17"/>
  </w:num>
  <w:num w:numId="15">
    <w:abstractNumId w:val="15"/>
  </w:num>
  <w:num w:numId="16">
    <w:abstractNumId w:val="11"/>
  </w:num>
  <w:num w:numId="17">
    <w:abstractNumId w:val="6"/>
  </w:num>
  <w:num w:numId="18">
    <w:abstractNumId w:val="3"/>
  </w:num>
  <w:num w:numId="19">
    <w:abstractNumId w:val="0"/>
  </w:num>
  <w:num w:numId="20">
    <w:abstractNumId w:val="18"/>
  </w:num>
  <w:num w:numId="21">
    <w:abstractNumId w:val="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1274"/>
    <w:rsid w:val="00002593"/>
    <w:rsid w:val="00003EB8"/>
    <w:rsid w:val="000050F9"/>
    <w:rsid w:val="000075E5"/>
    <w:rsid w:val="00007AF1"/>
    <w:rsid w:val="0001086C"/>
    <w:rsid w:val="00010DE6"/>
    <w:rsid w:val="000117B0"/>
    <w:rsid w:val="0001195A"/>
    <w:rsid w:val="00017500"/>
    <w:rsid w:val="00020E95"/>
    <w:rsid w:val="0002116D"/>
    <w:rsid w:val="00022B78"/>
    <w:rsid w:val="000254A4"/>
    <w:rsid w:val="00027ADC"/>
    <w:rsid w:val="00030231"/>
    <w:rsid w:val="000312C6"/>
    <w:rsid w:val="00033303"/>
    <w:rsid w:val="000346E3"/>
    <w:rsid w:val="000348A2"/>
    <w:rsid w:val="000349BD"/>
    <w:rsid w:val="00034B95"/>
    <w:rsid w:val="00034BBE"/>
    <w:rsid w:val="000402A1"/>
    <w:rsid w:val="0004071D"/>
    <w:rsid w:val="00041B16"/>
    <w:rsid w:val="00041CEF"/>
    <w:rsid w:val="00041D3F"/>
    <w:rsid w:val="00042786"/>
    <w:rsid w:val="000450C3"/>
    <w:rsid w:val="0004793D"/>
    <w:rsid w:val="0005129A"/>
    <w:rsid w:val="00051A9C"/>
    <w:rsid w:val="0005383F"/>
    <w:rsid w:val="000554D0"/>
    <w:rsid w:val="0005791C"/>
    <w:rsid w:val="00063096"/>
    <w:rsid w:val="0006503D"/>
    <w:rsid w:val="0006638C"/>
    <w:rsid w:val="00070CA8"/>
    <w:rsid w:val="000724FE"/>
    <w:rsid w:val="00073150"/>
    <w:rsid w:val="000734E6"/>
    <w:rsid w:val="00073764"/>
    <w:rsid w:val="000760DF"/>
    <w:rsid w:val="00077D19"/>
    <w:rsid w:val="00077E06"/>
    <w:rsid w:val="0008113C"/>
    <w:rsid w:val="000820FB"/>
    <w:rsid w:val="000936AC"/>
    <w:rsid w:val="00094566"/>
    <w:rsid w:val="000953C0"/>
    <w:rsid w:val="000A314E"/>
    <w:rsid w:val="000A58A3"/>
    <w:rsid w:val="000A5B33"/>
    <w:rsid w:val="000A64BF"/>
    <w:rsid w:val="000A744E"/>
    <w:rsid w:val="000B0836"/>
    <w:rsid w:val="000B1257"/>
    <w:rsid w:val="000B4FE7"/>
    <w:rsid w:val="000B511C"/>
    <w:rsid w:val="000B5CAF"/>
    <w:rsid w:val="000B6E1A"/>
    <w:rsid w:val="000C1EA1"/>
    <w:rsid w:val="000C39FA"/>
    <w:rsid w:val="000C61FD"/>
    <w:rsid w:val="000C7019"/>
    <w:rsid w:val="000C744C"/>
    <w:rsid w:val="000D0BC7"/>
    <w:rsid w:val="000D1171"/>
    <w:rsid w:val="000E0083"/>
    <w:rsid w:val="000E069B"/>
    <w:rsid w:val="000E25D4"/>
    <w:rsid w:val="000E50D6"/>
    <w:rsid w:val="000E6D19"/>
    <w:rsid w:val="000F15E3"/>
    <w:rsid w:val="000F23B4"/>
    <w:rsid w:val="000F3105"/>
    <w:rsid w:val="000F3F92"/>
    <w:rsid w:val="000F68C6"/>
    <w:rsid w:val="000F7831"/>
    <w:rsid w:val="00100F55"/>
    <w:rsid w:val="001024D3"/>
    <w:rsid w:val="00104586"/>
    <w:rsid w:val="00107459"/>
    <w:rsid w:val="00113987"/>
    <w:rsid w:val="001139C1"/>
    <w:rsid w:val="00115AE3"/>
    <w:rsid w:val="00121421"/>
    <w:rsid w:val="00121FFE"/>
    <w:rsid w:val="00123945"/>
    <w:rsid w:val="0012610D"/>
    <w:rsid w:val="00126A93"/>
    <w:rsid w:val="00130748"/>
    <w:rsid w:val="001327A6"/>
    <w:rsid w:val="00135399"/>
    <w:rsid w:val="00136963"/>
    <w:rsid w:val="0014449E"/>
    <w:rsid w:val="00144B99"/>
    <w:rsid w:val="00144F2B"/>
    <w:rsid w:val="00145C51"/>
    <w:rsid w:val="001515C9"/>
    <w:rsid w:val="00155070"/>
    <w:rsid w:val="0015630D"/>
    <w:rsid w:val="00156B16"/>
    <w:rsid w:val="00160262"/>
    <w:rsid w:val="0016168D"/>
    <w:rsid w:val="00164E1D"/>
    <w:rsid w:val="0016509A"/>
    <w:rsid w:val="001651F4"/>
    <w:rsid w:val="00166657"/>
    <w:rsid w:val="001704DF"/>
    <w:rsid w:val="001738A8"/>
    <w:rsid w:val="00173C33"/>
    <w:rsid w:val="0017613B"/>
    <w:rsid w:val="00176B1E"/>
    <w:rsid w:val="00177B87"/>
    <w:rsid w:val="00180B0B"/>
    <w:rsid w:val="0018188B"/>
    <w:rsid w:val="00182C5A"/>
    <w:rsid w:val="00182EEB"/>
    <w:rsid w:val="00183802"/>
    <w:rsid w:val="00185A9B"/>
    <w:rsid w:val="00187994"/>
    <w:rsid w:val="0019112A"/>
    <w:rsid w:val="0019482E"/>
    <w:rsid w:val="001A1CE1"/>
    <w:rsid w:val="001A1F69"/>
    <w:rsid w:val="001A5DFF"/>
    <w:rsid w:val="001A6A14"/>
    <w:rsid w:val="001B1AF8"/>
    <w:rsid w:val="001B46C8"/>
    <w:rsid w:val="001B6FED"/>
    <w:rsid w:val="001C1B0E"/>
    <w:rsid w:val="001C1E44"/>
    <w:rsid w:val="001C2099"/>
    <w:rsid w:val="001C248B"/>
    <w:rsid w:val="001C35CA"/>
    <w:rsid w:val="001C46F6"/>
    <w:rsid w:val="001D01FA"/>
    <w:rsid w:val="001D277F"/>
    <w:rsid w:val="001D7952"/>
    <w:rsid w:val="001E0C5E"/>
    <w:rsid w:val="001E0CEE"/>
    <w:rsid w:val="001E14AA"/>
    <w:rsid w:val="001E3D8C"/>
    <w:rsid w:val="001E52AC"/>
    <w:rsid w:val="001E798A"/>
    <w:rsid w:val="001F1D15"/>
    <w:rsid w:val="001F2F59"/>
    <w:rsid w:val="001F4014"/>
    <w:rsid w:val="001F4513"/>
    <w:rsid w:val="001F5DC0"/>
    <w:rsid w:val="0020116B"/>
    <w:rsid w:val="0020168D"/>
    <w:rsid w:val="00201B73"/>
    <w:rsid w:val="00203DC6"/>
    <w:rsid w:val="00204234"/>
    <w:rsid w:val="002048DA"/>
    <w:rsid w:val="0020642C"/>
    <w:rsid w:val="00207FE3"/>
    <w:rsid w:val="00211AD4"/>
    <w:rsid w:val="002120D6"/>
    <w:rsid w:val="0021472C"/>
    <w:rsid w:val="002200F9"/>
    <w:rsid w:val="00222C0E"/>
    <w:rsid w:val="002245BD"/>
    <w:rsid w:val="002256D3"/>
    <w:rsid w:val="002275A7"/>
    <w:rsid w:val="00227A69"/>
    <w:rsid w:val="0023096A"/>
    <w:rsid w:val="00230C3F"/>
    <w:rsid w:val="00234C8D"/>
    <w:rsid w:val="0023521C"/>
    <w:rsid w:val="00235861"/>
    <w:rsid w:val="00235A14"/>
    <w:rsid w:val="002409EF"/>
    <w:rsid w:val="00241114"/>
    <w:rsid w:val="00242331"/>
    <w:rsid w:val="002424AF"/>
    <w:rsid w:val="00250EF4"/>
    <w:rsid w:val="002510A7"/>
    <w:rsid w:val="002520ED"/>
    <w:rsid w:val="00253041"/>
    <w:rsid w:val="002535F6"/>
    <w:rsid w:val="002538D7"/>
    <w:rsid w:val="00254FC1"/>
    <w:rsid w:val="00255164"/>
    <w:rsid w:val="00256FAC"/>
    <w:rsid w:val="00257A9E"/>
    <w:rsid w:val="002605EB"/>
    <w:rsid w:val="00260BF4"/>
    <w:rsid w:val="00261DA8"/>
    <w:rsid w:val="00262764"/>
    <w:rsid w:val="002642E5"/>
    <w:rsid w:val="002644AA"/>
    <w:rsid w:val="00264D83"/>
    <w:rsid w:val="00265302"/>
    <w:rsid w:val="00265F67"/>
    <w:rsid w:val="00275058"/>
    <w:rsid w:val="002762BE"/>
    <w:rsid w:val="00276A49"/>
    <w:rsid w:val="00276BB3"/>
    <w:rsid w:val="00280350"/>
    <w:rsid w:val="00281188"/>
    <w:rsid w:val="00281C63"/>
    <w:rsid w:val="002830D7"/>
    <w:rsid w:val="0028353B"/>
    <w:rsid w:val="00284D17"/>
    <w:rsid w:val="00294AE9"/>
    <w:rsid w:val="00296B2A"/>
    <w:rsid w:val="00297B29"/>
    <w:rsid w:val="002A0816"/>
    <w:rsid w:val="002A084E"/>
    <w:rsid w:val="002A1CA6"/>
    <w:rsid w:val="002A3511"/>
    <w:rsid w:val="002A5595"/>
    <w:rsid w:val="002A5631"/>
    <w:rsid w:val="002A5D01"/>
    <w:rsid w:val="002B084A"/>
    <w:rsid w:val="002B2373"/>
    <w:rsid w:val="002B74BF"/>
    <w:rsid w:val="002C05C5"/>
    <w:rsid w:val="002C0D4C"/>
    <w:rsid w:val="002C0D7A"/>
    <w:rsid w:val="002C11CB"/>
    <w:rsid w:val="002C27F5"/>
    <w:rsid w:val="002C2C50"/>
    <w:rsid w:val="002C4999"/>
    <w:rsid w:val="002C5677"/>
    <w:rsid w:val="002D2085"/>
    <w:rsid w:val="002D2F23"/>
    <w:rsid w:val="002D3C89"/>
    <w:rsid w:val="002D4C3D"/>
    <w:rsid w:val="002D73D7"/>
    <w:rsid w:val="002E6E51"/>
    <w:rsid w:val="002F2845"/>
    <w:rsid w:val="002F4E43"/>
    <w:rsid w:val="002F64F0"/>
    <w:rsid w:val="002F6F70"/>
    <w:rsid w:val="002F7FE5"/>
    <w:rsid w:val="00304ED5"/>
    <w:rsid w:val="00310DC1"/>
    <w:rsid w:val="003121BF"/>
    <w:rsid w:val="00313A3B"/>
    <w:rsid w:val="003143E5"/>
    <w:rsid w:val="00315125"/>
    <w:rsid w:val="0031554E"/>
    <w:rsid w:val="003158E8"/>
    <w:rsid w:val="00315FB9"/>
    <w:rsid w:val="0031722F"/>
    <w:rsid w:val="003217D5"/>
    <w:rsid w:val="00322424"/>
    <w:rsid w:val="00323503"/>
    <w:rsid w:val="003260C7"/>
    <w:rsid w:val="00330922"/>
    <w:rsid w:val="0033535C"/>
    <w:rsid w:val="00336031"/>
    <w:rsid w:val="0034121E"/>
    <w:rsid w:val="0034257F"/>
    <w:rsid w:val="00343BDC"/>
    <w:rsid w:val="00344637"/>
    <w:rsid w:val="00344BF0"/>
    <w:rsid w:val="0034711A"/>
    <w:rsid w:val="00350AC7"/>
    <w:rsid w:val="00350FAF"/>
    <w:rsid w:val="00356365"/>
    <w:rsid w:val="00360958"/>
    <w:rsid w:val="00360B39"/>
    <w:rsid w:val="00361ACA"/>
    <w:rsid w:val="00361FFE"/>
    <w:rsid w:val="003632F5"/>
    <w:rsid w:val="003636B1"/>
    <w:rsid w:val="00363736"/>
    <w:rsid w:val="003642AB"/>
    <w:rsid w:val="003647F6"/>
    <w:rsid w:val="00372B44"/>
    <w:rsid w:val="003737F2"/>
    <w:rsid w:val="003804A5"/>
    <w:rsid w:val="00380859"/>
    <w:rsid w:val="00381F6C"/>
    <w:rsid w:val="003849EE"/>
    <w:rsid w:val="00385D52"/>
    <w:rsid w:val="00386161"/>
    <w:rsid w:val="00393F00"/>
    <w:rsid w:val="0039504B"/>
    <w:rsid w:val="0039547C"/>
    <w:rsid w:val="0039555C"/>
    <w:rsid w:val="00395638"/>
    <w:rsid w:val="003A0407"/>
    <w:rsid w:val="003A2AD2"/>
    <w:rsid w:val="003A3963"/>
    <w:rsid w:val="003A4727"/>
    <w:rsid w:val="003A4FCD"/>
    <w:rsid w:val="003A5098"/>
    <w:rsid w:val="003A50BF"/>
    <w:rsid w:val="003A6341"/>
    <w:rsid w:val="003A6C37"/>
    <w:rsid w:val="003A743A"/>
    <w:rsid w:val="003B41C1"/>
    <w:rsid w:val="003B448C"/>
    <w:rsid w:val="003B58EC"/>
    <w:rsid w:val="003B72BD"/>
    <w:rsid w:val="003B74D9"/>
    <w:rsid w:val="003B76F0"/>
    <w:rsid w:val="003B7830"/>
    <w:rsid w:val="003C10C2"/>
    <w:rsid w:val="003C425E"/>
    <w:rsid w:val="003C4E37"/>
    <w:rsid w:val="003D1AA5"/>
    <w:rsid w:val="003D1D5E"/>
    <w:rsid w:val="003D4212"/>
    <w:rsid w:val="003D6FF4"/>
    <w:rsid w:val="003D7A04"/>
    <w:rsid w:val="003E30F2"/>
    <w:rsid w:val="003E3E71"/>
    <w:rsid w:val="003E43FF"/>
    <w:rsid w:val="003E4F62"/>
    <w:rsid w:val="003E520E"/>
    <w:rsid w:val="003E5D9D"/>
    <w:rsid w:val="003E7FB3"/>
    <w:rsid w:val="003F0AA4"/>
    <w:rsid w:val="003F1A8A"/>
    <w:rsid w:val="003F4355"/>
    <w:rsid w:val="003F44C8"/>
    <w:rsid w:val="003F6FC2"/>
    <w:rsid w:val="003F7693"/>
    <w:rsid w:val="004001DF"/>
    <w:rsid w:val="0040151F"/>
    <w:rsid w:val="004057E2"/>
    <w:rsid w:val="00405E87"/>
    <w:rsid w:val="00406E45"/>
    <w:rsid w:val="00406FDE"/>
    <w:rsid w:val="00407B81"/>
    <w:rsid w:val="00410DE2"/>
    <w:rsid w:val="00411237"/>
    <w:rsid w:val="00412220"/>
    <w:rsid w:val="00413C46"/>
    <w:rsid w:val="0041702B"/>
    <w:rsid w:val="00421183"/>
    <w:rsid w:val="00421839"/>
    <w:rsid w:val="00421A5C"/>
    <w:rsid w:val="00422118"/>
    <w:rsid w:val="00422C7A"/>
    <w:rsid w:val="004240F0"/>
    <w:rsid w:val="00424AB3"/>
    <w:rsid w:val="00424DE6"/>
    <w:rsid w:val="004270E2"/>
    <w:rsid w:val="0042757C"/>
    <w:rsid w:val="00431F2A"/>
    <w:rsid w:val="0043272D"/>
    <w:rsid w:val="00434A98"/>
    <w:rsid w:val="004352B7"/>
    <w:rsid w:val="0043696B"/>
    <w:rsid w:val="00437A99"/>
    <w:rsid w:val="004421DA"/>
    <w:rsid w:val="00442650"/>
    <w:rsid w:val="00444198"/>
    <w:rsid w:val="00447694"/>
    <w:rsid w:val="00447A04"/>
    <w:rsid w:val="00451EE0"/>
    <w:rsid w:val="004526D5"/>
    <w:rsid w:val="0045605A"/>
    <w:rsid w:val="004600BA"/>
    <w:rsid w:val="00460419"/>
    <w:rsid w:val="004606D3"/>
    <w:rsid w:val="00463067"/>
    <w:rsid w:val="00465983"/>
    <w:rsid w:val="00467904"/>
    <w:rsid w:val="0047169E"/>
    <w:rsid w:val="00471887"/>
    <w:rsid w:val="00471B19"/>
    <w:rsid w:val="004724AA"/>
    <w:rsid w:val="004725D0"/>
    <w:rsid w:val="00472C25"/>
    <w:rsid w:val="0047300F"/>
    <w:rsid w:val="004730EA"/>
    <w:rsid w:val="00475DB6"/>
    <w:rsid w:val="00475EBB"/>
    <w:rsid w:val="0047620D"/>
    <w:rsid w:val="0047707D"/>
    <w:rsid w:val="00481E37"/>
    <w:rsid w:val="004820A3"/>
    <w:rsid w:val="004825C5"/>
    <w:rsid w:val="00483909"/>
    <w:rsid w:val="004864BB"/>
    <w:rsid w:val="00486B2C"/>
    <w:rsid w:val="004876B6"/>
    <w:rsid w:val="004908BB"/>
    <w:rsid w:val="00493803"/>
    <w:rsid w:val="004945B5"/>
    <w:rsid w:val="004949BC"/>
    <w:rsid w:val="004949E7"/>
    <w:rsid w:val="00495664"/>
    <w:rsid w:val="004960CB"/>
    <w:rsid w:val="004971FF"/>
    <w:rsid w:val="004A355B"/>
    <w:rsid w:val="004A4D2E"/>
    <w:rsid w:val="004A6D81"/>
    <w:rsid w:val="004B121D"/>
    <w:rsid w:val="004B20AF"/>
    <w:rsid w:val="004B25E1"/>
    <w:rsid w:val="004B2BFF"/>
    <w:rsid w:val="004B2FEB"/>
    <w:rsid w:val="004B3D10"/>
    <w:rsid w:val="004B454F"/>
    <w:rsid w:val="004B763C"/>
    <w:rsid w:val="004C00B7"/>
    <w:rsid w:val="004C047D"/>
    <w:rsid w:val="004C0A5F"/>
    <w:rsid w:val="004C0D6B"/>
    <w:rsid w:val="004C10F7"/>
    <w:rsid w:val="004C43FE"/>
    <w:rsid w:val="004C5B8F"/>
    <w:rsid w:val="004C65FE"/>
    <w:rsid w:val="004D1D3B"/>
    <w:rsid w:val="004D2815"/>
    <w:rsid w:val="004D493D"/>
    <w:rsid w:val="004D55C3"/>
    <w:rsid w:val="004D6BFC"/>
    <w:rsid w:val="004D72A1"/>
    <w:rsid w:val="004D7BCA"/>
    <w:rsid w:val="004E01E7"/>
    <w:rsid w:val="004E2027"/>
    <w:rsid w:val="004E41FC"/>
    <w:rsid w:val="004E671B"/>
    <w:rsid w:val="004F1431"/>
    <w:rsid w:val="004F2757"/>
    <w:rsid w:val="004F3C27"/>
    <w:rsid w:val="004F6500"/>
    <w:rsid w:val="005015FC"/>
    <w:rsid w:val="00503EEA"/>
    <w:rsid w:val="0050691E"/>
    <w:rsid w:val="00511FA9"/>
    <w:rsid w:val="0051266E"/>
    <w:rsid w:val="00513D32"/>
    <w:rsid w:val="005151CF"/>
    <w:rsid w:val="005155D1"/>
    <w:rsid w:val="0051640A"/>
    <w:rsid w:val="00517ED5"/>
    <w:rsid w:val="00517EEA"/>
    <w:rsid w:val="00520248"/>
    <w:rsid w:val="00521F25"/>
    <w:rsid w:val="00522135"/>
    <w:rsid w:val="005227A9"/>
    <w:rsid w:val="00523541"/>
    <w:rsid w:val="005268AF"/>
    <w:rsid w:val="00531A59"/>
    <w:rsid w:val="005323FE"/>
    <w:rsid w:val="005345FB"/>
    <w:rsid w:val="00536F9D"/>
    <w:rsid w:val="00541A6E"/>
    <w:rsid w:val="005443C8"/>
    <w:rsid w:val="0054579C"/>
    <w:rsid w:val="00546231"/>
    <w:rsid w:val="005520EC"/>
    <w:rsid w:val="005520F9"/>
    <w:rsid w:val="00555DE8"/>
    <w:rsid w:val="0055610A"/>
    <w:rsid w:val="005670B2"/>
    <w:rsid w:val="00571BAC"/>
    <w:rsid w:val="00577BD3"/>
    <w:rsid w:val="0058181D"/>
    <w:rsid w:val="005824C7"/>
    <w:rsid w:val="005837C5"/>
    <w:rsid w:val="00584BAD"/>
    <w:rsid w:val="00586574"/>
    <w:rsid w:val="00592FA7"/>
    <w:rsid w:val="00593B2E"/>
    <w:rsid w:val="005947D3"/>
    <w:rsid w:val="00595C86"/>
    <w:rsid w:val="00596D1C"/>
    <w:rsid w:val="005A136B"/>
    <w:rsid w:val="005A2901"/>
    <w:rsid w:val="005A2A43"/>
    <w:rsid w:val="005A3DC7"/>
    <w:rsid w:val="005B0020"/>
    <w:rsid w:val="005B1811"/>
    <w:rsid w:val="005B1DF9"/>
    <w:rsid w:val="005B4875"/>
    <w:rsid w:val="005B62F9"/>
    <w:rsid w:val="005B775F"/>
    <w:rsid w:val="005C1A29"/>
    <w:rsid w:val="005C1BF3"/>
    <w:rsid w:val="005C3733"/>
    <w:rsid w:val="005C6469"/>
    <w:rsid w:val="005C7976"/>
    <w:rsid w:val="005D00EB"/>
    <w:rsid w:val="005D0F03"/>
    <w:rsid w:val="005D189B"/>
    <w:rsid w:val="005D1C17"/>
    <w:rsid w:val="005D1DF2"/>
    <w:rsid w:val="005D2749"/>
    <w:rsid w:val="005D2A4B"/>
    <w:rsid w:val="005D3D55"/>
    <w:rsid w:val="005D5CAA"/>
    <w:rsid w:val="005D5E65"/>
    <w:rsid w:val="005D650F"/>
    <w:rsid w:val="005D7A28"/>
    <w:rsid w:val="005E290E"/>
    <w:rsid w:val="005E3A5C"/>
    <w:rsid w:val="005E3AEF"/>
    <w:rsid w:val="005E5047"/>
    <w:rsid w:val="005E5B14"/>
    <w:rsid w:val="005E7917"/>
    <w:rsid w:val="005E7C10"/>
    <w:rsid w:val="005F360D"/>
    <w:rsid w:val="005F36D8"/>
    <w:rsid w:val="005F3D00"/>
    <w:rsid w:val="005F582F"/>
    <w:rsid w:val="005F6C3F"/>
    <w:rsid w:val="0060095A"/>
    <w:rsid w:val="00601A41"/>
    <w:rsid w:val="00605807"/>
    <w:rsid w:val="00605FC7"/>
    <w:rsid w:val="00606227"/>
    <w:rsid w:val="006066FB"/>
    <w:rsid w:val="006073EE"/>
    <w:rsid w:val="00610765"/>
    <w:rsid w:val="00611140"/>
    <w:rsid w:val="006145BC"/>
    <w:rsid w:val="00627089"/>
    <w:rsid w:val="006307DF"/>
    <w:rsid w:val="006309C3"/>
    <w:rsid w:val="006330B5"/>
    <w:rsid w:val="00633841"/>
    <w:rsid w:val="0063525C"/>
    <w:rsid w:val="00636027"/>
    <w:rsid w:val="00636BAB"/>
    <w:rsid w:val="006373C3"/>
    <w:rsid w:val="00641EE3"/>
    <w:rsid w:val="0064322F"/>
    <w:rsid w:val="00646C45"/>
    <w:rsid w:val="0064772E"/>
    <w:rsid w:val="006524D1"/>
    <w:rsid w:val="0065349E"/>
    <w:rsid w:val="00653913"/>
    <w:rsid w:val="00656167"/>
    <w:rsid w:val="006562F2"/>
    <w:rsid w:val="006571AF"/>
    <w:rsid w:val="00661C7B"/>
    <w:rsid w:val="00663938"/>
    <w:rsid w:val="00664A15"/>
    <w:rsid w:val="00665480"/>
    <w:rsid w:val="00666D7B"/>
    <w:rsid w:val="006719A4"/>
    <w:rsid w:val="00672ECC"/>
    <w:rsid w:val="00674A73"/>
    <w:rsid w:val="0067789E"/>
    <w:rsid w:val="006812AA"/>
    <w:rsid w:val="0068230C"/>
    <w:rsid w:val="00682D6F"/>
    <w:rsid w:val="00684B4F"/>
    <w:rsid w:val="00684FD0"/>
    <w:rsid w:val="00685C44"/>
    <w:rsid w:val="00686327"/>
    <w:rsid w:val="006867CA"/>
    <w:rsid w:val="00692702"/>
    <w:rsid w:val="00693262"/>
    <w:rsid w:val="006949D0"/>
    <w:rsid w:val="006956DE"/>
    <w:rsid w:val="006965B5"/>
    <w:rsid w:val="00696B5E"/>
    <w:rsid w:val="0069732A"/>
    <w:rsid w:val="006A04F3"/>
    <w:rsid w:val="006A1898"/>
    <w:rsid w:val="006A2F32"/>
    <w:rsid w:val="006A674C"/>
    <w:rsid w:val="006B1808"/>
    <w:rsid w:val="006B3843"/>
    <w:rsid w:val="006B3B33"/>
    <w:rsid w:val="006B5EC8"/>
    <w:rsid w:val="006B6546"/>
    <w:rsid w:val="006C2768"/>
    <w:rsid w:val="006C3496"/>
    <w:rsid w:val="006C56BF"/>
    <w:rsid w:val="006C764F"/>
    <w:rsid w:val="006D1E62"/>
    <w:rsid w:val="006D36D7"/>
    <w:rsid w:val="006D3922"/>
    <w:rsid w:val="006D5BF0"/>
    <w:rsid w:val="006D7411"/>
    <w:rsid w:val="006D7DE8"/>
    <w:rsid w:val="006E2453"/>
    <w:rsid w:val="006E4A3B"/>
    <w:rsid w:val="006E4BDA"/>
    <w:rsid w:val="006E7C9D"/>
    <w:rsid w:val="006F2DC4"/>
    <w:rsid w:val="006F3515"/>
    <w:rsid w:val="006F470E"/>
    <w:rsid w:val="006F4BD4"/>
    <w:rsid w:val="006F62E8"/>
    <w:rsid w:val="006F6FA3"/>
    <w:rsid w:val="006F781F"/>
    <w:rsid w:val="007001BF"/>
    <w:rsid w:val="00700558"/>
    <w:rsid w:val="007012BC"/>
    <w:rsid w:val="00701AF3"/>
    <w:rsid w:val="00701FE3"/>
    <w:rsid w:val="00702071"/>
    <w:rsid w:val="00703815"/>
    <w:rsid w:val="00704848"/>
    <w:rsid w:val="00705EE4"/>
    <w:rsid w:val="00713870"/>
    <w:rsid w:val="00717420"/>
    <w:rsid w:val="00717AF1"/>
    <w:rsid w:val="00717D86"/>
    <w:rsid w:val="00720498"/>
    <w:rsid w:val="007217FB"/>
    <w:rsid w:val="00721DA0"/>
    <w:rsid w:val="007224A7"/>
    <w:rsid w:val="007225A2"/>
    <w:rsid w:val="00724F8E"/>
    <w:rsid w:val="00731AED"/>
    <w:rsid w:val="0073239B"/>
    <w:rsid w:val="00733E80"/>
    <w:rsid w:val="007343E7"/>
    <w:rsid w:val="00736ABA"/>
    <w:rsid w:val="007370FD"/>
    <w:rsid w:val="00737BF6"/>
    <w:rsid w:val="00737EB6"/>
    <w:rsid w:val="00740566"/>
    <w:rsid w:val="007423B8"/>
    <w:rsid w:val="0074313B"/>
    <w:rsid w:val="00746A02"/>
    <w:rsid w:val="00746A97"/>
    <w:rsid w:val="00747361"/>
    <w:rsid w:val="00751B75"/>
    <w:rsid w:val="0075216F"/>
    <w:rsid w:val="007529D4"/>
    <w:rsid w:val="00753E3A"/>
    <w:rsid w:val="00756489"/>
    <w:rsid w:val="00756998"/>
    <w:rsid w:val="00756FE3"/>
    <w:rsid w:val="0075798B"/>
    <w:rsid w:val="00760CE0"/>
    <w:rsid w:val="0076287B"/>
    <w:rsid w:val="007633A3"/>
    <w:rsid w:val="00763797"/>
    <w:rsid w:val="0076385F"/>
    <w:rsid w:val="00765598"/>
    <w:rsid w:val="007670ED"/>
    <w:rsid w:val="0077204B"/>
    <w:rsid w:val="00773D4E"/>
    <w:rsid w:val="00773DFC"/>
    <w:rsid w:val="007772F5"/>
    <w:rsid w:val="00777A9F"/>
    <w:rsid w:val="00781F8A"/>
    <w:rsid w:val="00783EDA"/>
    <w:rsid w:val="007840A3"/>
    <w:rsid w:val="00791651"/>
    <w:rsid w:val="00791877"/>
    <w:rsid w:val="00794C71"/>
    <w:rsid w:val="00795BE0"/>
    <w:rsid w:val="0079608F"/>
    <w:rsid w:val="00796A12"/>
    <w:rsid w:val="007973B3"/>
    <w:rsid w:val="00797DD8"/>
    <w:rsid w:val="00797E2A"/>
    <w:rsid w:val="007A3730"/>
    <w:rsid w:val="007A3A2C"/>
    <w:rsid w:val="007A3BBB"/>
    <w:rsid w:val="007A58AA"/>
    <w:rsid w:val="007B04D9"/>
    <w:rsid w:val="007B0E63"/>
    <w:rsid w:val="007B2648"/>
    <w:rsid w:val="007B38F4"/>
    <w:rsid w:val="007B42AE"/>
    <w:rsid w:val="007B48AC"/>
    <w:rsid w:val="007B4D8F"/>
    <w:rsid w:val="007C01F9"/>
    <w:rsid w:val="007C0C95"/>
    <w:rsid w:val="007C1BE7"/>
    <w:rsid w:val="007C2535"/>
    <w:rsid w:val="007C34B2"/>
    <w:rsid w:val="007C3C20"/>
    <w:rsid w:val="007C4F51"/>
    <w:rsid w:val="007C6654"/>
    <w:rsid w:val="007C6716"/>
    <w:rsid w:val="007D1445"/>
    <w:rsid w:val="007D2066"/>
    <w:rsid w:val="007D3088"/>
    <w:rsid w:val="007D3D51"/>
    <w:rsid w:val="007D526B"/>
    <w:rsid w:val="007D59C5"/>
    <w:rsid w:val="007D623A"/>
    <w:rsid w:val="007E124E"/>
    <w:rsid w:val="007E1CBF"/>
    <w:rsid w:val="007E64B4"/>
    <w:rsid w:val="007E7162"/>
    <w:rsid w:val="007F0A79"/>
    <w:rsid w:val="007F16F1"/>
    <w:rsid w:val="007F1A47"/>
    <w:rsid w:val="007F2323"/>
    <w:rsid w:val="007F4DEA"/>
    <w:rsid w:val="007F6BAF"/>
    <w:rsid w:val="00800DDA"/>
    <w:rsid w:val="008011E1"/>
    <w:rsid w:val="00802598"/>
    <w:rsid w:val="00802E6A"/>
    <w:rsid w:val="00803A20"/>
    <w:rsid w:val="00803F36"/>
    <w:rsid w:val="0080625A"/>
    <w:rsid w:val="008073A0"/>
    <w:rsid w:val="00807E83"/>
    <w:rsid w:val="008115A9"/>
    <w:rsid w:val="00812BE0"/>
    <w:rsid w:val="00812F58"/>
    <w:rsid w:val="00813EBB"/>
    <w:rsid w:val="00815B3C"/>
    <w:rsid w:val="00815EAB"/>
    <w:rsid w:val="0082556E"/>
    <w:rsid w:val="00826F36"/>
    <w:rsid w:val="0083103B"/>
    <w:rsid w:val="008405E7"/>
    <w:rsid w:val="0084171E"/>
    <w:rsid w:val="008427B4"/>
    <w:rsid w:val="00843299"/>
    <w:rsid w:val="00844076"/>
    <w:rsid w:val="00844A05"/>
    <w:rsid w:val="00846530"/>
    <w:rsid w:val="00846629"/>
    <w:rsid w:val="00847347"/>
    <w:rsid w:val="0085000F"/>
    <w:rsid w:val="008510C9"/>
    <w:rsid w:val="0085172A"/>
    <w:rsid w:val="00852BC1"/>
    <w:rsid w:val="008601F7"/>
    <w:rsid w:val="00860788"/>
    <w:rsid w:val="00860E2B"/>
    <w:rsid w:val="0086236D"/>
    <w:rsid w:val="00862766"/>
    <w:rsid w:val="00863CFB"/>
    <w:rsid w:val="00865759"/>
    <w:rsid w:val="008678CE"/>
    <w:rsid w:val="00867A24"/>
    <w:rsid w:val="00867DB1"/>
    <w:rsid w:val="00871947"/>
    <w:rsid w:val="008730C2"/>
    <w:rsid w:val="00874B83"/>
    <w:rsid w:val="00876A28"/>
    <w:rsid w:val="00880665"/>
    <w:rsid w:val="00880FCE"/>
    <w:rsid w:val="008851FB"/>
    <w:rsid w:val="008863C2"/>
    <w:rsid w:val="00890A8A"/>
    <w:rsid w:val="00890BBC"/>
    <w:rsid w:val="008913CE"/>
    <w:rsid w:val="008916F6"/>
    <w:rsid w:val="00893188"/>
    <w:rsid w:val="00894630"/>
    <w:rsid w:val="00894C11"/>
    <w:rsid w:val="00897BA5"/>
    <w:rsid w:val="008A0F4F"/>
    <w:rsid w:val="008A2603"/>
    <w:rsid w:val="008A29D5"/>
    <w:rsid w:val="008A361F"/>
    <w:rsid w:val="008A495C"/>
    <w:rsid w:val="008A6445"/>
    <w:rsid w:val="008A714E"/>
    <w:rsid w:val="008A754E"/>
    <w:rsid w:val="008B0FA7"/>
    <w:rsid w:val="008B5115"/>
    <w:rsid w:val="008B564F"/>
    <w:rsid w:val="008B5AEA"/>
    <w:rsid w:val="008B69B1"/>
    <w:rsid w:val="008C0046"/>
    <w:rsid w:val="008C3373"/>
    <w:rsid w:val="008C5291"/>
    <w:rsid w:val="008C6791"/>
    <w:rsid w:val="008C6C46"/>
    <w:rsid w:val="008D01EB"/>
    <w:rsid w:val="008D330F"/>
    <w:rsid w:val="008D44AD"/>
    <w:rsid w:val="008D5224"/>
    <w:rsid w:val="008D6AEC"/>
    <w:rsid w:val="008E0648"/>
    <w:rsid w:val="008E20E6"/>
    <w:rsid w:val="008E5410"/>
    <w:rsid w:val="008E5909"/>
    <w:rsid w:val="008E739F"/>
    <w:rsid w:val="008F01E0"/>
    <w:rsid w:val="008F1447"/>
    <w:rsid w:val="008F155E"/>
    <w:rsid w:val="008F21D0"/>
    <w:rsid w:val="008F2D02"/>
    <w:rsid w:val="008F4499"/>
    <w:rsid w:val="008F4DF3"/>
    <w:rsid w:val="008F777E"/>
    <w:rsid w:val="008F77E6"/>
    <w:rsid w:val="0090351D"/>
    <w:rsid w:val="00903BB6"/>
    <w:rsid w:val="009052F1"/>
    <w:rsid w:val="00905DEE"/>
    <w:rsid w:val="00907379"/>
    <w:rsid w:val="0091026C"/>
    <w:rsid w:val="00911279"/>
    <w:rsid w:val="00911A1A"/>
    <w:rsid w:val="00911A63"/>
    <w:rsid w:val="00911D1A"/>
    <w:rsid w:val="00915630"/>
    <w:rsid w:val="00916162"/>
    <w:rsid w:val="009207E7"/>
    <w:rsid w:val="0092255E"/>
    <w:rsid w:val="00923870"/>
    <w:rsid w:val="00923F2A"/>
    <w:rsid w:val="0092424A"/>
    <w:rsid w:val="00925B94"/>
    <w:rsid w:val="009261BA"/>
    <w:rsid w:val="00932814"/>
    <w:rsid w:val="00933B38"/>
    <w:rsid w:val="0093404C"/>
    <w:rsid w:val="00936345"/>
    <w:rsid w:val="00942531"/>
    <w:rsid w:val="00944020"/>
    <w:rsid w:val="00945232"/>
    <w:rsid w:val="00946A92"/>
    <w:rsid w:val="00946BCB"/>
    <w:rsid w:val="0095371E"/>
    <w:rsid w:val="00956A82"/>
    <w:rsid w:val="00957B5B"/>
    <w:rsid w:val="00961957"/>
    <w:rsid w:val="009619F7"/>
    <w:rsid w:val="0096487F"/>
    <w:rsid w:val="00964A5D"/>
    <w:rsid w:val="00966687"/>
    <w:rsid w:val="00967207"/>
    <w:rsid w:val="009679AC"/>
    <w:rsid w:val="00967CE7"/>
    <w:rsid w:val="00970885"/>
    <w:rsid w:val="009715F6"/>
    <w:rsid w:val="00972726"/>
    <w:rsid w:val="00973813"/>
    <w:rsid w:val="00974C88"/>
    <w:rsid w:val="00977839"/>
    <w:rsid w:val="00980820"/>
    <w:rsid w:val="00982921"/>
    <w:rsid w:val="009858C7"/>
    <w:rsid w:val="00985EC9"/>
    <w:rsid w:val="0099110C"/>
    <w:rsid w:val="0099189F"/>
    <w:rsid w:val="00992A1A"/>
    <w:rsid w:val="00993672"/>
    <w:rsid w:val="009943CE"/>
    <w:rsid w:val="0099798C"/>
    <w:rsid w:val="009A094D"/>
    <w:rsid w:val="009A0FAD"/>
    <w:rsid w:val="009A3C78"/>
    <w:rsid w:val="009A54B9"/>
    <w:rsid w:val="009A75BA"/>
    <w:rsid w:val="009B67E2"/>
    <w:rsid w:val="009C04A8"/>
    <w:rsid w:val="009C0AB8"/>
    <w:rsid w:val="009C60AC"/>
    <w:rsid w:val="009C6724"/>
    <w:rsid w:val="009D2DB8"/>
    <w:rsid w:val="009D3B2F"/>
    <w:rsid w:val="009D7CB0"/>
    <w:rsid w:val="009E178E"/>
    <w:rsid w:val="009E290B"/>
    <w:rsid w:val="009E2BE3"/>
    <w:rsid w:val="009E316F"/>
    <w:rsid w:val="009E45B8"/>
    <w:rsid w:val="009E4DD2"/>
    <w:rsid w:val="009F2AA0"/>
    <w:rsid w:val="009F39FF"/>
    <w:rsid w:val="00A017FB"/>
    <w:rsid w:val="00A019FD"/>
    <w:rsid w:val="00A01B91"/>
    <w:rsid w:val="00A022C5"/>
    <w:rsid w:val="00A04194"/>
    <w:rsid w:val="00A04620"/>
    <w:rsid w:val="00A054FB"/>
    <w:rsid w:val="00A0634F"/>
    <w:rsid w:val="00A06D05"/>
    <w:rsid w:val="00A07303"/>
    <w:rsid w:val="00A1025D"/>
    <w:rsid w:val="00A121BC"/>
    <w:rsid w:val="00A153ED"/>
    <w:rsid w:val="00A20708"/>
    <w:rsid w:val="00A20C49"/>
    <w:rsid w:val="00A2227D"/>
    <w:rsid w:val="00A22F01"/>
    <w:rsid w:val="00A24036"/>
    <w:rsid w:val="00A25399"/>
    <w:rsid w:val="00A2581C"/>
    <w:rsid w:val="00A258F1"/>
    <w:rsid w:val="00A2596F"/>
    <w:rsid w:val="00A272C5"/>
    <w:rsid w:val="00A27BD6"/>
    <w:rsid w:val="00A32B1D"/>
    <w:rsid w:val="00A33CF6"/>
    <w:rsid w:val="00A356AD"/>
    <w:rsid w:val="00A35D47"/>
    <w:rsid w:val="00A365C3"/>
    <w:rsid w:val="00A36C87"/>
    <w:rsid w:val="00A37381"/>
    <w:rsid w:val="00A400C7"/>
    <w:rsid w:val="00A4071F"/>
    <w:rsid w:val="00A42EAD"/>
    <w:rsid w:val="00A42EBC"/>
    <w:rsid w:val="00A45103"/>
    <w:rsid w:val="00A500E4"/>
    <w:rsid w:val="00A509E6"/>
    <w:rsid w:val="00A53B48"/>
    <w:rsid w:val="00A6152F"/>
    <w:rsid w:val="00A62191"/>
    <w:rsid w:val="00A637C4"/>
    <w:rsid w:val="00A63ADC"/>
    <w:rsid w:val="00A63CB2"/>
    <w:rsid w:val="00A6455A"/>
    <w:rsid w:val="00A64A49"/>
    <w:rsid w:val="00A65801"/>
    <w:rsid w:val="00A6674F"/>
    <w:rsid w:val="00A7114A"/>
    <w:rsid w:val="00A71762"/>
    <w:rsid w:val="00A7179D"/>
    <w:rsid w:val="00A72D5E"/>
    <w:rsid w:val="00A731CB"/>
    <w:rsid w:val="00A733AE"/>
    <w:rsid w:val="00A75874"/>
    <w:rsid w:val="00A75F02"/>
    <w:rsid w:val="00A772E6"/>
    <w:rsid w:val="00A775CF"/>
    <w:rsid w:val="00A779F0"/>
    <w:rsid w:val="00A77FDB"/>
    <w:rsid w:val="00A81639"/>
    <w:rsid w:val="00A835A9"/>
    <w:rsid w:val="00A864BD"/>
    <w:rsid w:val="00A92C23"/>
    <w:rsid w:val="00A949DD"/>
    <w:rsid w:val="00A96D4B"/>
    <w:rsid w:val="00A974BA"/>
    <w:rsid w:val="00A97F80"/>
    <w:rsid w:val="00AA2ABA"/>
    <w:rsid w:val="00AA2C3D"/>
    <w:rsid w:val="00AA2E24"/>
    <w:rsid w:val="00AA34C5"/>
    <w:rsid w:val="00AA3F6E"/>
    <w:rsid w:val="00AA4F76"/>
    <w:rsid w:val="00AA512A"/>
    <w:rsid w:val="00AA5A80"/>
    <w:rsid w:val="00AA5B0E"/>
    <w:rsid w:val="00AA5F1C"/>
    <w:rsid w:val="00AA5F84"/>
    <w:rsid w:val="00AA7198"/>
    <w:rsid w:val="00AA771F"/>
    <w:rsid w:val="00AA7BB3"/>
    <w:rsid w:val="00AB1602"/>
    <w:rsid w:val="00AB540E"/>
    <w:rsid w:val="00AB5BC3"/>
    <w:rsid w:val="00AB615C"/>
    <w:rsid w:val="00AB6EBC"/>
    <w:rsid w:val="00AC031F"/>
    <w:rsid w:val="00AC08DC"/>
    <w:rsid w:val="00AC13DF"/>
    <w:rsid w:val="00AC1DC7"/>
    <w:rsid w:val="00AC21F6"/>
    <w:rsid w:val="00AC3341"/>
    <w:rsid w:val="00AC6D28"/>
    <w:rsid w:val="00AD0A3A"/>
    <w:rsid w:val="00AD23EB"/>
    <w:rsid w:val="00AD41EE"/>
    <w:rsid w:val="00AE0887"/>
    <w:rsid w:val="00AE1900"/>
    <w:rsid w:val="00AE266B"/>
    <w:rsid w:val="00AE385C"/>
    <w:rsid w:val="00AF105D"/>
    <w:rsid w:val="00AF2576"/>
    <w:rsid w:val="00AF2E4C"/>
    <w:rsid w:val="00AF443E"/>
    <w:rsid w:val="00AF5272"/>
    <w:rsid w:val="00B0412D"/>
    <w:rsid w:val="00B042FC"/>
    <w:rsid w:val="00B060D5"/>
    <w:rsid w:val="00B06D35"/>
    <w:rsid w:val="00B10CB4"/>
    <w:rsid w:val="00B122F4"/>
    <w:rsid w:val="00B1386A"/>
    <w:rsid w:val="00B1582C"/>
    <w:rsid w:val="00B17246"/>
    <w:rsid w:val="00B17FAE"/>
    <w:rsid w:val="00B20655"/>
    <w:rsid w:val="00B21742"/>
    <w:rsid w:val="00B23EA8"/>
    <w:rsid w:val="00B25E4A"/>
    <w:rsid w:val="00B31AD4"/>
    <w:rsid w:val="00B31BB6"/>
    <w:rsid w:val="00B32156"/>
    <w:rsid w:val="00B330A5"/>
    <w:rsid w:val="00B340BD"/>
    <w:rsid w:val="00B45159"/>
    <w:rsid w:val="00B45CD9"/>
    <w:rsid w:val="00B50FB2"/>
    <w:rsid w:val="00B5269F"/>
    <w:rsid w:val="00B52BC8"/>
    <w:rsid w:val="00B549CD"/>
    <w:rsid w:val="00B55117"/>
    <w:rsid w:val="00B5692E"/>
    <w:rsid w:val="00B631D4"/>
    <w:rsid w:val="00B65508"/>
    <w:rsid w:val="00B6590D"/>
    <w:rsid w:val="00B67917"/>
    <w:rsid w:val="00B72642"/>
    <w:rsid w:val="00B7606E"/>
    <w:rsid w:val="00B7687C"/>
    <w:rsid w:val="00B800D0"/>
    <w:rsid w:val="00B814B6"/>
    <w:rsid w:val="00B854AE"/>
    <w:rsid w:val="00B85950"/>
    <w:rsid w:val="00B8622F"/>
    <w:rsid w:val="00B864B3"/>
    <w:rsid w:val="00B86646"/>
    <w:rsid w:val="00B8677B"/>
    <w:rsid w:val="00B9094A"/>
    <w:rsid w:val="00B91077"/>
    <w:rsid w:val="00B91B18"/>
    <w:rsid w:val="00B91D08"/>
    <w:rsid w:val="00B922BA"/>
    <w:rsid w:val="00B943A3"/>
    <w:rsid w:val="00B947D2"/>
    <w:rsid w:val="00B94FC6"/>
    <w:rsid w:val="00B94FCD"/>
    <w:rsid w:val="00BA12A8"/>
    <w:rsid w:val="00BA438E"/>
    <w:rsid w:val="00BA44C4"/>
    <w:rsid w:val="00BA734D"/>
    <w:rsid w:val="00BA7CC0"/>
    <w:rsid w:val="00BB083C"/>
    <w:rsid w:val="00BB5C9C"/>
    <w:rsid w:val="00BB661B"/>
    <w:rsid w:val="00BB73EA"/>
    <w:rsid w:val="00BC0826"/>
    <w:rsid w:val="00BC1221"/>
    <w:rsid w:val="00BC2BA4"/>
    <w:rsid w:val="00BC3895"/>
    <w:rsid w:val="00BC3D91"/>
    <w:rsid w:val="00BC48DD"/>
    <w:rsid w:val="00BC54DE"/>
    <w:rsid w:val="00BC5F2E"/>
    <w:rsid w:val="00BD0257"/>
    <w:rsid w:val="00BD6D05"/>
    <w:rsid w:val="00BD6F2C"/>
    <w:rsid w:val="00BD75C2"/>
    <w:rsid w:val="00BD77C8"/>
    <w:rsid w:val="00BE1346"/>
    <w:rsid w:val="00BE3330"/>
    <w:rsid w:val="00BE3CA2"/>
    <w:rsid w:val="00BE4590"/>
    <w:rsid w:val="00BE4AFC"/>
    <w:rsid w:val="00BE6335"/>
    <w:rsid w:val="00BF04DA"/>
    <w:rsid w:val="00BF167E"/>
    <w:rsid w:val="00BF2870"/>
    <w:rsid w:val="00BF28E7"/>
    <w:rsid w:val="00BF4079"/>
    <w:rsid w:val="00BF4908"/>
    <w:rsid w:val="00BF552F"/>
    <w:rsid w:val="00BF74F5"/>
    <w:rsid w:val="00BF753E"/>
    <w:rsid w:val="00C0029C"/>
    <w:rsid w:val="00C0078F"/>
    <w:rsid w:val="00C01EAE"/>
    <w:rsid w:val="00C046BB"/>
    <w:rsid w:val="00C04A39"/>
    <w:rsid w:val="00C059D1"/>
    <w:rsid w:val="00C10DE1"/>
    <w:rsid w:val="00C11949"/>
    <w:rsid w:val="00C11DE6"/>
    <w:rsid w:val="00C1219D"/>
    <w:rsid w:val="00C121AA"/>
    <w:rsid w:val="00C1235C"/>
    <w:rsid w:val="00C13E5B"/>
    <w:rsid w:val="00C140D1"/>
    <w:rsid w:val="00C141E5"/>
    <w:rsid w:val="00C14449"/>
    <w:rsid w:val="00C148DA"/>
    <w:rsid w:val="00C17F1E"/>
    <w:rsid w:val="00C23B98"/>
    <w:rsid w:val="00C26100"/>
    <w:rsid w:val="00C265FF"/>
    <w:rsid w:val="00C26BFE"/>
    <w:rsid w:val="00C2732F"/>
    <w:rsid w:val="00C27F2F"/>
    <w:rsid w:val="00C30071"/>
    <w:rsid w:val="00C3047E"/>
    <w:rsid w:val="00C33874"/>
    <w:rsid w:val="00C3480B"/>
    <w:rsid w:val="00C3787A"/>
    <w:rsid w:val="00C40AD9"/>
    <w:rsid w:val="00C4115C"/>
    <w:rsid w:val="00C4247D"/>
    <w:rsid w:val="00C431CD"/>
    <w:rsid w:val="00C4473E"/>
    <w:rsid w:val="00C4651E"/>
    <w:rsid w:val="00C46F32"/>
    <w:rsid w:val="00C479DA"/>
    <w:rsid w:val="00C5063F"/>
    <w:rsid w:val="00C5091F"/>
    <w:rsid w:val="00C50987"/>
    <w:rsid w:val="00C5251B"/>
    <w:rsid w:val="00C542A4"/>
    <w:rsid w:val="00C574C0"/>
    <w:rsid w:val="00C6080B"/>
    <w:rsid w:val="00C62D7F"/>
    <w:rsid w:val="00C66307"/>
    <w:rsid w:val="00C67674"/>
    <w:rsid w:val="00C71672"/>
    <w:rsid w:val="00C72073"/>
    <w:rsid w:val="00C7582A"/>
    <w:rsid w:val="00C80685"/>
    <w:rsid w:val="00C80C31"/>
    <w:rsid w:val="00C8319D"/>
    <w:rsid w:val="00C84247"/>
    <w:rsid w:val="00C8555A"/>
    <w:rsid w:val="00C902F0"/>
    <w:rsid w:val="00C94780"/>
    <w:rsid w:val="00C9610A"/>
    <w:rsid w:val="00C964B4"/>
    <w:rsid w:val="00C97689"/>
    <w:rsid w:val="00CA372B"/>
    <w:rsid w:val="00CA437E"/>
    <w:rsid w:val="00CA73C6"/>
    <w:rsid w:val="00CA78B2"/>
    <w:rsid w:val="00CB05B5"/>
    <w:rsid w:val="00CB2722"/>
    <w:rsid w:val="00CB3983"/>
    <w:rsid w:val="00CB4146"/>
    <w:rsid w:val="00CB5385"/>
    <w:rsid w:val="00CB6044"/>
    <w:rsid w:val="00CB615F"/>
    <w:rsid w:val="00CB65FC"/>
    <w:rsid w:val="00CB730B"/>
    <w:rsid w:val="00CC0A14"/>
    <w:rsid w:val="00CC0CC7"/>
    <w:rsid w:val="00CC1F39"/>
    <w:rsid w:val="00CC64E7"/>
    <w:rsid w:val="00CC7C62"/>
    <w:rsid w:val="00CD3AB9"/>
    <w:rsid w:val="00CD4B67"/>
    <w:rsid w:val="00CD537D"/>
    <w:rsid w:val="00CE0FD7"/>
    <w:rsid w:val="00CE1FB5"/>
    <w:rsid w:val="00CE3637"/>
    <w:rsid w:val="00CE3B15"/>
    <w:rsid w:val="00CE61D1"/>
    <w:rsid w:val="00CE7F2E"/>
    <w:rsid w:val="00CF41FD"/>
    <w:rsid w:val="00CF49E7"/>
    <w:rsid w:val="00CF54D4"/>
    <w:rsid w:val="00CF6B41"/>
    <w:rsid w:val="00D01AD9"/>
    <w:rsid w:val="00D01E78"/>
    <w:rsid w:val="00D0256F"/>
    <w:rsid w:val="00D03CB3"/>
    <w:rsid w:val="00D04A6B"/>
    <w:rsid w:val="00D063D4"/>
    <w:rsid w:val="00D066A5"/>
    <w:rsid w:val="00D06BE9"/>
    <w:rsid w:val="00D06C4F"/>
    <w:rsid w:val="00D07D35"/>
    <w:rsid w:val="00D122CA"/>
    <w:rsid w:val="00D12819"/>
    <w:rsid w:val="00D12A2D"/>
    <w:rsid w:val="00D14CE1"/>
    <w:rsid w:val="00D16420"/>
    <w:rsid w:val="00D17DC7"/>
    <w:rsid w:val="00D207F7"/>
    <w:rsid w:val="00D20CB9"/>
    <w:rsid w:val="00D2161B"/>
    <w:rsid w:val="00D23616"/>
    <w:rsid w:val="00D23B11"/>
    <w:rsid w:val="00D24534"/>
    <w:rsid w:val="00D2799D"/>
    <w:rsid w:val="00D305BC"/>
    <w:rsid w:val="00D31037"/>
    <w:rsid w:val="00D33660"/>
    <w:rsid w:val="00D37C2E"/>
    <w:rsid w:val="00D41990"/>
    <w:rsid w:val="00D43CBC"/>
    <w:rsid w:val="00D44407"/>
    <w:rsid w:val="00D44D69"/>
    <w:rsid w:val="00D454EE"/>
    <w:rsid w:val="00D47CCB"/>
    <w:rsid w:val="00D52774"/>
    <w:rsid w:val="00D561C3"/>
    <w:rsid w:val="00D57113"/>
    <w:rsid w:val="00D57899"/>
    <w:rsid w:val="00D63166"/>
    <w:rsid w:val="00D634FC"/>
    <w:rsid w:val="00D677B5"/>
    <w:rsid w:val="00D67D0A"/>
    <w:rsid w:val="00D7139C"/>
    <w:rsid w:val="00D71FDF"/>
    <w:rsid w:val="00D7218A"/>
    <w:rsid w:val="00D730DE"/>
    <w:rsid w:val="00D74770"/>
    <w:rsid w:val="00D74F90"/>
    <w:rsid w:val="00D815B9"/>
    <w:rsid w:val="00D82223"/>
    <w:rsid w:val="00D827B7"/>
    <w:rsid w:val="00D8306F"/>
    <w:rsid w:val="00D86890"/>
    <w:rsid w:val="00D87118"/>
    <w:rsid w:val="00D87B6F"/>
    <w:rsid w:val="00D916E8"/>
    <w:rsid w:val="00D91C61"/>
    <w:rsid w:val="00D91D7B"/>
    <w:rsid w:val="00D934CF"/>
    <w:rsid w:val="00D9428C"/>
    <w:rsid w:val="00D944C7"/>
    <w:rsid w:val="00D94F13"/>
    <w:rsid w:val="00D96AC1"/>
    <w:rsid w:val="00D96E39"/>
    <w:rsid w:val="00DA48B0"/>
    <w:rsid w:val="00DA57F9"/>
    <w:rsid w:val="00DA6BD4"/>
    <w:rsid w:val="00DB3660"/>
    <w:rsid w:val="00DB480D"/>
    <w:rsid w:val="00DB696E"/>
    <w:rsid w:val="00DB6A97"/>
    <w:rsid w:val="00DB780F"/>
    <w:rsid w:val="00DB7847"/>
    <w:rsid w:val="00DB78AB"/>
    <w:rsid w:val="00DC0EDC"/>
    <w:rsid w:val="00DC62D8"/>
    <w:rsid w:val="00DC7095"/>
    <w:rsid w:val="00DC7433"/>
    <w:rsid w:val="00DC75DD"/>
    <w:rsid w:val="00DC7C76"/>
    <w:rsid w:val="00DC7F68"/>
    <w:rsid w:val="00DD1B46"/>
    <w:rsid w:val="00DD1FD0"/>
    <w:rsid w:val="00DD3282"/>
    <w:rsid w:val="00DD5B70"/>
    <w:rsid w:val="00DD6224"/>
    <w:rsid w:val="00DD7F57"/>
    <w:rsid w:val="00DE4064"/>
    <w:rsid w:val="00DE4071"/>
    <w:rsid w:val="00DE47F0"/>
    <w:rsid w:val="00DE77EC"/>
    <w:rsid w:val="00DF00FC"/>
    <w:rsid w:val="00DF38A2"/>
    <w:rsid w:val="00DF38C1"/>
    <w:rsid w:val="00DF51B7"/>
    <w:rsid w:val="00DF6246"/>
    <w:rsid w:val="00DF63D6"/>
    <w:rsid w:val="00E0136D"/>
    <w:rsid w:val="00E02A8E"/>
    <w:rsid w:val="00E02C48"/>
    <w:rsid w:val="00E03063"/>
    <w:rsid w:val="00E03B10"/>
    <w:rsid w:val="00E03B2F"/>
    <w:rsid w:val="00E10E0F"/>
    <w:rsid w:val="00E118C6"/>
    <w:rsid w:val="00E1264A"/>
    <w:rsid w:val="00E14E97"/>
    <w:rsid w:val="00E15BDF"/>
    <w:rsid w:val="00E17752"/>
    <w:rsid w:val="00E20840"/>
    <w:rsid w:val="00E241AF"/>
    <w:rsid w:val="00E2526E"/>
    <w:rsid w:val="00E25E9D"/>
    <w:rsid w:val="00E26AE2"/>
    <w:rsid w:val="00E2767C"/>
    <w:rsid w:val="00E310E0"/>
    <w:rsid w:val="00E3119D"/>
    <w:rsid w:val="00E32BE0"/>
    <w:rsid w:val="00E32ECF"/>
    <w:rsid w:val="00E3432E"/>
    <w:rsid w:val="00E36E32"/>
    <w:rsid w:val="00E41085"/>
    <w:rsid w:val="00E41580"/>
    <w:rsid w:val="00E41906"/>
    <w:rsid w:val="00E425CC"/>
    <w:rsid w:val="00E42880"/>
    <w:rsid w:val="00E45FE9"/>
    <w:rsid w:val="00E512F3"/>
    <w:rsid w:val="00E51BA6"/>
    <w:rsid w:val="00E51CEE"/>
    <w:rsid w:val="00E52561"/>
    <w:rsid w:val="00E53BD9"/>
    <w:rsid w:val="00E54A86"/>
    <w:rsid w:val="00E5778F"/>
    <w:rsid w:val="00E57CFF"/>
    <w:rsid w:val="00E650BB"/>
    <w:rsid w:val="00E654BF"/>
    <w:rsid w:val="00E66F42"/>
    <w:rsid w:val="00E71D99"/>
    <w:rsid w:val="00E71E8D"/>
    <w:rsid w:val="00E7412C"/>
    <w:rsid w:val="00E7478C"/>
    <w:rsid w:val="00E74FC9"/>
    <w:rsid w:val="00E758EC"/>
    <w:rsid w:val="00E75E9F"/>
    <w:rsid w:val="00E7611E"/>
    <w:rsid w:val="00E76665"/>
    <w:rsid w:val="00E76F0E"/>
    <w:rsid w:val="00E779D1"/>
    <w:rsid w:val="00E82B30"/>
    <w:rsid w:val="00E84BBC"/>
    <w:rsid w:val="00E86096"/>
    <w:rsid w:val="00E87C5C"/>
    <w:rsid w:val="00E923D5"/>
    <w:rsid w:val="00E92782"/>
    <w:rsid w:val="00E92787"/>
    <w:rsid w:val="00E92B76"/>
    <w:rsid w:val="00E9403E"/>
    <w:rsid w:val="00E94161"/>
    <w:rsid w:val="00E941D5"/>
    <w:rsid w:val="00E9652F"/>
    <w:rsid w:val="00E976A8"/>
    <w:rsid w:val="00EA0D3C"/>
    <w:rsid w:val="00EA1600"/>
    <w:rsid w:val="00EA4A95"/>
    <w:rsid w:val="00EA4CDF"/>
    <w:rsid w:val="00EA7C00"/>
    <w:rsid w:val="00EB2D37"/>
    <w:rsid w:val="00EB532B"/>
    <w:rsid w:val="00EB5C54"/>
    <w:rsid w:val="00EB65A5"/>
    <w:rsid w:val="00EB66F8"/>
    <w:rsid w:val="00EB7C4E"/>
    <w:rsid w:val="00EC191C"/>
    <w:rsid w:val="00EC2FEC"/>
    <w:rsid w:val="00EC7328"/>
    <w:rsid w:val="00EC7784"/>
    <w:rsid w:val="00EC7A2C"/>
    <w:rsid w:val="00ED18EC"/>
    <w:rsid w:val="00ED275D"/>
    <w:rsid w:val="00ED3053"/>
    <w:rsid w:val="00ED39BB"/>
    <w:rsid w:val="00ED3BC9"/>
    <w:rsid w:val="00ED635D"/>
    <w:rsid w:val="00ED68B4"/>
    <w:rsid w:val="00ED71DB"/>
    <w:rsid w:val="00ED7F33"/>
    <w:rsid w:val="00EE288C"/>
    <w:rsid w:val="00EE7DAC"/>
    <w:rsid w:val="00EE7E2B"/>
    <w:rsid w:val="00EF0D6E"/>
    <w:rsid w:val="00EF6ABF"/>
    <w:rsid w:val="00F0083E"/>
    <w:rsid w:val="00F033AA"/>
    <w:rsid w:val="00F041A8"/>
    <w:rsid w:val="00F062BB"/>
    <w:rsid w:val="00F108E9"/>
    <w:rsid w:val="00F11720"/>
    <w:rsid w:val="00F12AC5"/>
    <w:rsid w:val="00F155EB"/>
    <w:rsid w:val="00F20019"/>
    <w:rsid w:val="00F2539D"/>
    <w:rsid w:val="00F2632C"/>
    <w:rsid w:val="00F26569"/>
    <w:rsid w:val="00F2677E"/>
    <w:rsid w:val="00F30503"/>
    <w:rsid w:val="00F30EB3"/>
    <w:rsid w:val="00F31D0F"/>
    <w:rsid w:val="00F33FC2"/>
    <w:rsid w:val="00F359ED"/>
    <w:rsid w:val="00F36681"/>
    <w:rsid w:val="00F36A1E"/>
    <w:rsid w:val="00F40845"/>
    <w:rsid w:val="00F409E9"/>
    <w:rsid w:val="00F40D0A"/>
    <w:rsid w:val="00F41BA1"/>
    <w:rsid w:val="00F4255A"/>
    <w:rsid w:val="00F43FE2"/>
    <w:rsid w:val="00F44968"/>
    <w:rsid w:val="00F44C00"/>
    <w:rsid w:val="00F453CA"/>
    <w:rsid w:val="00F479C5"/>
    <w:rsid w:val="00F5308C"/>
    <w:rsid w:val="00F546EB"/>
    <w:rsid w:val="00F54AA9"/>
    <w:rsid w:val="00F5580D"/>
    <w:rsid w:val="00F63E56"/>
    <w:rsid w:val="00F67FB0"/>
    <w:rsid w:val="00F707E6"/>
    <w:rsid w:val="00F72BA7"/>
    <w:rsid w:val="00F816A9"/>
    <w:rsid w:val="00F8232C"/>
    <w:rsid w:val="00F823D2"/>
    <w:rsid w:val="00F825D5"/>
    <w:rsid w:val="00F834A7"/>
    <w:rsid w:val="00F8374E"/>
    <w:rsid w:val="00F84090"/>
    <w:rsid w:val="00F845E3"/>
    <w:rsid w:val="00F8539B"/>
    <w:rsid w:val="00F9141E"/>
    <w:rsid w:val="00F927ED"/>
    <w:rsid w:val="00F94ADE"/>
    <w:rsid w:val="00F96EEF"/>
    <w:rsid w:val="00F975D5"/>
    <w:rsid w:val="00F978CA"/>
    <w:rsid w:val="00FA2801"/>
    <w:rsid w:val="00FA2A56"/>
    <w:rsid w:val="00FA3449"/>
    <w:rsid w:val="00FA36A8"/>
    <w:rsid w:val="00FA4A5D"/>
    <w:rsid w:val="00FA6661"/>
    <w:rsid w:val="00FB673A"/>
    <w:rsid w:val="00FB68E1"/>
    <w:rsid w:val="00FB6999"/>
    <w:rsid w:val="00FC0BD1"/>
    <w:rsid w:val="00FC1A7C"/>
    <w:rsid w:val="00FC2EC0"/>
    <w:rsid w:val="00FC4C35"/>
    <w:rsid w:val="00FC5CB7"/>
    <w:rsid w:val="00FC72B1"/>
    <w:rsid w:val="00FC7DC6"/>
    <w:rsid w:val="00FD1C1F"/>
    <w:rsid w:val="00FD55B9"/>
    <w:rsid w:val="00FD5771"/>
    <w:rsid w:val="00FD7001"/>
    <w:rsid w:val="00FD7C19"/>
    <w:rsid w:val="00FE10B3"/>
    <w:rsid w:val="00FE359F"/>
    <w:rsid w:val="00FE41BD"/>
    <w:rsid w:val="00FE4324"/>
    <w:rsid w:val="00FE5579"/>
    <w:rsid w:val="00FE6730"/>
    <w:rsid w:val="00FE740C"/>
    <w:rsid w:val="00FE7892"/>
    <w:rsid w:val="00FF0613"/>
    <w:rsid w:val="00FF18C1"/>
    <w:rsid w:val="00FF3A99"/>
    <w:rsid w:val="00FF3CD0"/>
    <w:rsid w:val="00FF69AC"/>
    <w:rsid w:val="00FF70C2"/>
    <w:rsid w:val="00FF7D21"/>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09422B09-9FF5-41CF-A063-76B1D78D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styleId="Revision">
    <w:name w:val="Revision"/>
    <w:hidden/>
    <w:uiPriority w:val="99"/>
    <w:semiHidden/>
    <w:rsid w:val="006A2F32"/>
    <w:pPr>
      <w:spacing w:after="0" w:line="240" w:lineRule="auto"/>
    </w:pPr>
  </w:style>
  <w:style w:type="character" w:customStyle="1" w:styleId="UnresolvedMention1">
    <w:name w:val="Unresolved Mention1"/>
    <w:basedOn w:val="DefaultParagraphFont"/>
    <w:uiPriority w:val="99"/>
    <w:semiHidden/>
    <w:unhideWhenUsed/>
    <w:rsid w:val="008C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94">
      <w:bodyDiv w:val="1"/>
      <w:marLeft w:val="0"/>
      <w:marRight w:val="0"/>
      <w:marTop w:val="0"/>
      <w:marBottom w:val="0"/>
      <w:divBdr>
        <w:top w:val="none" w:sz="0" w:space="0" w:color="auto"/>
        <w:left w:val="none" w:sz="0" w:space="0" w:color="auto"/>
        <w:bottom w:val="none" w:sz="0" w:space="0" w:color="auto"/>
        <w:right w:val="none" w:sz="0" w:space="0" w:color="auto"/>
      </w:divBdr>
    </w:div>
    <w:div w:id="414867202">
      <w:bodyDiv w:val="1"/>
      <w:marLeft w:val="0"/>
      <w:marRight w:val="0"/>
      <w:marTop w:val="0"/>
      <w:marBottom w:val="0"/>
      <w:divBdr>
        <w:top w:val="none" w:sz="0" w:space="0" w:color="auto"/>
        <w:left w:val="none" w:sz="0" w:space="0" w:color="auto"/>
        <w:bottom w:val="none" w:sz="0" w:space="0" w:color="auto"/>
        <w:right w:val="none" w:sz="0" w:space="0" w:color="auto"/>
      </w:divBdr>
    </w:div>
    <w:div w:id="627471985">
      <w:bodyDiv w:val="1"/>
      <w:marLeft w:val="0"/>
      <w:marRight w:val="0"/>
      <w:marTop w:val="0"/>
      <w:marBottom w:val="0"/>
      <w:divBdr>
        <w:top w:val="none" w:sz="0" w:space="0" w:color="auto"/>
        <w:left w:val="none" w:sz="0" w:space="0" w:color="auto"/>
        <w:bottom w:val="none" w:sz="0" w:space="0" w:color="auto"/>
        <w:right w:val="none" w:sz="0" w:space="0" w:color="auto"/>
      </w:divBdr>
    </w:div>
    <w:div w:id="804734636">
      <w:bodyDiv w:val="1"/>
      <w:marLeft w:val="0"/>
      <w:marRight w:val="0"/>
      <w:marTop w:val="0"/>
      <w:marBottom w:val="0"/>
      <w:divBdr>
        <w:top w:val="none" w:sz="0" w:space="0" w:color="auto"/>
        <w:left w:val="none" w:sz="0" w:space="0" w:color="auto"/>
        <w:bottom w:val="none" w:sz="0" w:space="0" w:color="auto"/>
        <w:right w:val="none" w:sz="0" w:space="0" w:color="auto"/>
      </w:divBdr>
    </w:div>
    <w:div w:id="1318725603">
      <w:bodyDiv w:val="1"/>
      <w:marLeft w:val="0"/>
      <w:marRight w:val="0"/>
      <w:marTop w:val="0"/>
      <w:marBottom w:val="0"/>
      <w:divBdr>
        <w:top w:val="none" w:sz="0" w:space="0" w:color="auto"/>
        <w:left w:val="none" w:sz="0" w:space="0" w:color="auto"/>
        <w:bottom w:val="none" w:sz="0" w:space="0" w:color="auto"/>
        <w:right w:val="none" w:sz="0" w:space="0" w:color="auto"/>
      </w:divBdr>
      <w:divsChild>
        <w:div w:id="1925869575">
          <w:marLeft w:val="0"/>
          <w:marRight w:val="0"/>
          <w:marTop w:val="120"/>
          <w:marBottom w:val="0"/>
          <w:divBdr>
            <w:top w:val="none" w:sz="0" w:space="0" w:color="auto"/>
            <w:left w:val="none" w:sz="0" w:space="0" w:color="auto"/>
            <w:bottom w:val="none" w:sz="0" w:space="0" w:color="auto"/>
            <w:right w:val="none" w:sz="0" w:space="0" w:color="auto"/>
          </w:divBdr>
        </w:div>
        <w:div w:id="1574780874">
          <w:marLeft w:val="0"/>
          <w:marRight w:val="0"/>
          <w:marTop w:val="180"/>
          <w:marBottom w:val="60"/>
          <w:divBdr>
            <w:top w:val="single" w:sz="8" w:space="1" w:color="808080"/>
            <w:left w:val="none" w:sz="0" w:space="0" w:color="auto"/>
            <w:bottom w:val="none" w:sz="0" w:space="0" w:color="auto"/>
            <w:right w:val="none" w:sz="0" w:space="0" w:color="auto"/>
          </w:divBdr>
        </w:div>
        <w:div w:id="1373187512">
          <w:marLeft w:val="0"/>
          <w:marRight w:val="0"/>
          <w:marTop w:val="120"/>
          <w:marBottom w:val="0"/>
          <w:divBdr>
            <w:top w:val="none" w:sz="0" w:space="0" w:color="auto"/>
            <w:left w:val="none" w:sz="0" w:space="0" w:color="auto"/>
            <w:bottom w:val="none" w:sz="0" w:space="0" w:color="auto"/>
            <w:right w:val="none" w:sz="0" w:space="0" w:color="auto"/>
          </w:divBdr>
        </w:div>
        <w:div w:id="172188661">
          <w:marLeft w:val="567"/>
          <w:marRight w:val="0"/>
          <w:marTop w:val="60"/>
          <w:marBottom w:val="0"/>
          <w:divBdr>
            <w:top w:val="none" w:sz="0" w:space="0" w:color="auto"/>
            <w:left w:val="none" w:sz="0" w:space="0" w:color="auto"/>
            <w:bottom w:val="none" w:sz="0" w:space="0" w:color="auto"/>
            <w:right w:val="none" w:sz="0" w:space="0" w:color="auto"/>
          </w:divBdr>
        </w:div>
      </w:divsChild>
    </w:div>
    <w:div w:id="1619525951">
      <w:bodyDiv w:val="1"/>
      <w:marLeft w:val="0"/>
      <w:marRight w:val="0"/>
      <w:marTop w:val="0"/>
      <w:marBottom w:val="0"/>
      <w:divBdr>
        <w:top w:val="none" w:sz="0" w:space="0" w:color="auto"/>
        <w:left w:val="none" w:sz="0" w:space="0" w:color="auto"/>
        <w:bottom w:val="none" w:sz="0" w:space="0" w:color="auto"/>
        <w:right w:val="none" w:sz="0" w:space="0" w:color="auto"/>
      </w:divBdr>
    </w:div>
    <w:div w:id="19696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di@cjcogan.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pattorneys@gmai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6EF9-CB33-43EA-B5F2-B246EB7A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Mary Bruce</cp:lastModifiedBy>
  <cp:revision>11</cp:revision>
  <cp:lastPrinted>2023-09-19T09:55:00Z</cp:lastPrinted>
  <dcterms:created xsi:type="dcterms:W3CDTF">2024-03-26T13:45:00Z</dcterms:created>
  <dcterms:modified xsi:type="dcterms:W3CDTF">2024-04-04T07:17:00Z</dcterms:modified>
</cp:coreProperties>
</file>