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B43" w14:textId="066397E3" w:rsidR="00387C8B" w:rsidRDefault="00387C8B" w:rsidP="00387C8B">
      <w:pPr>
        <w:widowControl w:val="0"/>
        <w:spacing w:after="0" w:line="240" w:lineRule="auto"/>
        <w:jc w:val="center"/>
        <w:rPr>
          <w:rFonts w:ascii="Arial" w:hAnsi="Arial" w:cs="Arial"/>
          <w:b/>
          <w:sz w:val="18"/>
          <w:szCs w:val="24"/>
        </w:rPr>
      </w:pPr>
      <w:r>
        <w:rPr>
          <w:noProof/>
          <w:lang w:eastAsia="en-ZA"/>
        </w:rPr>
        <w:drawing>
          <wp:inline distT="0" distB="0" distL="0" distR="0" wp14:anchorId="35C69BDC" wp14:editId="1F5609D6">
            <wp:extent cx="1352550" cy="1352550"/>
            <wp:effectExtent l="0" t="0" r="0" b="0"/>
            <wp:docPr id="1" name="Picture 1" descr="image001.png"/>
            <wp:cNvGraphicFramePr/>
            <a:graphic xmlns:a="http://schemas.openxmlformats.org/drawingml/2006/main">
              <a:graphicData uri="http://schemas.openxmlformats.org/drawingml/2006/picture">
                <pic:pic xmlns:pic="http://schemas.openxmlformats.org/drawingml/2006/picture">
                  <pic:nvPicPr>
                    <pic:cNvPr id="1" name="Picture 1" descr="image001.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bookmarkStart w:id="0" w:name="_GoBack"/>
      <w:bookmarkEnd w:id="0"/>
    </w:p>
    <w:p w14:paraId="1C903F45" w14:textId="0C095F81" w:rsidR="00FD4910" w:rsidRPr="00387C8B" w:rsidRDefault="00365D4A" w:rsidP="00387C8B">
      <w:pPr>
        <w:widowControl w:val="0"/>
        <w:spacing w:after="0" w:line="240" w:lineRule="auto"/>
        <w:jc w:val="center"/>
        <w:rPr>
          <w:rFonts w:ascii="Arial" w:hAnsi="Arial" w:cs="Arial"/>
          <w:b/>
          <w:sz w:val="18"/>
          <w:szCs w:val="24"/>
        </w:rPr>
      </w:pPr>
      <w:r w:rsidRPr="00387C8B">
        <w:rPr>
          <w:rFonts w:ascii="Arial" w:hAnsi="Arial" w:cs="Arial"/>
          <w:b/>
          <w:sz w:val="18"/>
          <w:szCs w:val="24"/>
        </w:rPr>
        <w:t>IN THE HIGH COURT OF SOUTH AFRICA</w:t>
      </w:r>
    </w:p>
    <w:p w14:paraId="64D7EBBE" w14:textId="77777777" w:rsidR="00365D4A" w:rsidRPr="00387C8B" w:rsidRDefault="00365D4A" w:rsidP="00387C8B">
      <w:pPr>
        <w:widowControl w:val="0"/>
        <w:spacing w:after="0" w:line="240" w:lineRule="auto"/>
        <w:jc w:val="center"/>
        <w:rPr>
          <w:rFonts w:ascii="Arial" w:hAnsi="Arial" w:cs="Arial"/>
          <w:b/>
          <w:sz w:val="18"/>
          <w:szCs w:val="24"/>
        </w:rPr>
      </w:pPr>
      <w:r w:rsidRPr="00387C8B">
        <w:rPr>
          <w:rFonts w:ascii="Arial" w:hAnsi="Arial" w:cs="Arial"/>
          <w:b/>
          <w:sz w:val="18"/>
          <w:szCs w:val="24"/>
        </w:rPr>
        <w:t>(WESTERN CAPE DIVISION, CAPE TOWN)</w:t>
      </w:r>
    </w:p>
    <w:p w14:paraId="6744FB3E" w14:textId="77777777" w:rsidR="00387C8B" w:rsidRDefault="00387C8B" w:rsidP="00B83D53">
      <w:pPr>
        <w:widowControl w:val="0"/>
        <w:spacing w:after="0" w:line="360" w:lineRule="auto"/>
        <w:jc w:val="right"/>
        <w:rPr>
          <w:rFonts w:ascii="Arial" w:hAnsi="Arial" w:cs="Arial"/>
          <w:b/>
          <w:sz w:val="24"/>
          <w:szCs w:val="24"/>
        </w:rPr>
      </w:pPr>
    </w:p>
    <w:p w14:paraId="4A7BC245" w14:textId="1302A372" w:rsidR="00365D4A" w:rsidRPr="00387C8B" w:rsidRDefault="00365D4A" w:rsidP="00B83D53">
      <w:pPr>
        <w:widowControl w:val="0"/>
        <w:spacing w:after="0" w:line="360" w:lineRule="auto"/>
        <w:jc w:val="right"/>
        <w:rPr>
          <w:rFonts w:ascii="Arial" w:hAnsi="Arial" w:cs="Arial"/>
          <w:b/>
          <w:sz w:val="24"/>
          <w:szCs w:val="24"/>
        </w:rPr>
      </w:pPr>
      <w:r w:rsidRPr="00387C8B">
        <w:rPr>
          <w:rFonts w:ascii="Arial" w:hAnsi="Arial" w:cs="Arial"/>
          <w:b/>
          <w:sz w:val="24"/>
          <w:szCs w:val="24"/>
        </w:rPr>
        <w:t>Case number:</w:t>
      </w:r>
      <w:r w:rsidR="007B2AC7" w:rsidRPr="00387C8B">
        <w:rPr>
          <w:rFonts w:ascii="Arial" w:hAnsi="Arial" w:cs="Arial"/>
          <w:b/>
          <w:sz w:val="24"/>
          <w:szCs w:val="24"/>
        </w:rPr>
        <w:t xml:space="preserve">  2582/</w:t>
      </w:r>
      <w:r w:rsidR="009948E0" w:rsidRPr="00387C8B">
        <w:rPr>
          <w:rFonts w:ascii="Arial" w:hAnsi="Arial" w:cs="Arial"/>
          <w:b/>
          <w:sz w:val="24"/>
          <w:szCs w:val="24"/>
        </w:rPr>
        <w:t>20</w:t>
      </w:r>
      <w:r w:rsidR="007B2AC7" w:rsidRPr="00387C8B">
        <w:rPr>
          <w:rFonts w:ascii="Arial" w:hAnsi="Arial" w:cs="Arial"/>
          <w:b/>
          <w:sz w:val="24"/>
          <w:szCs w:val="24"/>
        </w:rPr>
        <w:t>22</w:t>
      </w:r>
    </w:p>
    <w:p w14:paraId="08D8C0A3" w14:textId="78EB7C38" w:rsidR="00365D4A" w:rsidRDefault="00365D4A" w:rsidP="00B83D53">
      <w:pPr>
        <w:widowControl w:val="0"/>
        <w:spacing w:after="0" w:line="360" w:lineRule="auto"/>
        <w:jc w:val="both"/>
        <w:rPr>
          <w:rFonts w:ascii="Arial" w:hAnsi="Arial" w:cs="Arial"/>
          <w:sz w:val="24"/>
          <w:szCs w:val="24"/>
        </w:rPr>
      </w:pPr>
      <w:r w:rsidRPr="00B83D53">
        <w:rPr>
          <w:rFonts w:ascii="Arial" w:hAnsi="Arial" w:cs="Arial"/>
          <w:sz w:val="24"/>
          <w:szCs w:val="24"/>
        </w:rPr>
        <w:t>In the matter between:</w:t>
      </w:r>
    </w:p>
    <w:p w14:paraId="7D095AE3" w14:textId="77777777" w:rsidR="00387C8B" w:rsidRPr="00B83D53" w:rsidRDefault="00387C8B" w:rsidP="00B83D53">
      <w:pPr>
        <w:widowControl w:val="0"/>
        <w:spacing w:after="0" w:line="360" w:lineRule="auto"/>
        <w:jc w:val="both"/>
        <w:rPr>
          <w:rFonts w:ascii="Arial" w:hAnsi="Arial" w:cs="Arial"/>
          <w:sz w:val="24"/>
          <w:szCs w:val="24"/>
        </w:rPr>
      </w:pPr>
    </w:p>
    <w:p w14:paraId="34FBF953" w14:textId="23B0A2E8" w:rsidR="00365D4A" w:rsidRPr="00B83D53" w:rsidRDefault="00365D4A" w:rsidP="00B83D53">
      <w:pPr>
        <w:widowControl w:val="0"/>
        <w:tabs>
          <w:tab w:val="right" w:pos="8931"/>
        </w:tabs>
        <w:spacing w:after="0" w:line="360" w:lineRule="auto"/>
        <w:rPr>
          <w:rFonts w:ascii="Arial" w:hAnsi="Arial" w:cs="Arial"/>
          <w:sz w:val="24"/>
          <w:szCs w:val="24"/>
        </w:rPr>
      </w:pPr>
      <w:r w:rsidRPr="00B83D53">
        <w:rPr>
          <w:rFonts w:ascii="Arial" w:hAnsi="Arial" w:cs="Arial"/>
          <w:b/>
          <w:sz w:val="24"/>
          <w:szCs w:val="24"/>
        </w:rPr>
        <w:t>PETER WEINERT</w:t>
      </w:r>
      <w:r w:rsidRPr="00B83D53">
        <w:rPr>
          <w:rFonts w:ascii="Arial" w:hAnsi="Arial" w:cs="Arial"/>
          <w:b/>
          <w:sz w:val="24"/>
          <w:szCs w:val="24"/>
        </w:rPr>
        <w:tab/>
      </w:r>
      <w:r w:rsidRPr="00387C8B">
        <w:rPr>
          <w:rFonts w:ascii="Arial" w:hAnsi="Arial" w:cs="Arial"/>
          <w:b/>
          <w:sz w:val="24"/>
          <w:szCs w:val="24"/>
        </w:rPr>
        <w:t xml:space="preserve">First </w:t>
      </w:r>
      <w:r w:rsidR="00A80C68" w:rsidRPr="00387C8B">
        <w:rPr>
          <w:rFonts w:ascii="Arial" w:hAnsi="Arial" w:cs="Arial"/>
          <w:b/>
          <w:sz w:val="24"/>
          <w:szCs w:val="24"/>
        </w:rPr>
        <w:t>a</w:t>
      </w:r>
      <w:r w:rsidRPr="00387C8B">
        <w:rPr>
          <w:rFonts w:ascii="Arial" w:hAnsi="Arial" w:cs="Arial"/>
          <w:b/>
          <w:sz w:val="24"/>
          <w:szCs w:val="24"/>
        </w:rPr>
        <w:t>pplicant</w:t>
      </w:r>
    </w:p>
    <w:p w14:paraId="4198AD02" w14:textId="5E52CC34" w:rsidR="00365D4A" w:rsidRPr="00B83D53" w:rsidRDefault="00365D4A" w:rsidP="00B83D53">
      <w:pPr>
        <w:widowControl w:val="0"/>
        <w:tabs>
          <w:tab w:val="right" w:pos="8931"/>
        </w:tabs>
        <w:spacing w:after="0" w:line="360" w:lineRule="auto"/>
        <w:rPr>
          <w:rFonts w:ascii="Arial" w:hAnsi="Arial" w:cs="Arial"/>
          <w:sz w:val="24"/>
          <w:szCs w:val="24"/>
        </w:rPr>
      </w:pPr>
      <w:r w:rsidRPr="00B83D53">
        <w:rPr>
          <w:rFonts w:ascii="Arial" w:hAnsi="Arial" w:cs="Arial"/>
          <w:b/>
          <w:sz w:val="24"/>
          <w:szCs w:val="24"/>
        </w:rPr>
        <w:t>JOANNE POLZIN</w:t>
      </w:r>
      <w:r w:rsidRPr="00B83D53">
        <w:rPr>
          <w:rFonts w:ascii="Arial" w:hAnsi="Arial" w:cs="Arial"/>
          <w:b/>
          <w:sz w:val="24"/>
          <w:szCs w:val="24"/>
        </w:rPr>
        <w:tab/>
      </w:r>
      <w:r w:rsidRPr="00387C8B">
        <w:rPr>
          <w:rFonts w:ascii="Arial" w:hAnsi="Arial" w:cs="Arial"/>
          <w:b/>
          <w:sz w:val="24"/>
          <w:szCs w:val="24"/>
        </w:rPr>
        <w:t xml:space="preserve">Second </w:t>
      </w:r>
      <w:r w:rsidR="00A80C68" w:rsidRPr="00387C8B">
        <w:rPr>
          <w:rFonts w:ascii="Arial" w:hAnsi="Arial" w:cs="Arial"/>
          <w:b/>
          <w:sz w:val="24"/>
          <w:szCs w:val="24"/>
        </w:rPr>
        <w:t>a</w:t>
      </w:r>
      <w:r w:rsidRPr="00387C8B">
        <w:rPr>
          <w:rFonts w:ascii="Arial" w:hAnsi="Arial" w:cs="Arial"/>
          <w:b/>
          <w:sz w:val="24"/>
          <w:szCs w:val="24"/>
        </w:rPr>
        <w:t>pplicant</w:t>
      </w:r>
    </w:p>
    <w:p w14:paraId="193206FC" w14:textId="77777777" w:rsidR="00365D4A" w:rsidRPr="00B83D53" w:rsidRDefault="00365D4A" w:rsidP="00B83D53">
      <w:pPr>
        <w:widowControl w:val="0"/>
        <w:tabs>
          <w:tab w:val="right" w:pos="8931"/>
        </w:tabs>
        <w:spacing w:after="0" w:line="360" w:lineRule="auto"/>
        <w:rPr>
          <w:rFonts w:ascii="Arial" w:hAnsi="Arial" w:cs="Arial"/>
          <w:sz w:val="24"/>
          <w:szCs w:val="24"/>
        </w:rPr>
      </w:pPr>
    </w:p>
    <w:p w14:paraId="2F42C28C" w14:textId="77777777" w:rsidR="00365D4A" w:rsidRPr="00387C8B" w:rsidRDefault="00365D4A" w:rsidP="00B83D53">
      <w:pPr>
        <w:widowControl w:val="0"/>
        <w:tabs>
          <w:tab w:val="right" w:pos="8931"/>
        </w:tabs>
        <w:spacing w:after="0" w:line="360" w:lineRule="auto"/>
        <w:rPr>
          <w:rFonts w:ascii="Arial" w:hAnsi="Arial" w:cs="Arial"/>
          <w:b/>
          <w:sz w:val="24"/>
          <w:szCs w:val="24"/>
        </w:rPr>
      </w:pPr>
      <w:r w:rsidRPr="00387C8B">
        <w:rPr>
          <w:rFonts w:ascii="Arial" w:hAnsi="Arial" w:cs="Arial"/>
          <w:b/>
          <w:sz w:val="24"/>
          <w:szCs w:val="24"/>
        </w:rPr>
        <w:t>and</w:t>
      </w:r>
    </w:p>
    <w:p w14:paraId="2F2E35E6" w14:textId="77777777" w:rsidR="00365D4A" w:rsidRPr="00B83D53" w:rsidRDefault="00365D4A" w:rsidP="00B83D53">
      <w:pPr>
        <w:widowControl w:val="0"/>
        <w:tabs>
          <w:tab w:val="right" w:pos="8931"/>
        </w:tabs>
        <w:spacing w:after="0" w:line="360" w:lineRule="auto"/>
        <w:rPr>
          <w:rFonts w:ascii="Arial" w:hAnsi="Arial" w:cs="Arial"/>
          <w:sz w:val="24"/>
          <w:szCs w:val="24"/>
        </w:rPr>
      </w:pPr>
    </w:p>
    <w:p w14:paraId="1AD68582" w14:textId="51347F2A" w:rsidR="00365D4A" w:rsidRPr="00B83D53" w:rsidRDefault="00365D4A" w:rsidP="00B83D53">
      <w:pPr>
        <w:widowControl w:val="0"/>
        <w:tabs>
          <w:tab w:val="right" w:pos="8931"/>
        </w:tabs>
        <w:spacing w:after="0" w:line="360" w:lineRule="auto"/>
        <w:rPr>
          <w:rFonts w:ascii="Arial" w:hAnsi="Arial" w:cs="Arial"/>
          <w:sz w:val="24"/>
          <w:szCs w:val="24"/>
        </w:rPr>
      </w:pPr>
      <w:r w:rsidRPr="00B83D53">
        <w:rPr>
          <w:rFonts w:ascii="Arial" w:hAnsi="Arial" w:cs="Arial"/>
          <w:b/>
          <w:sz w:val="24"/>
          <w:szCs w:val="24"/>
        </w:rPr>
        <w:t xml:space="preserve">THE </w:t>
      </w:r>
      <w:r w:rsidR="003321CC" w:rsidRPr="00B83D53">
        <w:rPr>
          <w:rFonts w:ascii="Arial" w:hAnsi="Arial" w:cs="Arial"/>
          <w:b/>
          <w:sz w:val="24"/>
          <w:szCs w:val="24"/>
        </w:rPr>
        <w:t>MUNICIPALITY</w:t>
      </w:r>
      <w:r w:rsidRPr="00B83D53">
        <w:rPr>
          <w:rFonts w:ascii="Arial" w:hAnsi="Arial" w:cs="Arial"/>
          <w:b/>
          <w:sz w:val="24"/>
          <w:szCs w:val="24"/>
        </w:rPr>
        <w:t xml:space="preserve"> OF THE CITY OF CAPE TOWN</w:t>
      </w:r>
      <w:r w:rsidRPr="00B83D53">
        <w:rPr>
          <w:rFonts w:ascii="Arial" w:hAnsi="Arial" w:cs="Arial"/>
          <w:b/>
          <w:sz w:val="24"/>
          <w:szCs w:val="24"/>
        </w:rPr>
        <w:tab/>
      </w:r>
      <w:r w:rsidRPr="00387C8B">
        <w:rPr>
          <w:rFonts w:ascii="Arial" w:hAnsi="Arial" w:cs="Arial"/>
          <w:b/>
          <w:sz w:val="24"/>
          <w:szCs w:val="24"/>
        </w:rPr>
        <w:t xml:space="preserve">First </w:t>
      </w:r>
      <w:r w:rsidR="00A80C68" w:rsidRPr="00387C8B">
        <w:rPr>
          <w:rFonts w:ascii="Arial" w:hAnsi="Arial" w:cs="Arial"/>
          <w:b/>
          <w:sz w:val="24"/>
          <w:szCs w:val="24"/>
        </w:rPr>
        <w:t>r</w:t>
      </w:r>
      <w:r w:rsidRPr="00387C8B">
        <w:rPr>
          <w:rFonts w:ascii="Arial" w:hAnsi="Arial" w:cs="Arial"/>
          <w:b/>
          <w:sz w:val="24"/>
          <w:szCs w:val="24"/>
        </w:rPr>
        <w:t>espondent</w:t>
      </w:r>
    </w:p>
    <w:p w14:paraId="32CC949C" w14:textId="0DF39374" w:rsidR="00365D4A" w:rsidRPr="00B83D53" w:rsidRDefault="00365D4A" w:rsidP="00B83D53">
      <w:pPr>
        <w:widowControl w:val="0"/>
        <w:tabs>
          <w:tab w:val="right" w:pos="8931"/>
        </w:tabs>
        <w:spacing w:after="0" w:line="360" w:lineRule="auto"/>
        <w:rPr>
          <w:rFonts w:ascii="Arial" w:hAnsi="Arial" w:cs="Arial"/>
          <w:sz w:val="24"/>
          <w:szCs w:val="24"/>
        </w:rPr>
      </w:pPr>
      <w:r w:rsidRPr="00B83D53">
        <w:rPr>
          <w:rFonts w:ascii="Arial" w:hAnsi="Arial" w:cs="Arial"/>
          <w:b/>
          <w:sz w:val="24"/>
          <w:szCs w:val="24"/>
        </w:rPr>
        <w:t xml:space="preserve">JEANNE VON HIRSCHBERG </w:t>
      </w:r>
      <w:r w:rsidR="00A80C68" w:rsidRPr="00B83D53">
        <w:rPr>
          <w:rFonts w:ascii="Arial" w:hAnsi="Arial" w:cs="Arial"/>
          <w:b/>
          <w:sz w:val="24"/>
          <w:szCs w:val="24"/>
        </w:rPr>
        <w:t>t/a</w:t>
      </w:r>
      <w:r w:rsidRPr="00B83D53">
        <w:rPr>
          <w:rFonts w:ascii="Arial" w:hAnsi="Arial" w:cs="Arial"/>
          <w:b/>
          <w:sz w:val="24"/>
          <w:szCs w:val="24"/>
        </w:rPr>
        <w:t xml:space="preserve"> THE BLUE CAFÉ</w:t>
      </w:r>
      <w:r w:rsidRPr="00B83D53">
        <w:rPr>
          <w:rFonts w:ascii="Arial" w:hAnsi="Arial" w:cs="Arial"/>
          <w:b/>
          <w:sz w:val="24"/>
          <w:szCs w:val="24"/>
        </w:rPr>
        <w:tab/>
      </w:r>
      <w:r w:rsidRPr="00387C8B">
        <w:rPr>
          <w:rFonts w:ascii="Arial" w:hAnsi="Arial" w:cs="Arial"/>
          <w:b/>
          <w:sz w:val="24"/>
          <w:szCs w:val="24"/>
        </w:rPr>
        <w:t xml:space="preserve">Second </w:t>
      </w:r>
      <w:r w:rsidR="00A80C68" w:rsidRPr="00387C8B">
        <w:rPr>
          <w:rFonts w:ascii="Arial" w:hAnsi="Arial" w:cs="Arial"/>
          <w:b/>
          <w:sz w:val="24"/>
          <w:szCs w:val="24"/>
        </w:rPr>
        <w:t>r</w:t>
      </w:r>
      <w:r w:rsidRPr="00387C8B">
        <w:rPr>
          <w:rFonts w:ascii="Arial" w:hAnsi="Arial" w:cs="Arial"/>
          <w:b/>
          <w:sz w:val="24"/>
          <w:szCs w:val="24"/>
        </w:rPr>
        <w:t>espondent</w:t>
      </w:r>
    </w:p>
    <w:p w14:paraId="6D6DE9FA" w14:textId="64510466" w:rsidR="00365D4A" w:rsidRPr="00B83D53" w:rsidRDefault="00365D4A" w:rsidP="00B83D53">
      <w:pPr>
        <w:widowControl w:val="0"/>
        <w:tabs>
          <w:tab w:val="right" w:pos="8931"/>
        </w:tabs>
        <w:spacing w:after="0" w:line="360" w:lineRule="auto"/>
        <w:rPr>
          <w:rFonts w:ascii="Arial" w:hAnsi="Arial" w:cs="Arial"/>
          <w:sz w:val="24"/>
          <w:szCs w:val="24"/>
        </w:rPr>
      </w:pPr>
      <w:r w:rsidRPr="00B83D53">
        <w:rPr>
          <w:rFonts w:ascii="Arial" w:hAnsi="Arial" w:cs="Arial"/>
          <w:b/>
          <w:sz w:val="24"/>
          <w:szCs w:val="24"/>
        </w:rPr>
        <w:t xml:space="preserve">MURRAY VON HIRSCHBERG </w:t>
      </w:r>
      <w:r w:rsidR="00A80C68" w:rsidRPr="00B83D53">
        <w:rPr>
          <w:rFonts w:ascii="Arial" w:hAnsi="Arial" w:cs="Arial"/>
          <w:b/>
          <w:sz w:val="24"/>
          <w:szCs w:val="24"/>
        </w:rPr>
        <w:t>t/a</w:t>
      </w:r>
      <w:r w:rsidRPr="00B83D53">
        <w:rPr>
          <w:rFonts w:ascii="Arial" w:hAnsi="Arial" w:cs="Arial"/>
          <w:b/>
          <w:sz w:val="24"/>
          <w:szCs w:val="24"/>
        </w:rPr>
        <w:t xml:space="preserve"> THE BLUE CAFÉ</w:t>
      </w:r>
      <w:r w:rsidRPr="00B83D53">
        <w:rPr>
          <w:rFonts w:ascii="Arial" w:hAnsi="Arial" w:cs="Arial"/>
          <w:b/>
          <w:sz w:val="24"/>
          <w:szCs w:val="24"/>
        </w:rPr>
        <w:tab/>
      </w:r>
      <w:r w:rsidRPr="00387C8B">
        <w:rPr>
          <w:rFonts w:ascii="Arial" w:hAnsi="Arial" w:cs="Arial"/>
          <w:b/>
          <w:sz w:val="24"/>
          <w:szCs w:val="24"/>
        </w:rPr>
        <w:t xml:space="preserve">Third </w:t>
      </w:r>
      <w:r w:rsidR="00A80C68" w:rsidRPr="00387C8B">
        <w:rPr>
          <w:rFonts w:ascii="Arial" w:hAnsi="Arial" w:cs="Arial"/>
          <w:b/>
          <w:sz w:val="24"/>
          <w:szCs w:val="24"/>
        </w:rPr>
        <w:t>r</w:t>
      </w:r>
      <w:r w:rsidRPr="00387C8B">
        <w:rPr>
          <w:rFonts w:ascii="Arial" w:hAnsi="Arial" w:cs="Arial"/>
          <w:b/>
          <w:sz w:val="24"/>
          <w:szCs w:val="24"/>
        </w:rPr>
        <w:t>espondent</w:t>
      </w:r>
    </w:p>
    <w:p w14:paraId="2CB61CB3" w14:textId="77777777" w:rsidR="00365D4A" w:rsidRPr="00387C8B" w:rsidRDefault="00365D4A" w:rsidP="00B83D53">
      <w:pPr>
        <w:widowControl w:val="0"/>
        <w:tabs>
          <w:tab w:val="right" w:pos="8931"/>
        </w:tabs>
        <w:spacing w:after="0" w:line="360" w:lineRule="auto"/>
        <w:rPr>
          <w:rFonts w:ascii="Arial" w:hAnsi="Arial" w:cs="Arial"/>
          <w:b/>
          <w:sz w:val="24"/>
          <w:szCs w:val="24"/>
        </w:rPr>
      </w:pPr>
      <w:r w:rsidRPr="00387C8B">
        <w:rPr>
          <w:rFonts w:ascii="Arial" w:hAnsi="Arial" w:cs="Arial"/>
          <w:b/>
          <w:sz w:val="24"/>
          <w:szCs w:val="24"/>
        </w:rPr>
        <w:t>___________________________________________________________________</w:t>
      </w:r>
    </w:p>
    <w:p w14:paraId="6177C2B0" w14:textId="77777777" w:rsidR="00365D4A" w:rsidRPr="00387C8B" w:rsidRDefault="00365D4A" w:rsidP="00B83D53">
      <w:pPr>
        <w:widowControl w:val="0"/>
        <w:tabs>
          <w:tab w:val="right" w:pos="8931"/>
        </w:tabs>
        <w:spacing w:after="0" w:line="360" w:lineRule="auto"/>
        <w:jc w:val="center"/>
        <w:rPr>
          <w:rFonts w:ascii="Arial" w:hAnsi="Arial" w:cs="Arial"/>
          <w:b/>
          <w:sz w:val="18"/>
          <w:szCs w:val="24"/>
        </w:rPr>
      </w:pPr>
    </w:p>
    <w:p w14:paraId="4A74B49A" w14:textId="46B1FB6A" w:rsidR="00365D4A" w:rsidRPr="00B83D53" w:rsidRDefault="00A80C68" w:rsidP="00B83D53">
      <w:pPr>
        <w:widowControl w:val="0"/>
        <w:tabs>
          <w:tab w:val="right" w:pos="8931"/>
        </w:tabs>
        <w:spacing w:after="0" w:line="360" w:lineRule="auto"/>
        <w:jc w:val="center"/>
        <w:rPr>
          <w:rFonts w:ascii="Arial" w:hAnsi="Arial" w:cs="Arial"/>
          <w:b/>
          <w:sz w:val="24"/>
          <w:szCs w:val="24"/>
        </w:rPr>
      </w:pPr>
      <w:r w:rsidRPr="00B83D53">
        <w:rPr>
          <w:rFonts w:ascii="Arial" w:hAnsi="Arial" w:cs="Arial"/>
          <w:b/>
          <w:sz w:val="24"/>
          <w:szCs w:val="24"/>
        </w:rPr>
        <w:t xml:space="preserve">JUDGMENT DELIVERED ON </w:t>
      </w:r>
      <w:r w:rsidR="00D71929">
        <w:rPr>
          <w:rFonts w:ascii="Arial" w:hAnsi="Arial" w:cs="Arial"/>
          <w:b/>
          <w:sz w:val="24"/>
          <w:szCs w:val="24"/>
        </w:rPr>
        <w:t>1 AUGUST</w:t>
      </w:r>
      <w:r w:rsidRPr="00B83D53">
        <w:rPr>
          <w:rFonts w:ascii="Arial" w:hAnsi="Arial" w:cs="Arial"/>
          <w:b/>
          <w:sz w:val="24"/>
          <w:szCs w:val="24"/>
        </w:rPr>
        <w:t xml:space="preserve"> 2022</w:t>
      </w:r>
    </w:p>
    <w:p w14:paraId="7A41498A" w14:textId="77777777" w:rsidR="00365D4A" w:rsidRPr="00387C8B" w:rsidRDefault="00365D4A" w:rsidP="00B83D53">
      <w:pPr>
        <w:widowControl w:val="0"/>
        <w:tabs>
          <w:tab w:val="right" w:pos="8931"/>
        </w:tabs>
        <w:spacing w:after="0" w:line="360" w:lineRule="auto"/>
        <w:rPr>
          <w:rFonts w:ascii="Arial" w:hAnsi="Arial" w:cs="Arial"/>
          <w:b/>
          <w:sz w:val="24"/>
          <w:szCs w:val="24"/>
        </w:rPr>
      </w:pPr>
      <w:r w:rsidRPr="00387C8B">
        <w:rPr>
          <w:rFonts w:ascii="Arial" w:hAnsi="Arial" w:cs="Arial"/>
          <w:b/>
          <w:sz w:val="24"/>
          <w:szCs w:val="24"/>
        </w:rPr>
        <w:t>___________________________________________________________________</w:t>
      </w:r>
    </w:p>
    <w:p w14:paraId="35AF2BEB" w14:textId="4D0EA3EF" w:rsidR="00365D4A" w:rsidRPr="00387C8B" w:rsidRDefault="00365D4A" w:rsidP="00B83D53">
      <w:pPr>
        <w:widowControl w:val="0"/>
        <w:tabs>
          <w:tab w:val="right" w:pos="8931"/>
        </w:tabs>
        <w:spacing w:after="0" w:line="360" w:lineRule="auto"/>
        <w:rPr>
          <w:rFonts w:ascii="Arial" w:hAnsi="Arial" w:cs="Arial"/>
          <w:sz w:val="20"/>
          <w:szCs w:val="24"/>
        </w:rPr>
      </w:pPr>
    </w:p>
    <w:p w14:paraId="45B3F179" w14:textId="09F65F25" w:rsidR="00A80C68" w:rsidRPr="00B83D53" w:rsidRDefault="00A80C68" w:rsidP="00B83D53">
      <w:pPr>
        <w:widowControl w:val="0"/>
        <w:tabs>
          <w:tab w:val="right" w:pos="8931"/>
        </w:tabs>
        <w:spacing w:after="0" w:line="360" w:lineRule="auto"/>
        <w:rPr>
          <w:rFonts w:ascii="Arial" w:hAnsi="Arial" w:cs="Arial"/>
          <w:b/>
          <w:bCs/>
          <w:sz w:val="24"/>
          <w:szCs w:val="24"/>
          <w:u w:val="single"/>
        </w:rPr>
      </w:pPr>
      <w:r w:rsidRPr="00B83D53">
        <w:rPr>
          <w:rFonts w:ascii="Arial" w:hAnsi="Arial" w:cs="Arial"/>
          <w:b/>
          <w:bCs/>
          <w:sz w:val="24"/>
          <w:szCs w:val="24"/>
          <w:u w:val="single"/>
        </w:rPr>
        <w:t>VAN ZYL AJ:</w:t>
      </w:r>
    </w:p>
    <w:p w14:paraId="718A8447" w14:textId="77777777" w:rsidR="00A80C68" w:rsidRPr="00B83D53" w:rsidRDefault="00A80C68" w:rsidP="00B83D53">
      <w:pPr>
        <w:widowControl w:val="0"/>
        <w:tabs>
          <w:tab w:val="right" w:pos="8931"/>
        </w:tabs>
        <w:spacing w:after="0" w:line="360" w:lineRule="auto"/>
        <w:rPr>
          <w:rFonts w:ascii="Arial" w:hAnsi="Arial" w:cs="Arial"/>
          <w:sz w:val="24"/>
          <w:szCs w:val="24"/>
        </w:rPr>
      </w:pPr>
    </w:p>
    <w:p w14:paraId="1C34A8B8" w14:textId="59688813" w:rsidR="00B5707D" w:rsidRPr="00B83D53" w:rsidRDefault="007B2AC7" w:rsidP="00B83D53">
      <w:pPr>
        <w:widowControl w:val="0"/>
        <w:tabs>
          <w:tab w:val="right" w:pos="8640"/>
        </w:tabs>
        <w:spacing w:after="0" w:line="360" w:lineRule="auto"/>
        <w:jc w:val="both"/>
        <w:rPr>
          <w:rFonts w:ascii="Arial" w:hAnsi="Arial" w:cs="Arial"/>
          <w:b/>
          <w:sz w:val="24"/>
          <w:szCs w:val="24"/>
          <w:u w:val="single"/>
        </w:rPr>
      </w:pPr>
      <w:r w:rsidRPr="00B83D53">
        <w:rPr>
          <w:rFonts w:ascii="Arial" w:hAnsi="Arial" w:cs="Arial"/>
          <w:b/>
          <w:sz w:val="24"/>
          <w:szCs w:val="24"/>
          <w:u w:val="single"/>
        </w:rPr>
        <w:t>I</w:t>
      </w:r>
      <w:r w:rsidR="00A80C68" w:rsidRPr="00B83D53">
        <w:rPr>
          <w:rFonts w:ascii="Arial" w:hAnsi="Arial" w:cs="Arial"/>
          <w:b/>
          <w:sz w:val="24"/>
          <w:szCs w:val="24"/>
          <w:u w:val="single"/>
        </w:rPr>
        <w:t>ntroduction</w:t>
      </w:r>
    </w:p>
    <w:p w14:paraId="2B396639" w14:textId="77777777" w:rsidR="00B5707D" w:rsidRPr="00F84117" w:rsidRDefault="00B5707D" w:rsidP="00F84117">
      <w:pPr>
        <w:widowControl w:val="0"/>
        <w:tabs>
          <w:tab w:val="right" w:pos="8640"/>
        </w:tabs>
        <w:spacing w:after="0" w:line="360" w:lineRule="auto"/>
        <w:jc w:val="both"/>
        <w:rPr>
          <w:rFonts w:ascii="Arial" w:hAnsi="Arial" w:cs="Arial"/>
          <w:sz w:val="24"/>
          <w:szCs w:val="24"/>
        </w:rPr>
      </w:pPr>
    </w:p>
    <w:p w14:paraId="1ED669A6" w14:textId="62AB037E" w:rsidR="00C93532" w:rsidRPr="00F84117" w:rsidRDefault="00C93532"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This is an application for interim interdictory relief</w:t>
      </w:r>
      <w:r w:rsidR="0006460B" w:rsidRPr="00F84117">
        <w:rPr>
          <w:rFonts w:ascii="Arial" w:hAnsi="Arial" w:cs="Arial"/>
          <w:sz w:val="24"/>
          <w:szCs w:val="24"/>
        </w:rPr>
        <w:t xml:space="preserve"> </w:t>
      </w:r>
      <w:r w:rsidR="00C77621" w:rsidRPr="00F84117">
        <w:rPr>
          <w:rFonts w:ascii="Arial" w:hAnsi="Arial" w:cs="Arial"/>
          <w:sz w:val="24"/>
          <w:szCs w:val="24"/>
        </w:rPr>
        <w:t xml:space="preserve">(in the form of a rule </w:t>
      </w:r>
      <w:r w:rsidR="00C77621" w:rsidRPr="00F84117">
        <w:rPr>
          <w:rFonts w:ascii="Arial" w:hAnsi="Arial" w:cs="Arial"/>
          <w:i/>
          <w:iCs/>
          <w:sz w:val="24"/>
          <w:szCs w:val="24"/>
        </w:rPr>
        <w:t>nisi</w:t>
      </w:r>
      <w:r w:rsidR="00C77621" w:rsidRPr="00F84117">
        <w:rPr>
          <w:rFonts w:ascii="Arial" w:hAnsi="Arial" w:cs="Arial"/>
          <w:sz w:val="24"/>
          <w:szCs w:val="24"/>
        </w:rPr>
        <w:t xml:space="preserve">) </w:t>
      </w:r>
      <w:r w:rsidR="0006460B" w:rsidRPr="00F84117">
        <w:rPr>
          <w:rFonts w:ascii="Arial" w:hAnsi="Arial" w:cs="Arial"/>
          <w:sz w:val="24"/>
          <w:szCs w:val="24"/>
        </w:rPr>
        <w:t>pending</w:t>
      </w:r>
      <w:r w:rsidR="00C77621" w:rsidRPr="00F84117">
        <w:rPr>
          <w:rFonts w:ascii="Arial" w:hAnsi="Arial" w:cs="Arial"/>
          <w:sz w:val="24"/>
          <w:szCs w:val="24"/>
        </w:rPr>
        <w:t xml:space="preserve"> </w:t>
      </w:r>
      <w:r w:rsidR="000806AD" w:rsidRPr="00F84117">
        <w:rPr>
          <w:rFonts w:ascii="Arial" w:hAnsi="Arial" w:cs="Arial"/>
          <w:sz w:val="24"/>
          <w:szCs w:val="24"/>
        </w:rPr>
        <w:t>final relief to be sought on the return day</w:t>
      </w:r>
      <w:r w:rsidRPr="00F84117">
        <w:rPr>
          <w:rFonts w:ascii="Arial" w:hAnsi="Arial" w:cs="Arial"/>
          <w:sz w:val="24"/>
          <w:szCs w:val="24"/>
        </w:rPr>
        <w:t>.  The applicants seek to interdict the further consideration by the first respondent (“the City”) of a rezoning application submitted by the second and third respondents</w:t>
      </w:r>
      <w:r w:rsidR="009F52CB" w:rsidRPr="00F84117">
        <w:rPr>
          <w:rFonts w:ascii="Arial" w:hAnsi="Arial" w:cs="Arial"/>
          <w:sz w:val="24"/>
          <w:szCs w:val="24"/>
        </w:rPr>
        <w:t xml:space="preserve"> (</w:t>
      </w:r>
      <w:r w:rsidR="009F0495" w:rsidRPr="00F84117">
        <w:rPr>
          <w:rFonts w:ascii="Arial" w:hAnsi="Arial" w:cs="Arial"/>
          <w:sz w:val="24"/>
          <w:szCs w:val="24"/>
        </w:rPr>
        <w:t>“</w:t>
      </w:r>
      <w:r w:rsidR="00C77621" w:rsidRPr="00F84117">
        <w:rPr>
          <w:rFonts w:ascii="Arial" w:hAnsi="Arial" w:cs="Arial"/>
          <w:sz w:val="24"/>
          <w:szCs w:val="24"/>
        </w:rPr>
        <w:t>T</w:t>
      </w:r>
      <w:r w:rsidR="009F0495" w:rsidRPr="00F84117">
        <w:rPr>
          <w:rFonts w:ascii="Arial" w:hAnsi="Arial" w:cs="Arial"/>
          <w:sz w:val="24"/>
          <w:szCs w:val="24"/>
        </w:rPr>
        <w:t>he B</w:t>
      </w:r>
      <w:r w:rsidR="00145E19" w:rsidRPr="00F84117">
        <w:rPr>
          <w:rFonts w:ascii="Arial" w:hAnsi="Arial" w:cs="Arial"/>
          <w:sz w:val="24"/>
          <w:szCs w:val="24"/>
        </w:rPr>
        <w:t>l</w:t>
      </w:r>
      <w:r w:rsidR="009F0495" w:rsidRPr="00F84117">
        <w:rPr>
          <w:rFonts w:ascii="Arial" w:hAnsi="Arial" w:cs="Arial"/>
          <w:sz w:val="24"/>
          <w:szCs w:val="24"/>
        </w:rPr>
        <w:t>ue Café”</w:t>
      </w:r>
      <w:r w:rsidR="00AA612A" w:rsidRPr="00F84117">
        <w:rPr>
          <w:rFonts w:ascii="Arial" w:hAnsi="Arial" w:cs="Arial"/>
          <w:sz w:val="24"/>
          <w:szCs w:val="24"/>
        </w:rPr>
        <w:t xml:space="preserve"> or “the Café”</w:t>
      </w:r>
      <w:r w:rsidR="009F0495" w:rsidRPr="00F84117">
        <w:rPr>
          <w:rFonts w:ascii="Arial" w:hAnsi="Arial" w:cs="Arial"/>
          <w:sz w:val="24"/>
          <w:szCs w:val="24"/>
        </w:rPr>
        <w:t>)</w:t>
      </w:r>
      <w:r w:rsidRPr="00F84117">
        <w:rPr>
          <w:rFonts w:ascii="Arial" w:hAnsi="Arial" w:cs="Arial"/>
          <w:sz w:val="24"/>
          <w:szCs w:val="24"/>
        </w:rPr>
        <w:t xml:space="preserve">, for the rezoning of their immovable property from a residential zoning to a General Business 1 zoning in terms of the City’s Municipal Planning By-law, 2015 (“the </w:t>
      </w:r>
      <w:r w:rsidR="00C77621" w:rsidRPr="00F84117">
        <w:rPr>
          <w:rFonts w:ascii="Arial" w:hAnsi="Arial" w:cs="Arial"/>
          <w:sz w:val="24"/>
          <w:szCs w:val="24"/>
        </w:rPr>
        <w:t>MPBL</w:t>
      </w:r>
      <w:r w:rsidRPr="00F84117">
        <w:rPr>
          <w:rFonts w:ascii="Arial" w:hAnsi="Arial" w:cs="Arial"/>
          <w:sz w:val="24"/>
          <w:szCs w:val="24"/>
        </w:rPr>
        <w:t>”)</w:t>
      </w:r>
      <w:r w:rsidR="000855F3" w:rsidRPr="00F84117">
        <w:rPr>
          <w:rFonts w:ascii="Arial" w:hAnsi="Arial" w:cs="Arial"/>
          <w:sz w:val="24"/>
          <w:szCs w:val="24"/>
        </w:rPr>
        <w:t xml:space="preserve"> and the regularisation of a so-called </w:t>
      </w:r>
      <w:r w:rsidR="0000105D" w:rsidRPr="00F84117">
        <w:rPr>
          <w:rFonts w:ascii="Arial" w:hAnsi="Arial" w:cs="Arial"/>
          <w:sz w:val="24"/>
          <w:szCs w:val="24"/>
        </w:rPr>
        <w:t xml:space="preserve">non-conforming use </w:t>
      </w:r>
      <w:r w:rsidR="0000105D" w:rsidRPr="00F84117">
        <w:rPr>
          <w:rFonts w:ascii="Arial" w:hAnsi="Arial" w:cs="Arial"/>
          <w:sz w:val="24"/>
          <w:szCs w:val="24"/>
        </w:rPr>
        <w:lastRenderedPageBreak/>
        <w:t>(“NCU”) right</w:t>
      </w:r>
      <w:r w:rsidRPr="00F84117">
        <w:rPr>
          <w:rFonts w:ascii="Arial" w:hAnsi="Arial" w:cs="Arial"/>
          <w:sz w:val="24"/>
          <w:szCs w:val="24"/>
        </w:rPr>
        <w:t>.  The rezoning is required to allow the second and third respondents to operate a restaurant business from their property.</w:t>
      </w:r>
    </w:p>
    <w:p w14:paraId="266CF80E" w14:textId="77777777" w:rsidR="009F52CB" w:rsidRPr="00F84117" w:rsidRDefault="009F52CB" w:rsidP="00F84117">
      <w:pPr>
        <w:widowControl w:val="0"/>
        <w:spacing w:after="0" w:line="360" w:lineRule="auto"/>
        <w:ind w:left="567"/>
        <w:jc w:val="both"/>
        <w:rPr>
          <w:rFonts w:ascii="Arial" w:hAnsi="Arial" w:cs="Arial"/>
          <w:sz w:val="24"/>
          <w:szCs w:val="24"/>
        </w:rPr>
      </w:pPr>
    </w:p>
    <w:p w14:paraId="21B174CA" w14:textId="1938B58C" w:rsidR="00C93532" w:rsidRPr="00F84117" w:rsidRDefault="00C93532"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further seek, from the City, the discovery and production of docume</w:t>
      </w:r>
      <w:r w:rsidR="009F52CB" w:rsidRPr="00F84117">
        <w:rPr>
          <w:rFonts w:ascii="Arial" w:hAnsi="Arial" w:cs="Arial"/>
          <w:sz w:val="24"/>
          <w:szCs w:val="24"/>
        </w:rPr>
        <w:t>n</w:t>
      </w:r>
      <w:r w:rsidRPr="00F84117">
        <w:rPr>
          <w:rFonts w:ascii="Arial" w:hAnsi="Arial" w:cs="Arial"/>
          <w:sz w:val="24"/>
          <w:szCs w:val="24"/>
        </w:rPr>
        <w:t xml:space="preserve">ts that relate to the issues in their application in terms of the provisions of Rule </w:t>
      </w:r>
      <w:r w:rsidR="009F52CB" w:rsidRPr="00F84117">
        <w:rPr>
          <w:rFonts w:ascii="Arial" w:hAnsi="Arial" w:cs="Arial"/>
          <w:sz w:val="24"/>
          <w:szCs w:val="24"/>
        </w:rPr>
        <w:t>35(11) and (13)</w:t>
      </w:r>
      <w:r w:rsidR="0006460B" w:rsidRPr="00F84117">
        <w:rPr>
          <w:rFonts w:ascii="Arial" w:hAnsi="Arial" w:cs="Arial"/>
          <w:sz w:val="24"/>
          <w:szCs w:val="24"/>
        </w:rPr>
        <w:t>, read with section 7 of the Promotion of Access to Information Act 2 of 2000 (“PAIA”).</w:t>
      </w:r>
    </w:p>
    <w:p w14:paraId="2FF45E04" w14:textId="77777777" w:rsidR="00C77621" w:rsidRPr="00F84117" w:rsidRDefault="00C77621" w:rsidP="00F84117">
      <w:pPr>
        <w:pStyle w:val="ListParagraph"/>
        <w:widowControl w:val="0"/>
        <w:spacing w:after="0" w:line="360" w:lineRule="auto"/>
        <w:jc w:val="both"/>
        <w:rPr>
          <w:rFonts w:ascii="Arial" w:hAnsi="Arial" w:cs="Arial"/>
          <w:sz w:val="24"/>
          <w:szCs w:val="24"/>
        </w:rPr>
      </w:pPr>
    </w:p>
    <w:p w14:paraId="2F99879D" w14:textId="19F04748" w:rsidR="00C77621" w:rsidRPr="00F84117" w:rsidRDefault="00C77621"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They seek, in addition, permission to supplement their founding affidavit pursuant to the delivery of the aforesaid documents</w:t>
      </w:r>
      <w:r w:rsidR="00990B4D">
        <w:rPr>
          <w:rFonts w:ascii="Arial" w:hAnsi="Arial" w:cs="Arial"/>
          <w:sz w:val="24"/>
          <w:szCs w:val="24"/>
        </w:rPr>
        <w:t>, and for the determination of time periods for the delivery of further affidavits.</w:t>
      </w:r>
    </w:p>
    <w:p w14:paraId="32C89BE8" w14:textId="77777777" w:rsidR="00C77621" w:rsidRPr="00F84117" w:rsidRDefault="00C77621" w:rsidP="00F84117">
      <w:pPr>
        <w:pStyle w:val="ListParagraph"/>
        <w:widowControl w:val="0"/>
        <w:spacing w:after="0" w:line="360" w:lineRule="auto"/>
        <w:jc w:val="both"/>
        <w:rPr>
          <w:rFonts w:ascii="Arial" w:hAnsi="Arial" w:cs="Arial"/>
          <w:sz w:val="24"/>
          <w:szCs w:val="24"/>
        </w:rPr>
      </w:pPr>
    </w:p>
    <w:p w14:paraId="574FFDCE" w14:textId="26178CF5" w:rsidR="00C77621" w:rsidRPr="00F84117" w:rsidRDefault="00C77621"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intend seeking a final interdict on the return day, preventing the City from ever considering and determining The Blue Café’s rezoning application.</w:t>
      </w:r>
    </w:p>
    <w:p w14:paraId="56CDD82D" w14:textId="77777777" w:rsidR="009F52CB" w:rsidRPr="00F84117" w:rsidRDefault="009F52CB" w:rsidP="00F84117">
      <w:pPr>
        <w:widowControl w:val="0"/>
        <w:spacing w:after="0" w:line="360" w:lineRule="auto"/>
        <w:ind w:left="567"/>
        <w:jc w:val="both"/>
        <w:rPr>
          <w:rFonts w:ascii="Arial" w:hAnsi="Arial" w:cs="Arial"/>
          <w:sz w:val="24"/>
          <w:szCs w:val="24"/>
        </w:rPr>
      </w:pPr>
    </w:p>
    <w:p w14:paraId="49D88FD2" w14:textId="2390B8AE" w:rsidR="009F52CB" w:rsidRPr="00F84117" w:rsidRDefault="009F52CB" w:rsidP="00F84117">
      <w:pPr>
        <w:widowControl w:val="0"/>
        <w:spacing w:after="0" w:line="360" w:lineRule="auto"/>
        <w:jc w:val="both"/>
        <w:rPr>
          <w:rFonts w:ascii="Arial" w:hAnsi="Arial" w:cs="Arial"/>
          <w:b/>
          <w:bCs/>
          <w:sz w:val="24"/>
          <w:szCs w:val="24"/>
          <w:u w:val="single"/>
        </w:rPr>
      </w:pPr>
      <w:r w:rsidRPr="00F84117">
        <w:rPr>
          <w:rFonts w:ascii="Arial" w:hAnsi="Arial" w:cs="Arial"/>
          <w:b/>
          <w:bCs/>
          <w:sz w:val="24"/>
          <w:szCs w:val="24"/>
          <w:u w:val="single"/>
        </w:rPr>
        <w:t>Background</w:t>
      </w:r>
    </w:p>
    <w:p w14:paraId="19FEAB2A" w14:textId="77777777" w:rsidR="009F52CB" w:rsidRPr="00F84117" w:rsidRDefault="009F52CB" w:rsidP="00F84117">
      <w:pPr>
        <w:widowControl w:val="0"/>
        <w:spacing w:after="0" w:line="360" w:lineRule="auto"/>
        <w:jc w:val="both"/>
        <w:rPr>
          <w:rFonts w:ascii="Arial" w:hAnsi="Arial" w:cs="Arial"/>
          <w:sz w:val="24"/>
          <w:szCs w:val="24"/>
        </w:rPr>
      </w:pPr>
    </w:p>
    <w:p w14:paraId="54136834" w14:textId="178D6E56" w:rsidR="007B2AC7" w:rsidRPr="00F84117" w:rsidRDefault="007B2AC7"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are homeowners in Tamboerskloof, Cape Town, who claim that their constitutional rights to property (</w:t>
      </w:r>
      <w:r w:rsidR="00A04F9E" w:rsidRPr="00F84117">
        <w:rPr>
          <w:rFonts w:ascii="Arial" w:hAnsi="Arial" w:cs="Arial"/>
          <w:sz w:val="24"/>
          <w:szCs w:val="24"/>
        </w:rPr>
        <w:t xml:space="preserve">in terms of </w:t>
      </w:r>
      <w:r w:rsidR="00C20BBB" w:rsidRPr="00F84117">
        <w:rPr>
          <w:rFonts w:ascii="Arial" w:hAnsi="Arial" w:cs="Arial"/>
          <w:sz w:val="24"/>
          <w:szCs w:val="24"/>
        </w:rPr>
        <w:t>section</w:t>
      </w:r>
      <w:r w:rsidRPr="00F84117">
        <w:rPr>
          <w:rFonts w:ascii="Arial" w:hAnsi="Arial" w:cs="Arial"/>
          <w:sz w:val="24"/>
          <w:szCs w:val="24"/>
        </w:rPr>
        <w:t xml:space="preserve"> 25 of the Constitution), </w:t>
      </w:r>
      <w:r w:rsidR="00C20BBB" w:rsidRPr="00F84117">
        <w:rPr>
          <w:rFonts w:ascii="Arial" w:hAnsi="Arial" w:cs="Arial"/>
          <w:sz w:val="24"/>
          <w:szCs w:val="24"/>
        </w:rPr>
        <w:t xml:space="preserve">to </w:t>
      </w:r>
      <w:r w:rsidRPr="00F84117">
        <w:rPr>
          <w:rFonts w:ascii="Arial" w:hAnsi="Arial" w:cs="Arial"/>
          <w:sz w:val="24"/>
          <w:szCs w:val="24"/>
        </w:rPr>
        <w:t xml:space="preserve">privacy </w:t>
      </w:r>
      <w:r w:rsidR="00C20BBB" w:rsidRPr="00F84117">
        <w:rPr>
          <w:rFonts w:ascii="Arial" w:hAnsi="Arial" w:cs="Arial"/>
          <w:sz w:val="24"/>
          <w:szCs w:val="24"/>
        </w:rPr>
        <w:t>(section 14</w:t>
      </w:r>
      <w:r w:rsidR="009F52CB" w:rsidRPr="00F84117">
        <w:rPr>
          <w:rFonts w:ascii="Arial" w:hAnsi="Arial" w:cs="Arial"/>
          <w:sz w:val="24"/>
          <w:szCs w:val="24"/>
        </w:rPr>
        <w:t xml:space="preserve"> of the Constitution</w:t>
      </w:r>
      <w:r w:rsidR="00C20BBB" w:rsidRPr="00F84117">
        <w:rPr>
          <w:rFonts w:ascii="Arial" w:hAnsi="Arial" w:cs="Arial"/>
          <w:sz w:val="24"/>
          <w:szCs w:val="24"/>
        </w:rPr>
        <w:t xml:space="preserve">), </w:t>
      </w:r>
      <w:r w:rsidRPr="00F84117">
        <w:rPr>
          <w:rFonts w:ascii="Arial" w:hAnsi="Arial" w:cs="Arial"/>
          <w:sz w:val="24"/>
          <w:szCs w:val="24"/>
        </w:rPr>
        <w:t xml:space="preserve">and </w:t>
      </w:r>
      <w:r w:rsidR="00C20BBB" w:rsidRPr="00F84117">
        <w:rPr>
          <w:rFonts w:ascii="Arial" w:hAnsi="Arial" w:cs="Arial"/>
          <w:sz w:val="24"/>
          <w:szCs w:val="24"/>
        </w:rPr>
        <w:t xml:space="preserve">to </w:t>
      </w:r>
      <w:r w:rsidRPr="00F84117">
        <w:rPr>
          <w:rFonts w:ascii="Arial" w:hAnsi="Arial" w:cs="Arial"/>
          <w:sz w:val="24"/>
          <w:szCs w:val="24"/>
        </w:rPr>
        <w:t xml:space="preserve">an </w:t>
      </w:r>
      <w:r w:rsidR="00674441" w:rsidRPr="00F84117">
        <w:rPr>
          <w:rFonts w:ascii="Arial" w:hAnsi="Arial" w:cs="Arial"/>
          <w:sz w:val="24"/>
          <w:szCs w:val="24"/>
        </w:rPr>
        <w:t>environment</w:t>
      </w:r>
      <w:r w:rsidRPr="00F84117">
        <w:rPr>
          <w:rFonts w:ascii="Arial" w:hAnsi="Arial" w:cs="Arial"/>
          <w:sz w:val="24"/>
          <w:szCs w:val="24"/>
        </w:rPr>
        <w:t xml:space="preserve"> that is not harmful to their health and wellbeing (</w:t>
      </w:r>
      <w:r w:rsidR="00A04F9E" w:rsidRPr="00F84117">
        <w:rPr>
          <w:rFonts w:ascii="Arial" w:hAnsi="Arial" w:cs="Arial"/>
          <w:sz w:val="24"/>
          <w:szCs w:val="24"/>
        </w:rPr>
        <w:t xml:space="preserve">in terms of </w:t>
      </w:r>
      <w:r w:rsidR="00C20BBB" w:rsidRPr="00F84117">
        <w:rPr>
          <w:rFonts w:ascii="Arial" w:hAnsi="Arial" w:cs="Arial"/>
          <w:sz w:val="24"/>
          <w:szCs w:val="24"/>
        </w:rPr>
        <w:t>section</w:t>
      </w:r>
      <w:r w:rsidRPr="00F84117">
        <w:rPr>
          <w:rFonts w:ascii="Arial" w:hAnsi="Arial" w:cs="Arial"/>
          <w:sz w:val="24"/>
          <w:szCs w:val="24"/>
        </w:rPr>
        <w:t xml:space="preserve"> 24</w:t>
      </w:r>
      <w:r w:rsidR="009F52CB" w:rsidRPr="00F84117">
        <w:rPr>
          <w:rFonts w:ascii="Arial" w:hAnsi="Arial" w:cs="Arial"/>
          <w:sz w:val="24"/>
          <w:szCs w:val="24"/>
        </w:rPr>
        <w:t xml:space="preserve"> of the Constitution</w:t>
      </w:r>
      <w:r w:rsidRPr="00F84117">
        <w:rPr>
          <w:rFonts w:ascii="Arial" w:hAnsi="Arial" w:cs="Arial"/>
          <w:sz w:val="24"/>
          <w:szCs w:val="24"/>
        </w:rPr>
        <w:t xml:space="preserve">) </w:t>
      </w:r>
      <w:r w:rsidR="00C20BBB" w:rsidRPr="00F84117">
        <w:rPr>
          <w:rFonts w:ascii="Arial" w:hAnsi="Arial" w:cs="Arial"/>
          <w:sz w:val="24"/>
          <w:szCs w:val="24"/>
        </w:rPr>
        <w:t>(</w:t>
      </w:r>
      <w:r w:rsidRPr="00F84117">
        <w:rPr>
          <w:rFonts w:ascii="Arial" w:hAnsi="Arial" w:cs="Arial"/>
          <w:sz w:val="24"/>
          <w:szCs w:val="24"/>
        </w:rPr>
        <w:t xml:space="preserve">as contemplated in </w:t>
      </w:r>
      <w:r w:rsidRPr="00F84117">
        <w:rPr>
          <w:rFonts w:ascii="Arial" w:hAnsi="Arial" w:cs="Arial"/>
          <w:i/>
          <w:iCs/>
          <w:sz w:val="24"/>
          <w:szCs w:val="24"/>
        </w:rPr>
        <w:t xml:space="preserve">Jacobs and </w:t>
      </w:r>
      <w:r w:rsidR="00217C67" w:rsidRPr="00F84117">
        <w:rPr>
          <w:rFonts w:ascii="Arial" w:hAnsi="Arial" w:cs="Arial"/>
          <w:i/>
          <w:iCs/>
          <w:sz w:val="24"/>
          <w:szCs w:val="24"/>
        </w:rPr>
        <w:t>o</w:t>
      </w:r>
      <w:r w:rsidRPr="00F84117">
        <w:rPr>
          <w:rFonts w:ascii="Arial" w:hAnsi="Arial" w:cs="Arial"/>
          <w:i/>
          <w:iCs/>
          <w:sz w:val="24"/>
          <w:szCs w:val="24"/>
        </w:rPr>
        <w:t>thers NNO v Hylton Grange (Pty) Ltd</w:t>
      </w:r>
      <w:r w:rsidR="009F0495" w:rsidRPr="00F84117">
        <w:rPr>
          <w:rFonts w:ascii="Arial" w:hAnsi="Arial" w:cs="Arial"/>
          <w:i/>
          <w:iCs/>
          <w:sz w:val="24"/>
          <w:szCs w:val="24"/>
        </w:rPr>
        <w:t xml:space="preserve"> </w:t>
      </w:r>
      <w:r w:rsidR="009F0495" w:rsidRPr="00F84117">
        <w:rPr>
          <w:rFonts w:ascii="Arial" w:hAnsi="Arial" w:cs="Arial"/>
          <w:sz w:val="24"/>
          <w:szCs w:val="24"/>
        </w:rPr>
        <w:t xml:space="preserve">2020 (4) SA 234 (WCC) at para </w:t>
      </w:r>
      <w:r w:rsidR="00217C67" w:rsidRPr="00F84117">
        <w:rPr>
          <w:rFonts w:ascii="Arial" w:hAnsi="Arial" w:cs="Arial"/>
          <w:sz w:val="24"/>
          <w:szCs w:val="24"/>
        </w:rPr>
        <w:t>[</w:t>
      </w:r>
      <w:r w:rsidR="009F0495" w:rsidRPr="00F84117">
        <w:rPr>
          <w:rFonts w:ascii="Arial" w:hAnsi="Arial" w:cs="Arial"/>
          <w:sz w:val="24"/>
          <w:szCs w:val="24"/>
        </w:rPr>
        <w:t>86</w:t>
      </w:r>
      <w:r w:rsidR="00217C67" w:rsidRPr="00F84117">
        <w:rPr>
          <w:rFonts w:ascii="Arial" w:hAnsi="Arial" w:cs="Arial"/>
          <w:sz w:val="24"/>
          <w:szCs w:val="24"/>
        </w:rPr>
        <w:t>]</w:t>
      </w:r>
      <w:r w:rsidR="00C20BBB" w:rsidRPr="00F84117">
        <w:rPr>
          <w:rFonts w:ascii="Arial" w:hAnsi="Arial" w:cs="Arial"/>
          <w:sz w:val="24"/>
          <w:szCs w:val="24"/>
        </w:rPr>
        <w:t>)</w:t>
      </w:r>
      <w:r w:rsidRPr="00F84117">
        <w:rPr>
          <w:rFonts w:ascii="Arial" w:hAnsi="Arial" w:cs="Arial"/>
          <w:sz w:val="24"/>
          <w:szCs w:val="24"/>
        </w:rPr>
        <w:t xml:space="preserve">, are violated by </w:t>
      </w:r>
      <w:r w:rsidR="00C77621" w:rsidRPr="00F84117">
        <w:rPr>
          <w:rFonts w:ascii="Arial" w:hAnsi="Arial" w:cs="Arial"/>
          <w:sz w:val="24"/>
          <w:szCs w:val="24"/>
        </w:rPr>
        <w:t>T</w:t>
      </w:r>
      <w:r w:rsidRPr="00F84117">
        <w:rPr>
          <w:rFonts w:ascii="Arial" w:hAnsi="Arial" w:cs="Arial"/>
          <w:sz w:val="24"/>
          <w:szCs w:val="24"/>
        </w:rPr>
        <w:t xml:space="preserve">he </w:t>
      </w:r>
      <w:r w:rsidR="00C77621" w:rsidRPr="00F84117">
        <w:rPr>
          <w:rFonts w:ascii="Arial" w:hAnsi="Arial" w:cs="Arial"/>
          <w:sz w:val="24"/>
          <w:szCs w:val="24"/>
        </w:rPr>
        <w:t xml:space="preserve">Blue Café’s restaurant </w:t>
      </w:r>
      <w:r w:rsidRPr="00F84117">
        <w:rPr>
          <w:rFonts w:ascii="Arial" w:hAnsi="Arial" w:cs="Arial"/>
          <w:sz w:val="24"/>
          <w:szCs w:val="24"/>
        </w:rPr>
        <w:t xml:space="preserve">business </w:t>
      </w:r>
      <w:r w:rsidR="001B50D8" w:rsidRPr="00F84117">
        <w:rPr>
          <w:rFonts w:ascii="Arial" w:hAnsi="Arial" w:cs="Arial"/>
          <w:sz w:val="24"/>
          <w:szCs w:val="24"/>
        </w:rPr>
        <w:t>b</w:t>
      </w:r>
      <w:r w:rsidRPr="00F84117">
        <w:rPr>
          <w:rFonts w:ascii="Arial" w:hAnsi="Arial" w:cs="Arial"/>
          <w:sz w:val="24"/>
          <w:szCs w:val="24"/>
        </w:rPr>
        <w:t xml:space="preserve">eing operated </w:t>
      </w:r>
      <w:r w:rsidR="009F0495" w:rsidRPr="00F84117">
        <w:rPr>
          <w:rFonts w:ascii="Arial" w:hAnsi="Arial" w:cs="Arial"/>
          <w:sz w:val="24"/>
          <w:szCs w:val="24"/>
        </w:rPr>
        <w:t xml:space="preserve">on the corner of Brownlow and Burnside Streets, </w:t>
      </w:r>
      <w:r w:rsidR="00A04F9E" w:rsidRPr="00F84117">
        <w:rPr>
          <w:rFonts w:ascii="Arial" w:hAnsi="Arial" w:cs="Arial"/>
          <w:sz w:val="24"/>
          <w:szCs w:val="24"/>
        </w:rPr>
        <w:t xml:space="preserve">Tamboerskloof, </w:t>
      </w:r>
      <w:r w:rsidR="009F0495" w:rsidRPr="00F84117">
        <w:rPr>
          <w:rFonts w:ascii="Arial" w:hAnsi="Arial" w:cs="Arial"/>
          <w:sz w:val="24"/>
          <w:szCs w:val="24"/>
        </w:rPr>
        <w:t>nearby</w:t>
      </w:r>
      <w:r w:rsidRPr="00F84117">
        <w:rPr>
          <w:rFonts w:ascii="Arial" w:hAnsi="Arial" w:cs="Arial"/>
          <w:sz w:val="24"/>
          <w:szCs w:val="24"/>
        </w:rPr>
        <w:t xml:space="preserve"> the</w:t>
      </w:r>
      <w:r w:rsidR="009F0495" w:rsidRPr="00F84117">
        <w:rPr>
          <w:rFonts w:ascii="Arial" w:hAnsi="Arial" w:cs="Arial"/>
          <w:sz w:val="24"/>
          <w:szCs w:val="24"/>
        </w:rPr>
        <w:t xml:space="preserve"> applicants’</w:t>
      </w:r>
      <w:r w:rsidRPr="00F84117">
        <w:rPr>
          <w:rFonts w:ascii="Arial" w:hAnsi="Arial" w:cs="Arial"/>
          <w:sz w:val="24"/>
          <w:szCs w:val="24"/>
        </w:rPr>
        <w:t xml:space="preserve"> properties in a</w:t>
      </w:r>
      <w:r w:rsidR="003321CC" w:rsidRPr="00F84117">
        <w:rPr>
          <w:rFonts w:ascii="Arial" w:hAnsi="Arial" w:cs="Arial"/>
          <w:sz w:val="24"/>
          <w:szCs w:val="24"/>
        </w:rPr>
        <w:t xml:space="preserve"> general residential use zone</w:t>
      </w:r>
      <w:r w:rsidRPr="00F84117">
        <w:rPr>
          <w:rFonts w:ascii="Arial" w:hAnsi="Arial" w:cs="Arial"/>
          <w:sz w:val="24"/>
          <w:szCs w:val="24"/>
        </w:rPr>
        <w:t xml:space="preserve">. </w:t>
      </w:r>
      <w:r w:rsidR="00AC2DA5" w:rsidRPr="00F84117">
        <w:rPr>
          <w:rFonts w:ascii="Arial" w:hAnsi="Arial" w:cs="Arial"/>
          <w:sz w:val="24"/>
          <w:szCs w:val="24"/>
        </w:rPr>
        <w:t xml:space="preserve"> The applicants have lodged objections with the City in this respect since 2019.</w:t>
      </w:r>
    </w:p>
    <w:p w14:paraId="07918862" w14:textId="77777777" w:rsidR="007B2AC7" w:rsidRPr="00F84117" w:rsidRDefault="007B2AC7" w:rsidP="00F84117">
      <w:pPr>
        <w:widowControl w:val="0"/>
        <w:spacing w:after="0" w:line="360" w:lineRule="auto"/>
        <w:ind w:left="567"/>
        <w:jc w:val="both"/>
        <w:rPr>
          <w:rFonts w:ascii="Arial" w:hAnsi="Arial" w:cs="Arial"/>
          <w:sz w:val="24"/>
          <w:szCs w:val="24"/>
        </w:rPr>
      </w:pPr>
    </w:p>
    <w:p w14:paraId="7529C3E2" w14:textId="21250878" w:rsidR="007B2AC7" w:rsidRPr="00F84117" w:rsidRDefault="007B2AC7"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launched an interdict application against the</w:t>
      </w:r>
      <w:r w:rsidR="003321CC" w:rsidRPr="00F84117">
        <w:rPr>
          <w:rFonts w:ascii="Arial" w:hAnsi="Arial" w:cs="Arial"/>
          <w:sz w:val="24"/>
          <w:szCs w:val="24"/>
        </w:rPr>
        <w:t xml:space="preserve"> Blue Café </w:t>
      </w:r>
      <w:r w:rsidRPr="00F84117">
        <w:rPr>
          <w:rFonts w:ascii="Arial" w:hAnsi="Arial" w:cs="Arial"/>
          <w:sz w:val="24"/>
          <w:szCs w:val="24"/>
        </w:rPr>
        <w:t>in this Court under case number 20103/21 in November 2021</w:t>
      </w:r>
      <w:r w:rsidR="002410AC" w:rsidRPr="00F84117">
        <w:rPr>
          <w:rFonts w:ascii="Arial" w:hAnsi="Arial" w:cs="Arial"/>
          <w:sz w:val="24"/>
          <w:szCs w:val="24"/>
        </w:rPr>
        <w:t xml:space="preserve"> (“the November</w:t>
      </w:r>
      <w:r w:rsidR="00C77621" w:rsidRPr="00F84117">
        <w:rPr>
          <w:rFonts w:ascii="Arial" w:hAnsi="Arial" w:cs="Arial"/>
          <w:sz w:val="24"/>
          <w:szCs w:val="24"/>
        </w:rPr>
        <w:t xml:space="preserve"> 20</w:t>
      </w:r>
      <w:r w:rsidR="002410AC" w:rsidRPr="00F84117">
        <w:rPr>
          <w:rFonts w:ascii="Arial" w:hAnsi="Arial" w:cs="Arial"/>
          <w:sz w:val="24"/>
          <w:szCs w:val="24"/>
        </w:rPr>
        <w:t>21 application”)</w:t>
      </w:r>
      <w:r w:rsidRPr="00F84117">
        <w:rPr>
          <w:rFonts w:ascii="Arial" w:hAnsi="Arial" w:cs="Arial"/>
          <w:sz w:val="24"/>
          <w:szCs w:val="24"/>
        </w:rPr>
        <w:t>, seeking an order directing</w:t>
      </w:r>
      <w:r w:rsidR="003321CC" w:rsidRPr="00F84117">
        <w:rPr>
          <w:rFonts w:ascii="Arial" w:hAnsi="Arial" w:cs="Arial"/>
          <w:sz w:val="24"/>
          <w:szCs w:val="24"/>
        </w:rPr>
        <w:t xml:space="preserve"> it </w:t>
      </w:r>
      <w:r w:rsidRPr="00F84117">
        <w:rPr>
          <w:rFonts w:ascii="Arial" w:hAnsi="Arial" w:cs="Arial"/>
          <w:sz w:val="24"/>
          <w:szCs w:val="24"/>
        </w:rPr>
        <w:t>to terminate</w:t>
      </w:r>
      <w:r w:rsidR="003321CC" w:rsidRPr="00F84117">
        <w:rPr>
          <w:rFonts w:ascii="Arial" w:hAnsi="Arial" w:cs="Arial"/>
          <w:sz w:val="24"/>
          <w:szCs w:val="24"/>
        </w:rPr>
        <w:t xml:space="preserve"> its </w:t>
      </w:r>
      <w:r w:rsidRPr="00F84117">
        <w:rPr>
          <w:rFonts w:ascii="Arial" w:hAnsi="Arial" w:cs="Arial"/>
          <w:sz w:val="24"/>
          <w:szCs w:val="24"/>
        </w:rPr>
        <w:t>unlawful restaurant business.</w:t>
      </w:r>
      <w:r w:rsidR="002410AC" w:rsidRPr="00F84117">
        <w:rPr>
          <w:rFonts w:ascii="Arial" w:hAnsi="Arial" w:cs="Arial"/>
          <w:sz w:val="24"/>
          <w:szCs w:val="24"/>
        </w:rPr>
        <w:t xml:space="preserve"> </w:t>
      </w:r>
      <w:r w:rsidRPr="00F84117">
        <w:rPr>
          <w:rFonts w:ascii="Arial" w:hAnsi="Arial" w:cs="Arial"/>
          <w:sz w:val="24"/>
          <w:szCs w:val="24"/>
        </w:rPr>
        <w:t>In the</w:t>
      </w:r>
      <w:r w:rsidR="002410AC" w:rsidRPr="00F84117">
        <w:rPr>
          <w:rFonts w:ascii="Arial" w:hAnsi="Arial" w:cs="Arial"/>
          <w:sz w:val="24"/>
          <w:szCs w:val="24"/>
        </w:rPr>
        <w:t xml:space="preserve"> November </w:t>
      </w:r>
      <w:r w:rsidR="00C77621" w:rsidRPr="00F84117">
        <w:rPr>
          <w:rFonts w:ascii="Arial" w:hAnsi="Arial" w:cs="Arial"/>
          <w:sz w:val="24"/>
          <w:szCs w:val="24"/>
        </w:rPr>
        <w:t>20</w:t>
      </w:r>
      <w:r w:rsidR="002410AC" w:rsidRPr="00F84117">
        <w:rPr>
          <w:rFonts w:ascii="Arial" w:hAnsi="Arial" w:cs="Arial"/>
          <w:sz w:val="24"/>
          <w:szCs w:val="24"/>
        </w:rPr>
        <w:t xml:space="preserve">21 </w:t>
      </w:r>
      <w:r w:rsidRPr="00F84117">
        <w:rPr>
          <w:rFonts w:ascii="Arial" w:hAnsi="Arial" w:cs="Arial"/>
          <w:sz w:val="24"/>
          <w:szCs w:val="24"/>
        </w:rPr>
        <w:t xml:space="preserve">application the </w:t>
      </w:r>
      <w:r w:rsidR="009F52CB" w:rsidRPr="00F84117">
        <w:rPr>
          <w:rFonts w:ascii="Arial" w:hAnsi="Arial" w:cs="Arial"/>
          <w:sz w:val="24"/>
          <w:szCs w:val="24"/>
        </w:rPr>
        <w:t>City</w:t>
      </w:r>
      <w:r w:rsidRPr="00F84117">
        <w:rPr>
          <w:rFonts w:ascii="Arial" w:hAnsi="Arial" w:cs="Arial"/>
          <w:sz w:val="24"/>
          <w:szCs w:val="24"/>
        </w:rPr>
        <w:t xml:space="preserve"> </w:t>
      </w:r>
      <w:r w:rsidR="009F0495" w:rsidRPr="00F84117">
        <w:rPr>
          <w:rFonts w:ascii="Arial" w:hAnsi="Arial" w:cs="Arial"/>
          <w:sz w:val="24"/>
          <w:szCs w:val="24"/>
        </w:rPr>
        <w:t>i</w:t>
      </w:r>
      <w:r w:rsidRPr="00F84117">
        <w:rPr>
          <w:rFonts w:ascii="Arial" w:hAnsi="Arial" w:cs="Arial"/>
          <w:sz w:val="24"/>
          <w:szCs w:val="24"/>
        </w:rPr>
        <w:t xml:space="preserve">s </w:t>
      </w:r>
      <w:r w:rsidR="00674441" w:rsidRPr="00F84117">
        <w:rPr>
          <w:rFonts w:ascii="Arial" w:hAnsi="Arial" w:cs="Arial"/>
          <w:sz w:val="24"/>
          <w:szCs w:val="24"/>
        </w:rPr>
        <w:t>implicated</w:t>
      </w:r>
      <w:r w:rsidRPr="00F84117">
        <w:rPr>
          <w:rFonts w:ascii="Arial" w:hAnsi="Arial" w:cs="Arial"/>
          <w:sz w:val="24"/>
          <w:szCs w:val="24"/>
        </w:rPr>
        <w:t xml:space="preserve"> in </w:t>
      </w:r>
      <w:r w:rsidR="003321CC" w:rsidRPr="00F84117">
        <w:rPr>
          <w:rFonts w:ascii="Arial" w:hAnsi="Arial" w:cs="Arial"/>
          <w:sz w:val="24"/>
          <w:szCs w:val="24"/>
        </w:rPr>
        <w:t xml:space="preserve">alleged </w:t>
      </w:r>
      <w:r w:rsidRPr="00F84117">
        <w:rPr>
          <w:rFonts w:ascii="Arial" w:hAnsi="Arial" w:cs="Arial"/>
          <w:sz w:val="24"/>
          <w:szCs w:val="24"/>
        </w:rPr>
        <w:t xml:space="preserve">irregular activities, and </w:t>
      </w:r>
      <w:r w:rsidR="009F52CB" w:rsidRPr="00F84117">
        <w:rPr>
          <w:rFonts w:ascii="Arial" w:hAnsi="Arial" w:cs="Arial"/>
          <w:sz w:val="24"/>
          <w:szCs w:val="24"/>
        </w:rPr>
        <w:t>accused of conduct</w:t>
      </w:r>
      <w:r w:rsidRPr="00F84117">
        <w:rPr>
          <w:rFonts w:ascii="Arial" w:hAnsi="Arial" w:cs="Arial"/>
          <w:sz w:val="24"/>
          <w:szCs w:val="24"/>
        </w:rPr>
        <w:t xml:space="preserve"> intended to favour </w:t>
      </w:r>
      <w:r w:rsidR="00C77621" w:rsidRPr="00F84117">
        <w:rPr>
          <w:rFonts w:ascii="Arial" w:hAnsi="Arial" w:cs="Arial"/>
          <w:sz w:val="24"/>
          <w:szCs w:val="24"/>
        </w:rPr>
        <w:t>T</w:t>
      </w:r>
      <w:r w:rsidRPr="00F84117">
        <w:rPr>
          <w:rFonts w:ascii="Arial" w:hAnsi="Arial" w:cs="Arial"/>
          <w:sz w:val="24"/>
          <w:szCs w:val="24"/>
        </w:rPr>
        <w:t xml:space="preserve">he Blue Café.  The </w:t>
      </w:r>
      <w:r w:rsidR="009F0495" w:rsidRPr="00F84117">
        <w:rPr>
          <w:rFonts w:ascii="Arial" w:hAnsi="Arial" w:cs="Arial"/>
          <w:sz w:val="24"/>
          <w:szCs w:val="24"/>
        </w:rPr>
        <w:t>City i</w:t>
      </w:r>
      <w:r w:rsidRPr="00F84117">
        <w:rPr>
          <w:rFonts w:ascii="Arial" w:hAnsi="Arial" w:cs="Arial"/>
          <w:sz w:val="24"/>
          <w:szCs w:val="24"/>
        </w:rPr>
        <w:t>s furthermore accused of being</w:t>
      </w:r>
      <w:r w:rsidR="002410AC" w:rsidRPr="00F84117">
        <w:rPr>
          <w:rFonts w:ascii="Arial" w:hAnsi="Arial" w:cs="Arial"/>
          <w:sz w:val="24"/>
          <w:szCs w:val="24"/>
        </w:rPr>
        <w:t xml:space="preserve"> </w:t>
      </w:r>
      <w:r w:rsidRPr="00F84117">
        <w:rPr>
          <w:rFonts w:ascii="Arial" w:hAnsi="Arial" w:cs="Arial"/>
          <w:sz w:val="24"/>
          <w:szCs w:val="24"/>
        </w:rPr>
        <w:t xml:space="preserve">biased in favour of </w:t>
      </w:r>
      <w:r w:rsidR="00C77621" w:rsidRPr="00F84117">
        <w:rPr>
          <w:rFonts w:ascii="Arial" w:hAnsi="Arial" w:cs="Arial"/>
          <w:sz w:val="24"/>
          <w:szCs w:val="24"/>
        </w:rPr>
        <w:t>T</w:t>
      </w:r>
      <w:r w:rsidRPr="00F84117">
        <w:rPr>
          <w:rFonts w:ascii="Arial" w:hAnsi="Arial" w:cs="Arial"/>
          <w:sz w:val="24"/>
          <w:szCs w:val="24"/>
        </w:rPr>
        <w:t xml:space="preserve">he Blue Café, and of attempts to conceal its own earlier unlawful </w:t>
      </w:r>
      <w:r w:rsidR="00A04F9E" w:rsidRPr="00F84117">
        <w:rPr>
          <w:rFonts w:ascii="Arial" w:hAnsi="Arial" w:cs="Arial"/>
          <w:sz w:val="24"/>
          <w:szCs w:val="24"/>
        </w:rPr>
        <w:t>conduct</w:t>
      </w:r>
      <w:r w:rsidR="003321CC" w:rsidRPr="00F84117">
        <w:rPr>
          <w:rFonts w:ascii="Arial" w:hAnsi="Arial" w:cs="Arial"/>
          <w:sz w:val="24"/>
          <w:szCs w:val="24"/>
        </w:rPr>
        <w:t xml:space="preserve"> to facilitate, promote and </w:t>
      </w:r>
      <w:r w:rsidR="003321CC" w:rsidRPr="00F84117">
        <w:rPr>
          <w:rFonts w:ascii="Arial" w:hAnsi="Arial" w:cs="Arial"/>
          <w:sz w:val="24"/>
          <w:szCs w:val="24"/>
        </w:rPr>
        <w:lastRenderedPageBreak/>
        <w:t xml:space="preserve">permit </w:t>
      </w:r>
      <w:r w:rsidRPr="00F84117">
        <w:rPr>
          <w:rFonts w:ascii="Arial" w:hAnsi="Arial" w:cs="Arial"/>
          <w:sz w:val="24"/>
          <w:szCs w:val="24"/>
        </w:rPr>
        <w:t xml:space="preserve">the </w:t>
      </w:r>
      <w:r w:rsidR="003321CC" w:rsidRPr="00F84117">
        <w:rPr>
          <w:rFonts w:ascii="Arial" w:hAnsi="Arial" w:cs="Arial"/>
          <w:sz w:val="24"/>
          <w:szCs w:val="24"/>
        </w:rPr>
        <w:t xml:space="preserve">continuation of the unlawful </w:t>
      </w:r>
      <w:r w:rsidRPr="00F84117">
        <w:rPr>
          <w:rFonts w:ascii="Arial" w:hAnsi="Arial" w:cs="Arial"/>
          <w:sz w:val="24"/>
          <w:szCs w:val="24"/>
        </w:rPr>
        <w:t xml:space="preserve">business of </w:t>
      </w:r>
      <w:r w:rsidR="00C77621" w:rsidRPr="00F84117">
        <w:rPr>
          <w:rFonts w:ascii="Arial" w:hAnsi="Arial" w:cs="Arial"/>
          <w:sz w:val="24"/>
          <w:szCs w:val="24"/>
        </w:rPr>
        <w:t>T</w:t>
      </w:r>
      <w:r w:rsidRPr="00F84117">
        <w:rPr>
          <w:rFonts w:ascii="Arial" w:hAnsi="Arial" w:cs="Arial"/>
          <w:sz w:val="24"/>
          <w:szCs w:val="24"/>
        </w:rPr>
        <w:t xml:space="preserve">he Blue Café. </w:t>
      </w:r>
    </w:p>
    <w:p w14:paraId="5E4C9C5A" w14:textId="77777777" w:rsidR="007B2AC7" w:rsidRPr="00F84117" w:rsidRDefault="007B2AC7" w:rsidP="00F84117">
      <w:pPr>
        <w:pStyle w:val="ListParagraph"/>
        <w:widowControl w:val="0"/>
        <w:spacing w:after="0" w:line="360" w:lineRule="auto"/>
        <w:jc w:val="both"/>
        <w:rPr>
          <w:rFonts w:ascii="Arial" w:hAnsi="Arial" w:cs="Arial"/>
          <w:sz w:val="24"/>
          <w:szCs w:val="24"/>
        </w:rPr>
      </w:pPr>
    </w:p>
    <w:p w14:paraId="1A5A6D32" w14:textId="3FF8B44E" w:rsidR="001B50D8" w:rsidRPr="00F84117" w:rsidRDefault="009F0495"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w:t>
      </w:r>
      <w:r w:rsidR="007B2AC7" w:rsidRPr="00F84117">
        <w:rPr>
          <w:rFonts w:ascii="Arial" w:hAnsi="Arial" w:cs="Arial"/>
          <w:sz w:val="24"/>
          <w:szCs w:val="24"/>
        </w:rPr>
        <w:t xml:space="preserve">he Blue Café </w:t>
      </w:r>
      <w:r w:rsidR="006C1CA9" w:rsidRPr="00F84117">
        <w:rPr>
          <w:rFonts w:ascii="Arial" w:hAnsi="Arial" w:cs="Arial"/>
          <w:sz w:val="24"/>
          <w:szCs w:val="24"/>
        </w:rPr>
        <w:t>had been operating as a shop since 1902</w:t>
      </w:r>
      <w:r w:rsidR="00F30E7D" w:rsidRPr="00F84117">
        <w:rPr>
          <w:rFonts w:ascii="Arial" w:hAnsi="Arial" w:cs="Arial"/>
          <w:sz w:val="24"/>
          <w:szCs w:val="24"/>
        </w:rPr>
        <w:t>, and its planning history is, on the information set out in the City’s affidavit, complex.</w:t>
      </w:r>
      <w:r w:rsidR="006C1CA9" w:rsidRPr="00F84117">
        <w:rPr>
          <w:rFonts w:ascii="Arial" w:hAnsi="Arial" w:cs="Arial"/>
          <w:sz w:val="24"/>
          <w:szCs w:val="24"/>
        </w:rPr>
        <w:t xml:space="preserve">  During 2000, in terms of the now repealed Land Use Planning Ordinance 15 of 1985, the City determined in writing that the shop had, as it still does, a</w:t>
      </w:r>
      <w:r w:rsidR="0000105D" w:rsidRPr="00F84117">
        <w:rPr>
          <w:rFonts w:ascii="Arial" w:hAnsi="Arial" w:cs="Arial"/>
          <w:sz w:val="24"/>
          <w:szCs w:val="24"/>
        </w:rPr>
        <w:t xml:space="preserve">n </w:t>
      </w:r>
      <w:r w:rsidR="006C1CA9" w:rsidRPr="00F84117">
        <w:rPr>
          <w:rFonts w:ascii="Arial" w:hAnsi="Arial" w:cs="Arial"/>
          <w:sz w:val="24"/>
          <w:szCs w:val="24"/>
        </w:rPr>
        <w:t xml:space="preserve">NCU right to continue with its operations.  During 2015 the City granted the Café permission </w:t>
      </w:r>
      <w:r w:rsidR="00F30E7D" w:rsidRPr="00F84117">
        <w:rPr>
          <w:rFonts w:ascii="Arial" w:hAnsi="Arial" w:cs="Arial"/>
          <w:sz w:val="24"/>
          <w:szCs w:val="24"/>
        </w:rPr>
        <w:t xml:space="preserve">(by way of a sidewalk lease) </w:t>
      </w:r>
      <w:r w:rsidR="006C1CA9" w:rsidRPr="00F84117">
        <w:rPr>
          <w:rFonts w:ascii="Arial" w:hAnsi="Arial" w:cs="Arial"/>
          <w:sz w:val="24"/>
          <w:szCs w:val="24"/>
        </w:rPr>
        <w:t>to use the sidewalk</w:t>
      </w:r>
      <w:r w:rsidR="00F30E7D" w:rsidRPr="00F84117">
        <w:rPr>
          <w:rFonts w:ascii="Arial" w:hAnsi="Arial" w:cs="Arial"/>
          <w:sz w:val="24"/>
          <w:szCs w:val="24"/>
        </w:rPr>
        <w:t xml:space="preserve"> to place tables and chairs for patrons of the business.  </w:t>
      </w:r>
      <w:r w:rsidR="006C1CA9" w:rsidRPr="00F84117">
        <w:rPr>
          <w:rFonts w:ascii="Arial" w:hAnsi="Arial" w:cs="Arial"/>
          <w:sz w:val="24"/>
          <w:szCs w:val="24"/>
        </w:rPr>
        <w:t xml:space="preserve">In the light of complaints from the applicants from about 2020 onwards, the City investigated the situation and found that the Café was exceeding its NCU right and that its current use of the premises was unauthorised.  </w:t>
      </w:r>
      <w:r w:rsidR="00AD3ABC" w:rsidRPr="00F84117">
        <w:rPr>
          <w:rFonts w:ascii="Arial" w:hAnsi="Arial" w:cs="Arial"/>
          <w:sz w:val="24"/>
          <w:szCs w:val="24"/>
        </w:rPr>
        <w:t>The sidewalk lease has been cancelled</w:t>
      </w:r>
      <w:r w:rsidR="004F0B80" w:rsidRPr="00F84117">
        <w:rPr>
          <w:rFonts w:ascii="Arial" w:hAnsi="Arial" w:cs="Arial"/>
          <w:sz w:val="24"/>
          <w:szCs w:val="24"/>
        </w:rPr>
        <w:t>, to the Café’s unhappiness – it has instituted proceedings against the City to have the lease reinstated</w:t>
      </w:r>
      <w:r w:rsidR="00AD3ABC" w:rsidRPr="00F84117">
        <w:rPr>
          <w:rFonts w:ascii="Arial" w:hAnsi="Arial" w:cs="Arial"/>
          <w:sz w:val="24"/>
          <w:szCs w:val="24"/>
        </w:rPr>
        <w:t xml:space="preserve">.  </w:t>
      </w:r>
      <w:r w:rsidR="00F30E7D" w:rsidRPr="00F84117">
        <w:rPr>
          <w:rFonts w:ascii="Arial" w:hAnsi="Arial" w:cs="Arial"/>
          <w:sz w:val="24"/>
          <w:szCs w:val="24"/>
        </w:rPr>
        <w:t>Numerous enforcement actions</w:t>
      </w:r>
      <w:r w:rsidR="0000105D" w:rsidRPr="00F84117">
        <w:rPr>
          <w:rFonts w:ascii="Arial" w:hAnsi="Arial" w:cs="Arial"/>
          <w:sz w:val="24"/>
          <w:szCs w:val="24"/>
        </w:rPr>
        <w:t>, enumerated in the City’s affidavit,</w:t>
      </w:r>
      <w:r w:rsidR="00F30E7D" w:rsidRPr="00F84117">
        <w:rPr>
          <w:rFonts w:ascii="Arial" w:hAnsi="Arial" w:cs="Arial"/>
          <w:sz w:val="24"/>
          <w:szCs w:val="24"/>
        </w:rPr>
        <w:t xml:space="preserve"> have been taken against the Café since 2021</w:t>
      </w:r>
      <w:r w:rsidR="0000105D" w:rsidRPr="00F84117">
        <w:rPr>
          <w:rFonts w:ascii="Arial" w:hAnsi="Arial" w:cs="Arial"/>
          <w:sz w:val="24"/>
          <w:szCs w:val="24"/>
        </w:rPr>
        <w:t xml:space="preserve">.  </w:t>
      </w:r>
      <w:r w:rsidR="006C1CA9" w:rsidRPr="00F84117">
        <w:rPr>
          <w:rFonts w:ascii="Arial" w:hAnsi="Arial" w:cs="Arial"/>
          <w:sz w:val="24"/>
          <w:szCs w:val="24"/>
        </w:rPr>
        <w:t xml:space="preserve">As a result, the Café </w:t>
      </w:r>
      <w:r w:rsidR="007B2AC7" w:rsidRPr="00F84117">
        <w:rPr>
          <w:rFonts w:ascii="Arial" w:hAnsi="Arial" w:cs="Arial"/>
          <w:sz w:val="24"/>
          <w:szCs w:val="24"/>
        </w:rPr>
        <w:t>launch</w:t>
      </w:r>
      <w:r w:rsidRPr="00F84117">
        <w:rPr>
          <w:rFonts w:ascii="Arial" w:hAnsi="Arial" w:cs="Arial"/>
          <w:sz w:val="24"/>
          <w:szCs w:val="24"/>
        </w:rPr>
        <w:t>ed</w:t>
      </w:r>
      <w:r w:rsidR="007B2AC7" w:rsidRPr="00F84117">
        <w:rPr>
          <w:rFonts w:ascii="Arial" w:hAnsi="Arial" w:cs="Arial"/>
          <w:sz w:val="24"/>
          <w:szCs w:val="24"/>
        </w:rPr>
        <w:t xml:space="preserve"> a </w:t>
      </w:r>
      <w:r w:rsidR="001B50D8" w:rsidRPr="00F84117">
        <w:rPr>
          <w:rFonts w:ascii="Arial" w:hAnsi="Arial" w:cs="Arial"/>
          <w:sz w:val="24"/>
          <w:szCs w:val="24"/>
        </w:rPr>
        <w:t xml:space="preserve">(second) </w:t>
      </w:r>
      <w:r w:rsidR="007B2AC7" w:rsidRPr="00F84117">
        <w:rPr>
          <w:rFonts w:ascii="Arial" w:hAnsi="Arial" w:cs="Arial"/>
          <w:sz w:val="24"/>
          <w:szCs w:val="24"/>
        </w:rPr>
        <w:t xml:space="preserve">rezoning application </w:t>
      </w:r>
      <w:r w:rsidR="0000105D" w:rsidRPr="00F84117">
        <w:rPr>
          <w:rFonts w:ascii="Arial" w:hAnsi="Arial" w:cs="Arial"/>
          <w:sz w:val="24"/>
          <w:szCs w:val="24"/>
        </w:rPr>
        <w:t xml:space="preserve">in terms of the MPBL in May 2021, which was supplemented in September </w:t>
      </w:r>
      <w:r w:rsidR="00990B4D">
        <w:rPr>
          <w:rFonts w:ascii="Arial" w:hAnsi="Arial" w:cs="Arial"/>
          <w:sz w:val="24"/>
          <w:szCs w:val="24"/>
        </w:rPr>
        <w:t xml:space="preserve">and December </w:t>
      </w:r>
      <w:r w:rsidR="0000105D" w:rsidRPr="00F84117">
        <w:rPr>
          <w:rFonts w:ascii="Arial" w:hAnsi="Arial" w:cs="Arial"/>
          <w:sz w:val="24"/>
          <w:szCs w:val="24"/>
        </w:rPr>
        <w:t>2021</w:t>
      </w:r>
      <w:r w:rsidR="007B2AC7" w:rsidRPr="00F84117">
        <w:rPr>
          <w:rFonts w:ascii="Arial" w:hAnsi="Arial" w:cs="Arial"/>
          <w:sz w:val="24"/>
          <w:szCs w:val="24"/>
        </w:rPr>
        <w:t>, seeking to rezone the area covered by its unlawful restaurant business</w:t>
      </w:r>
      <w:r w:rsidR="0000105D" w:rsidRPr="00F84117">
        <w:rPr>
          <w:rFonts w:ascii="Arial" w:hAnsi="Arial" w:cs="Arial"/>
          <w:sz w:val="24"/>
          <w:szCs w:val="24"/>
        </w:rPr>
        <w:t xml:space="preserve"> and regularise its NCU right</w:t>
      </w:r>
      <w:r w:rsidRPr="00F84117">
        <w:rPr>
          <w:rFonts w:ascii="Arial" w:hAnsi="Arial" w:cs="Arial"/>
          <w:sz w:val="24"/>
          <w:szCs w:val="24"/>
        </w:rPr>
        <w:t xml:space="preserve"> so as</w:t>
      </w:r>
      <w:r w:rsidR="007B2AC7" w:rsidRPr="00F84117">
        <w:rPr>
          <w:rFonts w:ascii="Arial" w:hAnsi="Arial" w:cs="Arial"/>
          <w:sz w:val="24"/>
          <w:szCs w:val="24"/>
        </w:rPr>
        <w:t xml:space="preserve"> to have business rights permitting the continuation of the currently unlawful restaurant business. </w:t>
      </w:r>
    </w:p>
    <w:p w14:paraId="1A1BD1C3" w14:textId="77777777" w:rsidR="001B50D8" w:rsidRPr="00F84117" w:rsidRDefault="001B50D8" w:rsidP="00F84117">
      <w:pPr>
        <w:pStyle w:val="ListParagraph"/>
        <w:widowControl w:val="0"/>
        <w:spacing w:after="0" w:line="360" w:lineRule="auto"/>
        <w:jc w:val="both"/>
        <w:rPr>
          <w:rFonts w:ascii="Arial" w:hAnsi="Arial" w:cs="Arial"/>
          <w:sz w:val="24"/>
          <w:szCs w:val="24"/>
        </w:rPr>
      </w:pPr>
    </w:p>
    <w:p w14:paraId="3C170E39" w14:textId="378124E1" w:rsidR="007B2AC7" w:rsidRPr="00F84117" w:rsidRDefault="007B2AC7"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rezoning application is currently pending, with the closing date for the lodging of objections having been on 21 February 2022.  </w:t>
      </w:r>
    </w:p>
    <w:p w14:paraId="2B6D7D5F" w14:textId="77777777" w:rsidR="00E832C8" w:rsidRPr="00F84117" w:rsidRDefault="00E832C8" w:rsidP="00F84117">
      <w:pPr>
        <w:pStyle w:val="ListParagraph"/>
        <w:widowControl w:val="0"/>
        <w:spacing w:after="0" w:line="360" w:lineRule="auto"/>
        <w:jc w:val="both"/>
        <w:rPr>
          <w:rFonts w:ascii="Arial" w:hAnsi="Arial" w:cs="Arial"/>
          <w:sz w:val="24"/>
          <w:szCs w:val="24"/>
        </w:rPr>
      </w:pPr>
    </w:p>
    <w:p w14:paraId="70709E15" w14:textId="63227998" w:rsidR="00E832C8" w:rsidRPr="00F84117" w:rsidRDefault="00E832C8"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As the essential basis for the relief sought, the applicants allege that the outcome of the rezoning application is a foregone conclusion and, effectively, that it would be a waste of time and inequitable towards the applicants to allow the City to take a decision and thereafter to compel them to exhaust internal remedies and, if necessary, to launch proceedings for judicial review under PAJA.  This contention rests of </w:t>
      </w:r>
      <w:r w:rsidR="001843CA" w:rsidRPr="00F84117">
        <w:rPr>
          <w:rFonts w:ascii="Arial" w:hAnsi="Arial" w:cs="Arial"/>
          <w:sz w:val="24"/>
          <w:szCs w:val="24"/>
        </w:rPr>
        <w:t>three</w:t>
      </w:r>
      <w:r w:rsidRPr="00F84117">
        <w:rPr>
          <w:rFonts w:ascii="Arial" w:hAnsi="Arial" w:cs="Arial"/>
          <w:sz w:val="24"/>
          <w:szCs w:val="24"/>
        </w:rPr>
        <w:t xml:space="preserve"> grounds:</w:t>
      </w:r>
    </w:p>
    <w:p w14:paraId="3C8BDA37" w14:textId="77777777" w:rsidR="00E832C8" w:rsidRPr="00F84117" w:rsidRDefault="00E832C8" w:rsidP="00F84117">
      <w:pPr>
        <w:pStyle w:val="ListParagraph"/>
        <w:widowControl w:val="0"/>
        <w:spacing w:after="0" w:line="360" w:lineRule="auto"/>
        <w:jc w:val="both"/>
        <w:rPr>
          <w:rFonts w:ascii="Arial" w:hAnsi="Arial" w:cs="Arial"/>
          <w:sz w:val="24"/>
          <w:szCs w:val="24"/>
        </w:rPr>
      </w:pPr>
    </w:p>
    <w:p w14:paraId="1417C2E6" w14:textId="77777777" w:rsidR="00990B4D" w:rsidRDefault="00E832C8" w:rsidP="00990B4D">
      <w:pPr>
        <w:widowControl w:val="0"/>
        <w:numPr>
          <w:ilvl w:val="1"/>
          <w:numId w:val="3"/>
        </w:numPr>
        <w:spacing w:after="0" w:line="360" w:lineRule="auto"/>
        <w:ind w:left="1260" w:hanging="630"/>
        <w:jc w:val="both"/>
        <w:rPr>
          <w:rFonts w:ascii="Arial" w:hAnsi="Arial" w:cs="Arial"/>
          <w:sz w:val="24"/>
          <w:szCs w:val="24"/>
        </w:rPr>
      </w:pPr>
      <w:r w:rsidRPr="00F84117">
        <w:rPr>
          <w:rFonts w:ascii="Arial" w:hAnsi="Arial" w:cs="Arial"/>
          <w:sz w:val="24"/>
          <w:szCs w:val="24"/>
        </w:rPr>
        <w:t>The City is irredeemabl</w:t>
      </w:r>
      <w:r w:rsidR="001843CA" w:rsidRPr="00F84117">
        <w:rPr>
          <w:rFonts w:ascii="Arial" w:hAnsi="Arial" w:cs="Arial"/>
          <w:sz w:val="24"/>
          <w:szCs w:val="24"/>
        </w:rPr>
        <w:t>y</w:t>
      </w:r>
      <w:r w:rsidRPr="00F84117">
        <w:rPr>
          <w:rFonts w:ascii="Arial" w:hAnsi="Arial" w:cs="Arial"/>
          <w:sz w:val="24"/>
          <w:szCs w:val="24"/>
        </w:rPr>
        <w:t xml:space="preserve"> biased in favour of The Blue Café</w:t>
      </w:r>
      <w:r w:rsidR="00CC4A8F" w:rsidRPr="00F84117">
        <w:rPr>
          <w:rFonts w:ascii="Arial" w:hAnsi="Arial" w:cs="Arial"/>
          <w:sz w:val="24"/>
          <w:szCs w:val="24"/>
        </w:rPr>
        <w:t xml:space="preserve">, in that the City has demonstrated </w:t>
      </w:r>
      <w:r w:rsidR="00CC4A8F" w:rsidRPr="00990B4D">
        <w:rPr>
          <w:rFonts w:ascii="Arial" w:hAnsi="Arial" w:cs="Arial"/>
          <w:sz w:val="24"/>
          <w:szCs w:val="24"/>
        </w:rPr>
        <w:t xml:space="preserve">“overwhelming bias and prejudice manifesting in an all-pervasive and ubiquitous manner”.  For this reason, the City will inevitably </w:t>
      </w:r>
      <w:r w:rsidR="00CC4A8F" w:rsidRPr="00990B4D">
        <w:rPr>
          <w:rFonts w:ascii="Arial" w:hAnsi="Arial" w:cs="Arial"/>
          <w:sz w:val="24"/>
          <w:szCs w:val="24"/>
        </w:rPr>
        <w:lastRenderedPageBreak/>
        <w:t>decide the rezo</w:t>
      </w:r>
      <w:r w:rsidR="00CC4A8F" w:rsidRPr="00F84117">
        <w:rPr>
          <w:rFonts w:ascii="Arial" w:hAnsi="Arial" w:cs="Arial"/>
          <w:sz w:val="24"/>
          <w:szCs w:val="24"/>
        </w:rPr>
        <w:t>ning application in the Café’s favour.</w:t>
      </w:r>
    </w:p>
    <w:p w14:paraId="0E2B6AC6" w14:textId="77777777" w:rsidR="00990B4D" w:rsidRDefault="00990B4D" w:rsidP="00990B4D">
      <w:pPr>
        <w:widowControl w:val="0"/>
        <w:spacing w:after="0" w:line="360" w:lineRule="auto"/>
        <w:ind w:left="1260"/>
        <w:jc w:val="both"/>
        <w:rPr>
          <w:rFonts w:ascii="Arial" w:hAnsi="Arial" w:cs="Arial"/>
          <w:sz w:val="24"/>
          <w:szCs w:val="24"/>
        </w:rPr>
      </w:pPr>
    </w:p>
    <w:p w14:paraId="10C8F5A1" w14:textId="6E9CBDD4" w:rsidR="00CC4A8F" w:rsidRPr="00990B4D" w:rsidRDefault="00CC4A8F" w:rsidP="00990B4D">
      <w:pPr>
        <w:widowControl w:val="0"/>
        <w:numPr>
          <w:ilvl w:val="1"/>
          <w:numId w:val="3"/>
        </w:numPr>
        <w:spacing w:after="0" w:line="360" w:lineRule="auto"/>
        <w:ind w:left="1260" w:hanging="630"/>
        <w:jc w:val="both"/>
        <w:rPr>
          <w:rFonts w:ascii="Arial" w:hAnsi="Arial" w:cs="Arial"/>
          <w:sz w:val="24"/>
          <w:szCs w:val="24"/>
        </w:rPr>
      </w:pPr>
      <w:r w:rsidRPr="00990B4D">
        <w:rPr>
          <w:rFonts w:ascii="Arial" w:hAnsi="Arial" w:cs="Arial"/>
          <w:sz w:val="24"/>
          <w:szCs w:val="24"/>
        </w:rPr>
        <w:t>The rezoning application in its current form is “unachievable” and it would be “iniquitous” for the applicants to have to engage in costly proceedings involving a fatally flawed application.</w:t>
      </w:r>
    </w:p>
    <w:p w14:paraId="27AD4D6A" w14:textId="77777777" w:rsidR="001843CA" w:rsidRPr="00F84117" w:rsidRDefault="001843CA" w:rsidP="00F84117">
      <w:pPr>
        <w:widowControl w:val="0"/>
        <w:spacing w:after="0" w:line="360" w:lineRule="auto"/>
        <w:ind w:left="792"/>
        <w:jc w:val="both"/>
        <w:rPr>
          <w:rFonts w:ascii="Arial" w:hAnsi="Arial" w:cs="Arial"/>
          <w:sz w:val="24"/>
          <w:szCs w:val="24"/>
        </w:rPr>
      </w:pPr>
    </w:p>
    <w:p w14:paraId="46FAE36C" w14:textId="6642B1D6" w:rsidR="00CC4A8F" w:rsidRPr="00F84117" w:rsidRDefault="00CC4A8F" w:rsidP="00990B4D">
      <w:pPr>
        <w:widowControl w:val="0"/>
        <w:numPr>
          <w:ilvl w:val="1"/>
          <w:numId w:val="3"/>
        </w:numPr>
        <w:spacing w:after="0" w:line="360" w:lineRule="auto"/>
        <w:ind w:left="1260" w:hanging="720"/>
        <w:jc w:val="both"/>
        <w:rPr>
          <w:rFonts w:ascii="Arial" w:hAnsi="Arial" w:cs="Arial"/>
          <w:sz w:val="24"/>
          <w:szCs w:val="24"/>
        </w:rPr>
      </w:pPr>
      <w:r w:rsidRPr="00F84117">
        <w:rPr>
          <w:rFonts w:ascii="Arial" w:hAnsi="Arial" w:cs="Arial"/>
          <w:sz w:val="24"/>
          <w:szCs w:val="24"/>
        </w:rPr>
        <w:t xml:space="preserve">The rezoning application is an “abuse of legal process” </w:t>
      </w:r>
      <w:r w:rsidR="00D55DD5" w:rsidRPr="00F84117">
        <w:rPr>
          <w:rFonts w:ascii="Arial" w:hAnsi="Arial" w:cs="Arial"/>
          <w:sz w:val="24"/>
          <w:szCs w:val="24"/>
        </w:rPr>
        <w:t>as the City ought to have shut down the Café</w:t>
      </w:r>
      <w:r w:rsidR="001843CA" w:rsidRPr="00F84117">
        <w:rPr>
          <w:rFonts w:ascii="Arial" w:hAnsi="Arial" w:cs="Arial"/>
          <w:sz w:val="24"/>
          <w:szCs w:val="24"/>
        </w:rPr>
        <w:t xml:space="preserve"> because of its zoning contraventions rather than choosing to “aid and abet” it by creating a “new zoning dispensation tailor-made” to enable the business to continue with its operations.</w:t>
      </w:r>
    </w:p>
    <w:p w14:paraId="4E74E18C" w14:textId="60CF67D3" w:rsidR="00CC4A8F" w:rsidRPr="00F84117" w:rsidRDefault="00CC4A8F" w:rsidP="00F84117">
      <w:pPr>
        <w:pStyle w:val="ListParagraph"/>
        <w:widowControl w:val="0"/>
        <w:spacing w:after="0" w:line="360" w:lineRule="auto"/>
        <w:jc w:val="both"/>
        <w:rPr>
          <w:rFonts w:ascii="Arial" w:hAnsi="Arial" w:cs="Arial"/>
          <w:sz w:val="24"/>
          <w:szCs w:val="24"/>
        </w:rPr>
      </w:pPr>
    </w:p>
    <w:p w14:paraId="6FF4272E" w14:textId="65A031C5" w:rsidR="0006460B" w:rsidRPr="00F84117" w:rsidRDefault="0006460B"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respondents contend that the relief sought by the applicant</w:t>
      </w:r>
      <w:r w:rsidR="001B50D8" w:rsidRPr="00F84117">
        <w:rPr>
          <w:rFonts w:ascii="Arial" w:hAnsi="Arial" w:cs="Arial"/>
          <w:sz w:val="24"/>
          <w:szCs w:val="24"/>
        </w:rPr>
        <w:t>s</w:t>
      </w:r>
      <w:r w:rsidRPr="00F84117">
        <w:rPr>
          <w:rFonts w:ascii="Arial" w:hAnsi="Arial" w:cs="Arial"/>
          <w:sz w:val="24"/>
          <w:szCs w:val="24"/>
        </w:rPr>
        <w:t>, in particular in relation to the interdictory relief to prevent the consideration by the City of the rezoning application, is legally unsustainable and incompetent.</w:t>
      </w:r>
      <w:r w:rsidR="009948E0" w:rsidRPr="00F84117">
        <w:rPr>
          <w:rFonts w:ascii="Arial" w:hAnsi="Arial" w:cs="Arial"/>
          <w:sz w:val="24"/>
          <w:szCs w:val="24"/>
        </w:rPr>
        <w:t xml:space="preserve">  The reasons for these submissions will be dealt with below</w:t>
      </w:r>
      <w:r w:rsidR="000855F3" w:rsidRPr="00F84117">
        <w:rPr>
          <w:rFonts w:ascii="Arial" w:hAnsi="Arial" w:cs="Arial"/>
          <w:sz w:val="24"/>
          <w:szCs w:val="24"/>
        </w:rPr>
        <w:t>.</w:t>
      </w:r>
      <w:r w:rsidR="00D71929" w:rsidRPr="00F84117">
        <w:rPr>
          <w:rFonts w:ascii="Arial" w:hAnsi="Arial" w:cs="Arial"/>
          <w:sz w:val="24"/>
          <w:szCs w:val="24"/>
        </w:rPr>
        <w:t xml:space="preserve">  In relation to the factual allegations, the respondents </w:t>
      </w:r>
      <w:r w:rsidR="00990B4D">
        <w:rPr>
          <w:rFonts w:ascii="Arial" w:hAnsi="Arial" w:cs="Arial"/>
          <w:sz w:val="24"/>
          <w:szCs w:val="24"/>
        </w:rPr>
        <w:t>allege as follows</w:t>
      </w:r>
      <w:r w:rsidR="00D71929" w:rsidRPr="00F84117">
        <w:rPr>
          <w:rFonts w:ascii="Arial" w:hAnsi="Arial" w:cs="Arial"/>
          <w:sz w:val="24"/>
          <w:szCs w:val="24"/>
        </w:rPr>
        <w:t>:</w:t>
      </w:r>
    </w:p>
    <w:p w14:paraId="138FB992" w14:textId="77777777" w:rsidR="00E34CF8" w:rsidRPr="00F84117" w:rsidRDefault="00E34CF8" w:rsidP="00F84117">
      <w:pPr>
        <w:widowControl w:val="0"/>
        <w:spacing w:after="0" w:line="360" w:lineRule="auto"/>
        <w:ind w:left="792"/>
        <w:jc w:val="both"/>
        <w:rPr>
          <w:rFonts w:ascii="Arial" w:hAnsi="Arial" w:cs="Arial"/>
          <w:sz w:val="24"/>
          <w:szCs w:val="24"/>
        </w:rPr>
      </w:pPr>
    </w:p>
    <w:p w14:paraId="0D0E1E80" w14:textId="77777777" w:rsidR="00E34CF8" w:rsidRPr="00F84117" w:rsidRDefault="00D71929" w:rsidP="00F84117">
      <w:pPr>
        <w:widowControl w:val="0"/>
        <w:numPr>
          <w:ilvl w:val="1"/>
          <w:numId w:val="3"/>
        </w:numPr>
        <w:spacing w:after="0" w:line="360" w:lineRule="auto"/>
        <w:ind w:left="1260" w:hanging="720"/>
        <w:jc w:val="both"/>
        <w:rPr>
          <w:rFonts w:ascii="Arial" w:hAnsi="Arial" w:cs="Arial"/>
          <w:sz w:val="24"/>
          <w:szCs w:val="24"/>
        </w:rPr>
      </w:pPr>
      <w:r w:rsidRPr="00F84117">
        <w:rPr>
          <w:rFonts w:ascii="Arial" w:hAnsi="Arial" w:cs="Arial"/>
          <w:sz w:val="24"/>
          <w:szCs w:val="24"/>
        </w:rPr>
        <w:t>The allegations of bias on the part of the City is unsubstantiated.  The City’s affidavit sets out many instances of action taken against the Café.  The latter, for its part, points out that it has received contradictory and confusing messages from the City from time to time, that there were many instances in which the City had not responded to its queries</w:t>
      </w:r>
      <w:r w:rsidR="00935A4F" w:rsidRPr="00F84117">
        <w:rPr>
          <w:rFonts w:ascii="Arial" w:hAnsi="Arial" w:cs="Arial"/>
          <w:sz w:val="24"/>
          <w:szCs w:val="24"/>
        </w:rPr>
        <w:t xml:space="preserve">, and that it has been confronted </w:t>
      </w:r>
      <w:r w:rsidR="00E34CF8" w:rsidRPr="00F84117">
        <w:rPr>
          <w:rFonts w:ascii="Arial" w:hAnsi="Arial" w:cs="Arial"/>
          <w:sz w:val="24"/>
          <w:szCs w:val="24"/>
        </w:rPr>
        <w:t>time and again</w:t>
      </w:r>
      <w:r w:rsidR="00935A4F" w:rsidRPr="00F84117">
        <w:rPr>
          <w:rFonts w:ascii="Arial" w:hAnsi="Arial" w:cs="Arial"/>
          <w:sz w:val="24"/>
          <w:szCs w:val="24"/>
        </w:rPr>
        <w:t xml:space="preserve"> with the City’s efforts to restrict its business operations or to shut it down.  </w:t>
      </w:r>
      <w:r w:rsidR="00E34CF8" w:rsidRPr="00F84117">
        <w:rPr>
          <w:rFonts w:ascii="Arial" w:hAnsi="Arial" w:cs="Arial"/>
          <w:sz w:val="24"/>
          <w:szCs w:val="24"/>
        </w:rPr>
        <w:t xml:space="preserve">The applicants’ own papers are replete with references to findings that the City’s officials have made against the Café and the steps that the latter has had to take to regularise the situation, including making application for the payment of an administrative penalty.  </w:t>
      </w:r>
      <w:r w:rsidR="00935A4F" w:rsidRPr="00F84117">
        <w:rPr>
          <w:rFonts w:ascii="Arial" w:hAnsi="Arial" w:cs="Arial"/>
          <w:sz w:val="24"/>
          <w:szCs w:val="24"/>
        </w:rPr>
        <w:t>That is why the rezoning application has been brought.  It is difficult to see how it can be contended that the City is biased towards the Café against this background.</w:t>
      </w:r>
    </w:p>
    <w:p w14:paraId="3F4BD4C9" w14:textId="77777777" w:rsidR="00E34CF8" w:rsidRPr="00F84117" w:rsidRDefault="00E34CF8" w:rsidP="00F84117">
      <w:pPr>
        <w:widowControl w:val="0"/>
        <w:spacing w:after="0" w:line="360" w:lineRule="auto"/>
        <w:ind w:left="1260"/>
        <w:jc w:val="both"/>
        <w:rPr>
          <w:rFonts w:ascii="Arial" w:hAnsi="Arial" w:cs="Arial"/>
          <w:sz w:val="24"/>
          <w:szCs w:val="24"/>
        </w:rPr>
      </w:pPr>
    </w:p>
    <w:p w14:paraId="17AA921B" w14:textId="4A359D91" w:rsidR="004523AB" w:rsidRPr="00F84117" w:rsidRDefault="00E34CF8" w:rsidP="00F84117">
      <w:pPr>
        <w:widowControl w:val="0"/>
        <w:numPr>
          <w:ilvl w:val="1"/>
          <w:numId w:val="3"/>
        </w:numPr>
        <w:spacing w:after="0" w:line="360" w:lineRule="auto"/>
        <w:ind w:left="1260" w:hanging="720"/>
        <w:jc w:val="both"/>
        <w:rPr>
          <w:rFonts w:ascii="Arial" w:hAnsi="Arial" w:cs="Arial"/>
          <w:sz w:val="24"/>
          <w:szCs w:val="24"/>
        </w:rPr>
      </w:pPr>
      <w:r w:rsidRPr="00F84117">
        <w:rPr>
          <w:rFonts w:ascii="Arial" w:hAnsi="Arial" w:cs="Arial"/>
          <w:sz w:val="24"/>
          <w:szCs w:val="24"/>
        </w:rPr>
        <w:t xml:space="preserve">The applicants, in relation to their contention that the rezoning application is unachievable, rely principally on the contention that the </w:t>
      </w:r>
      <w:r w:rsidR="004523AB" w:rsidRPr="00F84117">
        <w:rPr>
          <w:rFonts w:ascii="Arial" w:hAnsi="Arial" w:cs="Arial"/>
          <w:sz w:val="24"/>
          <w:szCs w:val="24"/>
        </w:rPr>
        <w:t xml:space="preserve">rezoning </w:t>
      </w:r>
      <w:r w:rsidRPr="00F84117">
        <w:rPr>
          <w:rFonts w:ascii="Arial" w:hAnsi="Arial" w:cs="Arial"/>
          <w:sz w:val="24"/>
          <w:szCs w:val="24"/>
        </w:rPr>
        <w:t xml:space="preserve">application does not address </w:t>
      </w:r>
      <w:r w:rsidR="004523AB" w:rsidRPr="00F84117">
        <w:rPr>
          <w:rFonts w:ascii="Arial" w:hAnsi="Arial" w:cs="Arial"/>
          <w:sz w:val="24"/>
          <w:szCs w:val="24"/>
        </w:rPr>
        <w:t>a</w:t>
      </w:r>
      <w:r w:rsidRPr="00F84117">
        <w:rPr>
          <w:rFonts w:ascii="Arial" w:hAnsi="Arial" w:cs="Arial"/>
          <w:sz w:val="24"/>
          <w:szCs w:val="24"/>
        </w:rPr>
        <w:t xml:space="preserve"> portion of the property that belongs to the </w:t>
      </w:r>
      <w:r w:rsidR="004523AB" w:rsidRPr="00F84117">
        <w:rPr>
          <w:rFonts w:ascii="Arial" w:hAnsi="Arial" w:cs="Arial"/>
          <w:sz w:val="24"/>
          <w:szCs w:val="24"/>
        </w:rPr>
        <w:lastRenderedPageBreak/>
        <w:t>C</w:t>
      </w:r>
      <w:r w:rsidRPr="00F84117">
        <w:rPr>
          <w:rFonts w:ascii="Arial" w:hAnsi="Arial" w:cs="Arial"/>
          <w:sz w:val="24"/>
          <w:szCs w:val="24"/>
        </w:rPr>
        <w:t xml:space="preserve">ity </w:t>
      </w:r>
      <w:r w:rsidR="004523AB" w:rsidRPr="00F84117">
        <w:rPr>
          <w:rFonts w:ascii="Arial" w:hAnsi="Arial" w:cs="Arial"/>
          <w:sz w:val="24"/>
          <w:szCs w:val="24"/>
        </w:rPr>
        <w:t xml:space="preserve">(whilst being used by the Café) </w:t>
      </w:r>
      <w:r w:rsidRPr="00F84117">
        <w:rPr>
          <w:rFonts w:ascii="Arial" w:hAnsi="Arial" w:cs="Arial"/>
          <w:sz w:val="24"/>
          <w:szCs w:val="24"/>
        </w:rPr>
        <w:t xml:space="preserve">and that the </w:t>
      </w:r>
      <w:r w:rsidR="004523AB" w:rsidRPr="00F84117">
        <w:rPr>
          <w:rFonts w:ascii="Arial" w:hAnsi="Arial" w:cs="Arial"/>
          <w:sz w:val="24"/>
          <w:szCs w:val="24"/>
        </w:rPr>
        <w:t>rezoning</w:t>
      </w:r>
      <w:r w:rsidRPr="00F84117">
        <w:rPr>
          <w:rFonts w:ascii="Arial" w:hAnsi="Arial" w:cs="Arial"/>
          <w:sz w:val="24"/>
          <w:szCs w:val="24"/>
        </w:rPr>
        <w:t xml:space="preserve"> application does not contain all of the necessary information contemplated by the MPBL.</w:t>
      </w:r>
      <w:r w:rsidR="004523AB" w:rsidRPr="00F84117">
        <w:rPr>
          <w:rFonts w:ascii="Arial" w:hAnsi="Arial" w:cs="Arial"/>
          <w:sz w:val="24"/>
          <w:szCs w:val="24"/>
        </w:rPr>
        <w:t xml:space="preserve"> However,</w:t>
      </w:r>
      <w:r w:rsidRPr="00F84117">
        <w:rPr>
          <w:rFonts w:ascii="Arial" w:hAnsi="Arial" w:cs="Arial"/>
          <w:sz w:val="24"/>
          <w:szCs w:val="24"/>
        </w:rPr>
        <w:t xml:space="preserve"> the question of whether the re</w:t>
      </w:r>
      <w:r w:rsidR="004523AB" w:rsidRPr="00F84117">
        <w:rPr>
          <w:rFonts w:ascii="Arial" w:hAnsi="Arial" w:cs="Arial"/>
          <w:sz w:val="24"/>
          <w:szCs w:val="24"/>
        </w:rPr>
        <w:t>zoning</w:t>
      </w:r>
      <w:r w:rsidRPr="00F84117">
        <w:rPr>
          <w:rFonts w:ascii="Arial" w:hAnsi="Arial" w:cs="Arial"/>
          <w:sz w:val="24"/>
          <w:szCs w:val="24"/>
        </w:rPr>
        <w:t xml:space="preserve"> application contains the necessary information </w:t>
      </w:r>
      <w:r w:rsidR="004523AB" w:rsidRPr="00F84117">
        <w:rPr>
          <w:rFonts w:ascii="Arial" w:hAnsi="Arial" w:cs="Arial"/>
          <w:sz w:val="24"/>
          <w:szCs w:val="24"/>
        </w:rPr>
        <w:t xml:space="preserve">so as to render it fit for determination </w:t>
      </w:r>
      <w:r w:rsidRPr="00F84117">
        <w:rPr>
          <w:rFonts w:ascii="Arial" w:hAnsi="Arial" w:cs="Arial"/>
          <w:sz w:val="24"/>
          <w:szCs w:val="24"/>
        </w:rPr>
        <w:t>is pre</w:t>
      </w:r>
      <w:r w:rsidR="004523AB" w:rsidRPr="00F84117">
        <w:rPr>
          <w:rFonts w:ascii="Arial" w:hAnsi="Arial" w:cs="Arial"/>
          <w:sz w:val="24"/>
          <w:szCs w:val="24"/>
        </w:rPr>
        <w:t>-</w:t>
      </w:r>
      <w:r w:rsidRPr="00F84117">
        <w:rPr>
          <w:rFonts w:ascii="Arial" w:hAnsi="Arial" w:cs="Arial"/>
          <w:sz w:val="24"/>
          <w:szCs w:val="24"/>
        </w:rPr>
        <w:t xml:space="preserve">eminently a determination that must be made by the </w:t>
      </w:r>
      <w:r w:rsidR="004523AB" w:rsidRPr="00F84117">
        <w:rPr>
          <w:rFonts w:ascii="Arial" w:hAnsi="Arial" w:cs="Arial"/>
          <w:sz w:val="24"/>
          <w:szCs w:val="24"/>
        </w:rPr>
        <w:t>C</w:t>
      </w:r>
      <w:r w:rsidRPr="00F84117">
        <w:rPr>
          <w:rFonts w:ascii="Arial" w:hAnsi="Arial" w:cs="Arial"/>
          <w:sz w:val="24"/>
          <w:szCs w:val="24"/>
        </w:rPr>
        <w:t xml:space="preserve">ity. The </w:t>
      </w:r>
      <w:r w:rsidR="004523AB" w:rsidRPr="00F84117">
        <w:rPr>
          <w:rFonts w:ascii="Arial" w:hAnsi="Arial" w:cs="Arial"/>
          <w:sz w:val="24"/>
          <w:szCs w:val="24"/>
        </w:rPr>
        <w:t>C</w:t>
      </w:r>
      <w:r w:rsidRPr="00F84117">
        <w:rPr>
          <w:rFonts w:ascii="Arial" w:hAnsi="Arial" w:cs="Arial"/>
          <w:sz w:val="24"/>
          <w:szCs w:val="24"/>
        </w:rPr>
        <w:t xml:space="preserve">ourt cannot pre-empt the </w:t>
      </w:r>
      <w:r w:rsidR="004523AB" w:rsidRPr="00F84117">
        <w:rPr>
          <w:rFonts w:ascii="Arial" w:hAnsi="Arial" w:cs="Arial"/>
          <w:sz w:val="24"/>
          <w:szCs w:val="24"/>
        </w:rPr>
        <w:t>City’s</w:t>
      </w:r>
      <w:r w:rsidRPr="00F84117">
        <w:rPr>
          <w:rFonts w:ascii="Arial" w:hAnsi="Arial" w:cs="Arial"/>
          <w:sz w:val="24"/>
          <w:szCs w:val="24"/>
        </w:rPr>
        <w:t xml:space="preserve"> decision in this regard. Moreover</w:t>
      </w:r>
      <w:r w:rsidR="004523AB" w:rsidRPr="00F84117">
        <w:rPr>
          <w:rFonts w:ascii="Arial" w:hAnsi="Arial" w:cs="Arial"/>
          <w:sz w:val="24"/>
          <w:szCs w:val="24"/>
        </w:rPr>
        <w:t>,</w:t>
      </w:r>
      <w:r w:rsidRPr="00F84117">
        <w:rPr>
          <w:rFonts w:ascii="Arial" w:hAnsi="Arial" w:cs="Arial"/>
          <w:sz w:val="24"/>
          <w:szCs w:val="24"/>
        </w:rPr>
        <w:t xml:space="preserve"> the applicants</w:t>
      </w:r>
      <w:r w:rsidR="004523AB" w:rsidRPr="00F84117">
        <w:rPr>
          <w:rFonts w:ascii="Arial" w:hAnsi="Arial" w:cs="Arial"/>
          <w:sz w:val="24"/>
          <w:szCs w:val="24"/>
        </w:rPr>
        <w:t>’</w:t>
      </w:r>
      <w:r w:rsidRPr="00F84117">
        <w:rPr>
          <w:rFonts w:ascii="Arial" w:hAnsi="Arial" w:cs="Arial"/>
          <w:sz w:val="24"/>
          <w:szCs w:val="24"/>
        </w:rPr>
        <w:t xml:space="preserve"> contention that the </w:t>
      </w:r>
      <w:r w:rsidR="004523AB" w:rsidRPr="00F84117">
        <w:rPr>
          <w:rFonts w:ascii="Arial" w:hAnsi="Arial" w:cs="Arial"/>
          <w:sz w:val="24"/>
          <w:szCs w:val="24"/>
        </w:rPr>
        <w:t>Café</w:t>
      </w:r>
      <w:r w:rsidRPr="00F84117">
        <w:rPr>
          <w:rFonts w:ascii="Arial" w:hAnsi="Arial" w:cs="Arial"/>
          <w:sz w:val="24"/>
          <w:szCs w:val="24"/>
        </w:rPr>
        <w:t xml:space="preserve"> has not addressed this </w:t>
      </w:r>
      <w:r w:rsidR="004523AB" w:rsidRPr="00F84117">
        <w:rPr>
          <w:rFonts w:ascii="Arial" w:hAnsi="Arial" w:cs="Arial"/>
          <w:sz w:val="24"/>
          <w:szCs w:val="24"/>
        </w:rPr>
        <w:t xml:space="preserve">portion of </w:t>
      </w:r>
      <w:r w:rsidRPr="00F84117">
        <w:rPr>
          <w:rFonts w:ascii="Arial" w:hAnsi="Arial" w:cs="Arial"/>
          <w:sz w:val="24"/>
          <w:szCs w:val="24"/>
        </w:rPr>
        <w:t>land is incorrect</w:t>
      </w:r>
      <w:r w:rsidR="004523AB" w:rsidRPr="00F84117">
        <w:rPr>
          <w:rFonts w:ascii="Arial" w:hAnsi="Arial" w:cs="Arial"/>
          <w:sz w:val="24"/>
          <w:szCs w:val="24"/>
        </w:rPr>
        <w:t>,</w:t>
      </w:r>
      <w:r w:rsidRPr="00F84117">
        <w:rPr>
          <w:rFonts w:ascii="Arial" w:hAnsi="Arial" w:cs="Arial"/>
          <w:sz w:val="24"/>
          <w:szCs w:val="24"/>
        </w:rPr>
        <w:t xml:space="preserve"> as </w:t>
      </w:r>
      <w:r w:rsidR="004523AB" w:rsidRPr="00F84117">
        <w:rPr>
          <w:rFonts w:ascii="Arial" w:hAnsi="Arial" w:cs="Arial"/>
          <w:sz w:val="24"/>
          <w:szCs w:val="24"/>
        </w:rPr>
        <w:t xml:space="preserve">is </w:t>
      </w:r>
      <w:r w:rsidRPr="00F84117">
        <w:rPr>
          <w:rFonts w:ascii="Arial" w:hAnsi="Arial" w:cs="Arial"/>
          <w:sz w:val="24"/>
          <w:szCs w:val="24"/>
        </w:rPr>
        <w:t>evidence</w:t>
      </w:r>
      <w:r w:rsidR="004523AB" w:rsidRPr="00F84117">
        <w:rPr>
          <w:rFonts w:ascii="Arial" w:hAnsi="Arial" w:cs="Arial"/>
          <w:sz w:val="24"/>
          <w:szCs w:val="24"/>
        </w:rPr>
        <w:t xml:space="preserve">d by the facts </w:t>
      </w:r>
      <w:r w:rsidRPr="00F84117">
        <w:rPr>
          <w:rFonts w:ascii="Arial" w:hAnsi="Arial" w:cs="Arial"/>
          <w:sz w:val="24"/>
          <w:szCs w:val="24"/>
        </w:rPr>
        <w:t xml:space="preserve">placed on record by both the </w:t>
      </w:r>
      <w:r w:rsidR="004523AB" w:rsidRPr="00F84117">
        <w:rPr>
          <w:rFonts w:ascii="Arial" w:hAnsi="Arial" w:cs="Arial"/>
          <w:sz w:val="24"/>
          <w:szCs w:val="24"/>
        </w:rPr>
        <w:t>C</w:t>
      </w:r>
      <w:r w:rsidRPr="00F84117">
        <w:rPr>
          <w:rFonts w:ascii="Arial" w:hAnsi="Arial" w:cs="Arial"/>
          <w:sz w:val="24"/>
          <w:szCs w:val="24"/>
        </w:rPr>
        <w:t xml:space="preserve">ity and the </w:t>
      </w:r>
      <w:r w:rsidR="004523AB" w:rsidRPr="00F84117">
        <w:rPr>
          <w:rFonts w:ascii="Arial" w:hAnsi="Arial" w:cs="Arial"/>
          <w:sz w:val="24"/>
          <w:szCs w:val="24"/>
        </w:rPr>
        <w:t>C</w:t>
      </w:r>
      <w:r w:rsidRPr="00F84117">
        <w:rPr>
          <w:rFonts w:ascii="Arial" w:hAnsi="Arial" w:cs="Arial"/>
          <w:sz w:val="24"/>
          <w:szCs w:val="24"/>
        </w:rPr>
        <w:t>af</w:t>
      </w:r>
      <w:r w:rsidR="004523AB" w:rsidRPr="00F84117">
        <w:rPr>
          <w:rFonts w:ascii="Arial" w:hAnsi="Arial" w:cs="Arial"/>
          <w:sz w:val="24"/>
          <w:szCs w:val="24"/>
        </w:rPr>
        <w:t>é</w:t>
      </w:r>
      <w:r w:rsidRPr="00F84117">
        <w:rPr>
          <w:rFonts w:ascii="Arial" w:hAnsi="Arial" w:cs="Arial"/>
          <w:sz w:val="24"/>
          <w:szCs w:val="24"/>
        </w:rPr>
        <w:t xml:space="preserve">. In any event, even if it had not been addressed, the question of the </w:t>
      </w:r>
      <w:r w:rsidR="004523AB" w:rsidRPr="00F84117">
        <w:rPr>
          <w:rFonts w:ascii="Arial" w:hAnsi="Arial" w:cs="Arial"/>
          <w:sz w:val="24"/>
          <w:szCs w:val="24"/>
        </w:rPr>
        <w:t>City’s</w:t>
      </w:r>
      <w:r w:rsidRPr="00F84117">
        <w:rPr>
          <w:rFonts w:ascii="Arial" w:hAnsi="Arial" w:cs="Arial"/>
          <w:sz w:val="24"/>
          <w:szCs w:val="24"/>
        </w:rPr>
        <w:t xml:space="preserve"> ownership of a portion of the land contemplated by the rezoning application would not be </w:t>
      </w:r>
      <w:r w:rsidR="004523AB" w:rsidRPr="00F84117">
        <w:rPr>
          <w:rFonts w:ascii="Arial" w:hAnsi="Arial" w:cs="Arial"/>
          <w:sz w:val="24"/>
          <w:szCs w:val="24"/>
        </w:rPr>
        <w:t xml:space="preserve">fatal </w:t>
      </w:r>
      <w:r w:rsidRPr="00F84117">
        <w:rPr>
          <w:rFonts w:ascii="Arial" w:hAnsi="Arial" w:cs="Arial"/>
          <w:sz w:val="24"/>
          <w:szCs w:val="24"/>
        </w:rPr>
        <w:t>to the rezoning application</w:t>
      </w:r>
      <w:r w:rsidR="008D183D" w:rsidRPr="00F84117">
        <w:rPr>
          <w:rFonts w:ascii="Arial" w:hAnsi="Arial" w:cs="Arial"/>
          <w:sz w:val="24"/>
          <w:szCs w:val="24"/>
        </w:rPr>
        <w:t xml:space="preserve"> in relation to the Café’s property</w:t>
      </w:r>
      <w:r w:rsidRPr="00F84117">
        <w:rPr>
          <w:rFonts w:ascii="Arial" w:hAnsi="Arial" w:cs="Arial"/>
          <w:sz w:val="24"/>
          <w:szCs w:val="24"/>
        </w:rPr>
        <w:t>.</w:t>
      </w:r>
    </w:p>
    <w:p w14:paraId="05B3DB59" w14:textId="77777777" w:rsidR="004523AB" w:rsidRPr="00F84117" w:rsidRDefault="004523AB" w:rsidP="00F84117">
      <w:pPr>
        <w:pStyle w:val="ListParagraph"/>
        <w:spacing w:after="0" w:line="360" w:lineRule="auto"/>
        <w:jc w:val="both"/>
        <w:rPr>
          <w:rFonts w:ascii="Arial" w:hAnsi="Arial" w:cs="Arial"/>
          <w:sz w:val="24"/>
          <w:szCs w:val="24"/>
        </w:rPr>
      </w:pPr>
    </w:p>
    <w:p w14:paraId="069037A1" w14:textId="50279B03" w:rsidR="00E34CF8" w:rsidRPr="00F84117" w:rsidRDefault="00E34CF8" w:rsidP="00F84117">
      <w:pPr>
        <w:widowControl w:val="0"/>
        <w:numPr>
          <w:ilvl w:val="1"/>
          <w:numId w:val="3"/>
        </w:numPr>
        <w:spacing w:after="0" w:line="360" w:lineRule="auto"/>
        <w:ind w:left="1260" w:hanging="720"/>
        <w:jc w:val="both"/>
        <w:rPr>
          <w:rFonts w:ascii="Arial" w:hAnsi="Arial" w:cs="Arial"/>
          <w:sz w:val="24"/>
          <w:szCs w:val="24"/>
        </w:rPr>
      </w:pPr>
      <w:r w:rsidRPr="00F84117">
        <w:rPr>
          <w:rFonts w:ascii="Arial" w:hAnsi="Arial" w:cs="Arial"/>
          <w:sz w:val="24"/>
          <w:szCs w:val="24"/>
        </w:rPr>
        <w:t>There is no merit in the applicants</w:t>
      </w:r>
      <w:r w:rsidR="008D183D" w:rsidRPr="00F84117">
        <w:rPr>
          <w:rFonts w:ascii="Arial" w:hAnsi="Arial" w:cs="Arial"/>
          <w:sz w:val="24"/>
          <w:szCs w:val="24"/>
        </w:rPr>
        <w:t>’</w:t>
      </w:r>
      <w:r w:rsidRPr="00F84117">
        <w:rPr>
          <w:rFonts w:ascii="Arial" w:hAnsi="Arial" w:cs="Arial"/>
          <w:sz w:val="24"/>
          <w:szCs w:val="24"/>
        </w:rPr>
        <w:t xml:space="preserve"> contention that the rezoning application is an abuse. The rezoning application is the only legitimate means for the </w:t>
      </w:r>
      <w:r w:rsidR="008D183D" w:rsidRPr="00F84117">
        <w:rPr>
          <w:rFonts w:ascii="Arial" w:hAnsi="Arial" w:cs="Arial"/>
          <w:sz w:val="24"/>
          <w:szCs w:val="24"/>
        </w:rPr>
        <w:t>C</w:t>
      </w:r>
      <w:r w:rsidRPr="00F84117">
        <w:rPr>
          <w:rFonts w:ascii="Arial" w:hAnsi="Arial" w:cs="Arial"/>
          <w:sz w:val="24"/>
          <w:szCs w:val="24"/>
        </w:rPr>
        <w:t>af</w:t>
      </w:r>
      <w:r w:rsidR="008D183D" w:rsidRPr="00F84117">
        <w:rPr>
          <w:rFonts w:ascii="Arial" w:hAnsi="Arial" w:cs="Arial"/>
          <w:sz w:val="24"/>
          <w:szCs w:val="24"/>
        </w:rPr>
        <w:t>é</w:t>
      </w:r>
      <w:r w:rsidRPr="00F84117">
        <w:rPr>
          <w:rFonts w:ascii="Arial" w:hAnsi="Arial" w:cs="Arial"/>
          <w:sz w:val="24"/>
          <w:szCs w:val="24"/>
        </w:rPr>
        <w:t xml:space="preserve"> to bring to an end </w:t>
      </w:r>
      <w:r w:rsidR="008D183D" w:rsidRPr="00F84117">
        <w:rPr>
          <w:rFonts w:ascii="Arial" w:hAnsi="Arial" w:cs="Arial"/>
          <w:sz w:val="24"/>
          <w:szCs w:val="24"/>
        </w:rPr>
        <w:t xml:space="preserve">to </w:t>
      </w:r>
      <w:r w:rsidRPr="00F84117">
        <w:rPr>
          <w:rFonts w:ascii="Arial" w:hAnsi="Arial" w:cs="Arial"/>
          <w:sz w:val="24"/>
          <w:szCs w:val="24"/>
        </w:rPr>
        <w:t xml:space="preserve">the ongoing complexity and uncertainty regarding </w:t>
      </w:r>
      <w:r w:rsidR="008D183D" w:rsidRPr="00F84117">
        <w:rPr>
          <w:rFonts w:ascii="Arial" w:hAnsi="Arial" w:cs="Arial"/>
          <w:sz w:val="24"/>
          <w:szCs w:val="24"/>
        </w:rPr>
        <w:t>its</w:t>
      </w:r>
      <w:r w:rsidRPr="00F84117">
        <w:rPr>
          <w:rFonts w:ascii="Arial" w:hAnsi="Arial" w:cs="Arial"/>
          <w:sz w:val="24"/>
          <w:szCs w:val="24"/>
        </w:rPr>
        <w:t xml:space="preserve"> NCU right and </w:t>
      </w:r>
      <w:r w:rsidR="008D183D" w:rsidRPr="00F84117">
        <w:rPr>
          <w:rFonts w:ascii="Arial" w:hAnsi="Arial" w:cs="Arial"/>
          <w:sz w:val="24"/>
          <w:szCs w:val="24"/>
        </w:rPr>
        <w:t xml:space="preserve">the </w:t>
      </w:r>
      <w:r w:rsidRPr="00F84117">
        <w:rPr>
          <w:rFonts w:ascii="Arial" w:hAnsi="Arial" w:cs="Arial"/>
          <w:sz w:val="24"/>
          <w:szCs w:val="24"/>
        </w:rPr>
        <w:t xml:space="preserve">land use rights pertaining to </w:t>
      </w:r>
      <w:r w:rsidR="008D183D" w:rsidRPr="00F84117">
        <w:rPr>
          <w:rFonts w:ascii="Arial" w:hAnsi="Arial" w:cs="Arial"/>
          <w:sz w:val="24"/>
          <w:szCs w:val="24"/>
        </w:rPr>
        <w:t>its</w:t>
      </w:r>
      <w:r w:rsidRPr="00F84117">
        <w:rPr>
          <w:rFonts w:ascii="Arial" w:hAnsi="Arial" w:cs="Arial"/>
          <w:sz w:val="24"/>
          <w:szCs w:val="24"/>
        </w:rPr>
        <w:t xml:space="preserve"> property. There is nothing abusive in the exercise of its statutorily granted right.</w:t>
      </w:r>
    </w:p>
    <w:p w14:paraId="7A80C6E3" w14:textId="77777777" w:rsidR="000855F3" w:rsidRPr="00F84117" w:rsidRDefault="000855F3" w:rsidP="00F84117">
      <w:pPr>
        <w:widowControl w:val="0"/>
        <w:spacing w:after="0" w:line="360" w:lineRule="auto"/>
        <w:ind w:left="567"/>
        <w:jc w:val="both"/>
        <w:rPr>
          <w:rFonts w:ascii="Arial" w:hAnsi="Arial" w:cs="Arial"/>
          <w:sz w:val="24"/>
          <w:szCs w:val="24"/>
        </w:rPr>
      </w:pPr>
    </w:p>
    <w:p w14:paraId="6CBF00F4" w14:textId="3768FD8A" w:rsidR="00260378" w:rsidRPr="00F84117" w:rsidRDefault="000855F3"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 mention at the outset that I do not deem it necessary to recount the myriad of assertions </w:t>
      </w:r>
      <w:r w:rsidR="00AC2DA5" w:rsidRPr="00F84117">
        <w:rPr>
          <w:rFonts w:ascii="Arial" w:hAnsi="Arial" w:cs="Arial"/>
          <w:sz w:val="24"/>
          <w:szCs w:val="24"/>
        </w:rPr>
        <w:t xml:space="preserve">to and fro </w:t>
      </w:r>
      <w:r w:rsidRPr="00F84117">
        <w:rPr>
          <w:rFonts w:ascii="Arial" w:hAnsi="Arial" w:cs="Arial"/>
          <w:sz w:val="24"/>
          <w:szCs w:val="24"/>
        </w:rPr>
        <w:t>in relation to the respondents’ alleged behaviour</w:t>
      </w:r>
      <w:r w:rsidR="00AC2DA5" w:rsidRPr="00F84117">
        <w:rPr>
          <w:rFonts w:ascii="Arial" w:hAnsi="Arial" w:cs="Arial"/>
          <w:sz w:val="24"/>
          <w:szCs w:val="24"/>
        </w:rPr>
        <w:t>, both in relation to operation of the Café’s business and its impact upon the applicants, and the City’s conduct in administering the situation and, currently, the rezoning application.  This is because I agree with the respondent</w:t>
      </w:r>
      <w:r w:rsidR="00833C38" w:rsidRPr="00F84117">
        <w:rPr>
          <w:rFonts w:ascii="Arial" w:hAnsi="Arial" w:cs="Arial"/>
          <w:sz w:val="24"/>
          <w:szCs w:val="24"/>
        </w:rPr>
        <w:t>s</w:t>
      </w:r>
      <w:r w:rsidR="00AC2DA5" w:rsidRPr="00F84117">
        <w:rPr>
          <w:rFonts w:ascii="Arial" w:hAnsi="Arial" w:cs="Arial"/>
          <w:sz w:val="24"/>
          <w:szCs w:val="24"/>
        </w:rPr>
        <w:t xml:space="preserve"> that there are certain fundamental obstacles </w:t>
      </w:r>
      <w:r w:rsidR="00D148F7" w:rsidRPr="00F84117">
        <w:rPr>
          <w:rFonts w:ascii="Arial" w:hAnsi="Arial" w:cs="Arial"/>
          <w:sz w:val="24"/>
          <w:szCs w:val="24"/>
        </w:rPr>
        <w:t>in the way of the grant of the relief sought by the applicants</w:t>
      </w:r>
      <w:r w:rsidR="007C51EF" w:rsidRPr="00F84117">
        <w:rPr>
          <w:rFonts w:ascii="Arial" w:hAnsi="Arial" w:cs="Arial"/>
          <w:sz w:val="24"/>
          <w:szCs w:val="24"/>
        </w:rPr>
        <w:t>, even after taking consideration of the applicants’ allegations</w:t>
      </w:r>
      <w:r w:rsidR="00AA612A" w:rsidRPr="00F84117">
        <w:rPr>
          <w:rFonts w:ascii="Arial" w:hAnsi="Arial" w:cs="Arial"/>
          <w:sz w:val="24"/>
          <w:szCs w:val="24"/>
        </w:rPr>
        <w:t>.</w:t>
      </w:r>
      <w:r w:rsidR="00260378" w:rsidRPr="00F84117">
        <w:rPr>
          <w:rFonts w:ascii="Arial" w:hAnsi="Arial" w:cs="Arial"/>
          <w:sz w:val="24"/>
          <w:szCs w:val="24"/>
        </w:rPr>
        <w:t xml:space="preserve">  The applicants’ contentions and the precedent quoted in support thereof notwithstanding, I have a difficulty with interfering with the exercise by the City of its statutory and constitutionally-granted powers and duties in the context of this case</w:t>
      </w:r>
      <w:r w:rsidR="00990B4D">
        <w:rPr>
          <w:rFonts w:ascii="Arial" w:hAnsi="Arial" w:cs="Arial"/>
          <w:sz w:val="24"/>
          <w:szCs w:val="24"/>
        </w:rPr>
        <w:t xml:space="preserve"> and upon the facts alleged by the applicants</w:t>
      </w:r>
      <w:r w:rsidR="00260378" w:rsidRPr="00F84117">
        <w:rPr>
          <w:rFonts w:ascii="Arial" w:hAnsi="Arial" w:cs="Arial"/>
          <w:sz w:val="24"/>
          <w:szCs w:val="24"/>
        </w:rPr>
        <w:t>.</w:t>
      </w:r>
    </w:p>
    <w:p w14:paraId="369DCF5B" w14:textId="1CFD1997" w:rsidR="009948E0" w:rsidRPr="00F84117" w:rsidRDefault="009948E0" w:rsidP="00F84117">
      <w:pPr>
        <w:widowControl w:val="0"/>
        <w:spacing w:after="0" w:line="360" w:lineRule="auto"/>
        <w:jc w:val="both"/>
        <w:rPr>
          <w:rFonts w:ascii="Arial" w:hAnsi="Arial" w:cs="Arial"/>
          <w:sz w:val="24"/>
          <w:szCs w:val="24"/>
        </w:rPr>
      </w:pPr>
    </w:p>
    <w:p w14:paraId="34CB844E" w14:textId="324BDAB1" w:rsidR="009948E0" w:rsidRPr="00F84117" w:rsidRDefault="009948E0" w:rsidP="00F84117">
      <w:pPr>
        <w:widowControl w:val="0"/>
        <w:spacing w:after="0" w:line="360" w:lineRule="auto"/>
        <w:jc w:val="both"/>
        <w:rPr>
          <w:rFonts w:ascii="Arial" w:hAnsi="Arial" w:cs="Arial"/>
          <w:b/>
          <w:bCs/>
          <w:sz w:val="24"/>
          <w:szCs w:val="24"/>
          <w:u w:val="single"/>
        </w:rPr>
      </w:pPr>
      <w:r w:rsidRPr="00F84117">
        <w:rPr>
          <w:rFonts w:ascii="Arial" w:hAnsi="Arial" w:cs="Arial"/>
          <w:b/>
          <w:bCs/>
          <w:sz w:val="24"/>
          <w:szCs w:val="24"/>
          <w:u w:val="single"/>
        </w:rPr>
        <w:t>The requirements for</w:t>
      </w:r>
      <w:r w:rsidR="0098203A" w:rsidRPr="00F84117">
        <w:rPr>
          <w:rFonts w:ascii="Arial" w:hAnsi="Arial" w:cs="Arial"/>
          <w:b/>
          <w:bCs/>
          <w:sz w:val="24"/>
          <w:szCs w:val="24"/>
          <w:u w:val="single"/>
        </w:rPr>
        <w:t xml:space="preserve"> the grant of</w:t>
      </w:r>
      <w:r w:rsidRPr="00F84117">
        <w:rPr>
          <w:rFonts w:ascii="Arial" w:hAnsi="Arial" w:cs="Arial"/>
          <w:b/>
          <w:bCs/>
          <w:sz w:val="24"/>
          <w:szCs w:val="24"/>
          <w:u w:val="single"/>
        </w:rPr>
        <w:t xml:space="preserve"> interim interdictory relief</w:t>
      </w:r>
    </w:p>
    <w:p w14:paraId="48BDEA40" w14:textId="77777777" w:rsidR="009948E0" w:rsidRPr="00F84117" w:rsidRDefault="009948E0" w:rsidP="00F84117">
      <w:pPr>
        <w:widowControl w:val="0"/>
        <w:spacing w:after="0" w:line="360" w:lineRule="auto"/>
        <w:jc w:val="both"/>
        <w:rPr>
          <w:rFonts w:ascii="Arial" w:hAnsi="Arial" w:cs="Arial"/>
          <w:sz w:val="24"/>
          <w:szCs w:val="24"/>
        </w:rPr>
      </w:pPr>
    </w:p>
    <w:p w14:paraId="17307EBC" w14:textId="6B194F01" w:rsidR="00833C38" w:rsidRPr="00F84117" w:rsidRDefault="0098203A"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requirements f</w:t>
      </w:r>
      <w:r w:rsidR="004740A3" w:rsidRPr="00F84117">
        <w:rPr>
          <w:rFonts w:ascii="Arial" w:hAnsi="Arial" w:cs="Arial"/>
          <w:sz w:val="24"/>
          <w:szCs w:val="24"/>
        </w:rPr>
        <w:t xml:space="preserve">or the grant of an interim interdict </w:t>
      </w:r>
      <w:r w:rsidR="00833C38" w:rsidRPr="00F84117">
        <w:rPr>
          <w:rFonts w:ascii="Arial" w:hAnsi="Arial" w:cs="Arial"/>
          <w:sz w:val="24"/>
          <w:szCs w:val="24"/>
        </w:rPr>
        <w:t xml:space="preserve">are the following (see </w:t>
      </w:r>
      <w:r w:rsidR="00833C38" w:rsidRPr="00F84117">
        <w:rPr>
          <w:rFonts w:ascii="Arial" w:hAnsi="Arial" w:cs="Arial"/>
          <w:sz w:val="24"/>
          <w:szCs w:val="24"/>
        </w:rPr>
        <w:lastRenderedPageBreak/>
        <w:t xml:space="preserve">Erasmus </w:t>
      </w:r>
      <w:r w:rsidR="00833C38" w:rsidRPr="00F84117">
        <w:rPr>
          <w:rFonts w:ascii="Arial" w:hAnsi="Arial" w:cs="Arial"/>
          <w:i/>
          <w:sz w:val="24"/>
          <w:szCs w:val="24"/>
        </w:rPr>
        <w:t>Superior Court Practice</w:t>
      </w:r>
      <w:r w:rsidR="00833C38" w:rsidRPr="00F84117">
        <w:rPr>
          <w:rFonts w:ascii="Arial" w:hAnsi="Arial" w:cs="Arial"/>
          <w:sz w:val="24"/>
          <w:szCs w:val="24"/>
        </w:rPr>
        <w:t xml:space="preserve"> at E8-9 to E8-14 and the authorities there cited; Prest </w:t>
      </w:r>
      <w:r w:rsidR="00833C38" w:rsidRPr="00F84117">
        <w:rPr>
          <w:rFonts w:ascii="Arial" w:hAnsi="Arial" w:cs="Arial"/>
          <w:i/>
          <w:sz w:val="24"/>
          <w:szCs w:val="24"/>
        </w:rPr>
        <w:t>Interlocutory Interdicts</w:t>
      </w:r>
      <w:r w:rsidR="00833C38" w:rsidRPr="00F84117">
        <w:rPr>
          <w:rFonts w:ascii="Arial" w:hAnsi="Arial" w:cs="Arial"/>
          <w:sz w:val="24"/>
          <w:szCs w:val="24"/>
        </w:rPr>
        <w:t xml:space="preserve"> (1993) at 54-86):</w:t>
      </w:r>
    </w:p>
    <w:p w14:paraId="3A7AB8A8" w14:textId="77777777" w:rsidR="00833C38" w:rsidRPr="00F84117" w:rsidRDefault="00833C38" w:rsidP="00F84117">
      <w:pPr>
        <w:widowControl w:val="0"/>
        <w:spacing w:after="0" w:line="360" w:lineRule="auto"/>
        <w:ind w:left="851"/>
        <w:jc w:val="both"/>
        <w:rPr>
          <w:rFonts w:ascii="Arial" w:hAnsi="Arial" w:cs="Arial"/>
          <w:sz w:val="24"/>
          <w:szCs w:val="24"/>
        </w:rPr>
      </w:pPr>
    </w:p>
    <w:p w14:paraId="33578616" w14:textId="77777777" w:rsidR="00990B4D" w:rsidRDefault="00833C38" w:rsidP="00990B4D">
      <w:pPr>
        <w:widowControl w:val="0"/>
        <w:numPr>
          <w:ilvl w:val="1"/>
          <w:numId w:val="3"/>
        </w:numPr>
        <w:spacing w:after="0" w:line="360" w:lineRule="auto"/>
        <w:ind w:left="1260" w:hanging="720"/>
        <w:jc w:val="both"/>
        <w:rPr>
          <w:rFonts w:ascii="Arial" w:hAnsi="Arial" w:cs="Arial"/>
          <w:sz w:val="24"/>
          <w:szCs w:val="24"/>
        </w:rPr>
      </w:pPr>
      <w:r w:rsidRPr="00F84117">
        <w:rPr>
          <w:rFonts w:ascii="Arial" w:hAnsi="Arial" w:cs="Arial"/>
          <w:sz w:val="24"/>
          <w:szCs w:val="24"/>
        </w:rPr>
        <w:t xml:space="preserve">A </w:t>
      </w:r>
      <w:r w:rsidRPr="00F84117">
        <w:rPr>
          <w:rFonts w:ascii="Arial" w:hAnsi="Arial" w:cs="Arial"/>
          <w:i/>
          <w:sz w:val="24"/>
          <w:szCs w:val="24"/>
        </w:rPr>
        <w:t>prima facie</w:t>
      </w:r>
      <w:r w:rsidRPr="00F84117">
        <w:rPr>
          <w:rFonts w:ascii="Arial" w:hAnsi="Arial" w:cs="Arial"/>
          <w:sz w:val="24"/>
          <w:szCs w:val="24"/>
        </w:rPr>
        <w:t xml:space="preserve"> right. This need not be shown on a balance of probabilities, but is sufficiently proved if </w:t>
      </w:r>
      <w:r w:rsidRPr="00F84117">
        <w:rPr>
          <w:rFonts w:ascii="Arial" w:hAnsi="Arial" w:cs="Arial"/>
          <w:i/>
          <w:sz w:val="24"/>
          <w:szCs w:val="24"/>
        </w:rPr>
        <w:t>prima facie</w:t>
      </w:r>
      <w:r w:rsidRPr="00F84117">
        <w:rPr>
          <w:rFonts w:ascii="Arial" w:hAnsi="Arial" w:cs="Arial"/>
          <w:sz w:val="24"/>
          <w:szCs w:val="24"/>
        </w:rPr>
        <w:t xml:space="preserve"> established though open to some doubt.  The stronger the right is, the less need there is for the balance of convenience to be considered.</w:t>
      </w:r>
    </w:p>
    <w:p w14:paraId="3C0C111D" w14:textId="77777777" w:rsidR="00990B4D" w:rsidRDefault="00990B4D" w:rsidP="00990B4D">
      <w:pPr>
        <w:widowControl w:val="0"/>
        <w:spacing w:after="0" w:line="360" w:lineRule="auto"/>
        <w:ind w:left="1260"/>
        <w:jc w:val="both"/>
        <w:rPr>
          <w:rFonts w:ascii="Arial" w:hAnsi="Arial" w:cs="Arial"/>
          <w:sz w:val="24"/>
          <w:szCs w:val="24"/>
        </w:rPr>
      </w:pPr>
    </w:p>
    <w:p w14:paraId="75C16F88" w14:textId="77777777" w:rsidR="00990B4D" w:rsidRDefault="00833C38" w:rsidP="00990B4D">
      <w:pPr>
        <w:widowControl w:val="0"/>
        <w:numPr>
          <w:ilvl w:val="1"/>
          <w:numId w:val="3"/>
        </w:numPr>
        <w:spacing w:after="0" w:line="360" w:lineRule="auto"/>
        <w:ind w:left="1260" w:hanging="720"/>
        <w:jc w:val="both"/>
        <w:rPr>
          <w:rFonts w:ascii="Arial" w:hAnsi="Arial" w:cs="Arial"/>
          <w:sz w:val="24"/>
          <w:szCs w:val="24"/>
        </w:rPr>
      </w:pPr>
      <w:r w:rsidRPr="00990B4D">
        <w:rPr>
          <w:rFonts w:ascii="Arial" w:hAnsi="Arial" w:cs="Arial"/>
          <w:sz w:val="24"/>
          <w:szCs w:val="24"/>
        </w:rPr>
        <w:t>A well-grounded apprehension of irreparable harm if the interim relief is not granted and the ultimate relief is eventually granted – this is a harm that a reasonable person might entertain on being faced with certain facts, and is an objective test.</w:t>
      </w:r>
    </w:p>
    <w:p w14:paraId="18E0A879" w14:textId="77777777" w:rsidR="00990B4D" w:rsidRDefault="00990B4D" w:rsidP="00990B4D">
      <w:pPr>
        <w:pStyle w:val="ListParagraph"/>
        <w:rPr>
          <w:rFonts w:ascii="Arial" w:hAnsi="Arial" w:cs="Arial"/>
          <w:sz w:val="24"/>
          <w:szCs w:val="24"/>
        </w:rPr>
      </w:pPr>
    </w:p>
    <w:p w14:paraId="47CF9832" w14:textId="77777777" w:rsidR="00990B4D" w:rsidRDefault="00833C38" w:rsidP="00990B4D">
      <w:pPr>
        <w:widowControl w:val="0"/>
        <w:numPr>
          <w:ilvl w:val="1"/>
          <w:numId w:val="3"/>
        </w:numPr>
        <w:spacing w:after="0" w:line="360" w:lineRule="auto"/>
        <w:ind w:left="1260" w:hanging="720"/>
        <w:jc w:val="both"/>
        <w:rPr>
          <w:rFonts w:ascii="Arial" w:hAnsi="Arial" w:cs="Arial"/>
          <w:sz w:val="24"/>
          <w:szCs w:val="24"/>
        </w:rPr>
      </w:pPr>
      <w:r w:rsidRPr="00990B4D">
        <w:rPr>
          <w:rFonts w:ascii="Arial" w:hAnsi="Arial" w:cs="Arial"/>
          <w:sz w:val="24"/>
          <w:szCs w:val="24"/>
        </w:rPr>
        <w:t>A balance of convenience favouring the grant of the interim relief – the Court must weigh the prejudice the applicant will suffer if the interim interdict is not granted against the prejudice to the respondent if it is.</w:t>
      </w:r>
    </w:p>
    <w:p w14:paraId="020EA044" w14:textId="77777777" w:rsidR="00990B4D" w:rsidRDefault="00990B4D" w:rsidP="00990B4D">
      <w:pPr>
        <w:pStyle w:val="ListParagraph"/>
        <w:rPr>
          <w:rFonts w:ascii="Arial" w:hAnsi="Arial" w:cs="Arial"/>
          <w:sz w:val="24"/>
          <w:szCs w:val="24"/>
        </w:rPr>
      </w:pPr>
    </w:p>
    <w:p w14:paraId="157888B1" w14:textId="0B188C6B" w:rsidR="00833C38" w:rsidRPr="00990B4D" w:rsidRDefault="00833C38" w:rsidP="00990B4D">
      <w:pPr>
        <w:widowControl w:val="0"/>
        <w:numPr>
          <w:ilvl w:val="1"/>
          <w:numId w:val="3"/>
        </w:numPr>
        <w:spacing w:after="0" w:line="360" w:lineRule="auto"/>
        <w:ind w:left="1260" w:hanging="720"/>
        <w:jc w:val="both"/>
        <w:rPr>
          <w:rFonts w:ascii="Arial" w:hAnsi="Arial" w:cs="Arial"/>
          <w:sz w:val="24"/>
          <w:szCs w:val="24"/>
        </w:rPr>
      </w:pPr>
      <w:r w:rsidRPr="00990B4D">
        <w:rPr>
          <w:rFonts w:ascii="Arial" w:hAnsi="Arial" w:cs="Arial"/>
          <w:sz w:val="24"/>
          <w:szCs w:val="24"/>
        </w:rPr>
        <w:t>The absence of any other satisfactory remedy in the circumstances.</w:t>
      </w:r>
    </w:p>
    <w:p w14:paraId="4C20AA78" w14:textId="77777777" w:rsidR="00833C38" w:rsidRPr="00F84117" w:rsidRDefault="00833C38" w:rsidP="00F84117">
      <w:pPr>
        <w:widowControl w:val="0"/>
        <w:spacing w:after="0" w:line="360" w:lineRule="auto"/>
        <w:jc w:val="both"/>
        <w:rPr>
          <w:rFonts w:ascii="Arial" w:hAnsi="Arial" w:cs="Arial"/>
          <w:sz w:val="24"/>
          <w:szCs w:val="24"/>
        </w:rPr>
      </w:pPr>
    </w:p>
    <w:p w14:paraId="1941B48D" w14:textId="67FDBF0F" w:rsidR="0098203A" w:rsidRPr="00F84117" w:rsidRDefault="00833C38" w:rsidP="00F84117">
      <w:pPr>
        <w:pStyle w:val="ListParagraph"/>
        <w:widowControl w:val="0"/>
        <w:numPr>
          <w:ilvl w:val="0"/>
          <w:numId w:val="3"/>
        </w:numPr>
        <w:spacing w:after="0" w:line="360" w:lineRule="auto"/>
        <w:ind w:left="540" w:hanging="540"/>
        <w:jc w:val="both"/>
        <w:rPr>
          <w:rFonts w:ascii="Arial" w:hAnsi="Arial" w:cs="Arial"/>
          <w:sz w:val="24"/>
          <w:szCs w:val="24"/>
        </w:rPr>
      </w:pPr>
      <w:r w:rsidRPr="00F84117">
        <w:rPr>
          <w:rFonts w:ascii="Arial" w:hAnsi="Arial" w:cs="Arial"/>
          <w:sz w:val="24"/>
          <w:szCs w:val="24"/>
        </w:rPr>
        <w:t xml:space="preserve">The proper approach in determining whether to grant an interim interdict is to take the facts set out by the applicant, together with any facts set out by the respondent which the applicant cannot dispute, and to consider whether, having regard to the inherent probabilities, the applicant </w:t>
      </w:r>
      <w:r w:rsidR="00F8764E" w:rsidRPr="00F84117">
        <w:rPr>
          <w:rFonts w:ascii="Arial" w:hAnsi="Arial" w:cs="Arial"/>
          <w:sz w:val="24"/>
          <w:szCs w:val="24"/>
        </w:rPr>
        <w:t>sh</w:t>
      </w:r>
      <w:r w:rsidRPr="00F84117">
        <w:rPr>
          <w:rFonts w:ascii="Arial" w:hAnsi="Arial" w:cs="Arial"/>
          <w:sz w:val="24"/>
          <w:szCs w:val="24"/>
        </w:rPr>
        <w:t xml:space="preserve">ould on those facts obtain final relief at the trial (or, in the present matter, on the return date of the rule </w:t>
      </w:r>
      <w:r w:rsidRPr="00F84117">
        <w:rPr>
          <w:rFonts w:ascii="Arial" w:hAnsi="Arial" w:cs="Arial"/>
          <w:i/>
          <w:iCs/>
          <w:sz w:val="24"/>
          <w:szCs w:val="24"/>
        </w:rPr>
        <w:t>nis</w:t>
      </w:r>
      <w:r w:rsidR="00AA612A" w:rsidRPr="00F84117">
        <w:rPr>
          <w:rFonts w:ascii="Arial" w:hAnsi="Arial" w:cs="Arial"/>
          <w:i/>
          <w:iCs/>
          <w:sz w:val="24"/>
          <w:szCs w:val="24"/>
        </w:rPr>
        <w:t>i</w:t>
      </w:r>
      <w:r w:rsidR="00AA612A" w:rsidRPr="00F84117">
        <w:rPr>
          <w:rFonts w:ascii="Arial" w:hAnsi="Arial" w:cs="Arial"/>
          <w:sz w:val="24"/>
          <w:szCs w:val="24"/>
        </w:rPr>
        <w:t xml:space="preserve">: Erasmus </w:t>
      </w:r>
      <w:r w:rsidR="00AA612A" w:rsidRPr="00F84117">
        <w:rPr>
          <w:rFonts w:ascii="Arial" w:hAnsi="Arial" w:cs="Arial"/>
          <w:i/>
          <w:sz w:val="24"/>
          <w:szCs w:val="24"/>
        </w:rPr>
        <w:t>op cit</w:t>
      </w:r>
      <w:r w:rsidR="00AA612A" w:rsidRPr="00F84117">
        <w:rPr>
          <w:rFonts w:ascii="Arial" w:hAnsi="Arial" w:cs="Arial"/>
          <w:sz w:val="24"/>
          <w:szCs w:val="24"/>
        </w:rPr>
        <w:t xml:space="preserve"> at E8-10</w:t>
      </w:r>
      <w:r w:rsidR="00F8764E" w:rsidRPr="00F84117">
        <w:rPr>
          <w:rFonts w:ascii="Arial" w:hAnsi="Arial" w:cs="Arial"/>
          <w:sz w:val="24"/>
          <w:szCs w:val="24"/>
        </w:rPr>
        <w:t xml:space="preserve">; </w:t>
      </w:r>
      <w:r w:rsidR="00F8764E" w:rsidRPr="00F84117">
        <w:rPr>
          <w:rFonts w:ascii="Arial" w:hAnsi="Arial" w:cs="Arial"/>
          <w:i/>
          <w:iCs/>
          <w:sz w:val="24"/>
          <w:szCs w:val="24"/>
        </w:rPr>
        <w:t>Gool v Minister of Justice</w:t>
      </w:r>
      <w:r w:rsidR="00F8764E" w:rsidRPr="00F84117">
        <w:rPr>
          <w:rFonts w:ascii="Arial" w:hAnsi="Arial" w:cs="Arial"/>
          <w:sz w:val="24"/>
          <w:szCs w:val="24"/>
        </w:rPr>
        <w:t xml:space="preserve"> 1955 (2) SA 682 (C) at 688D-E</w:t>
      </w:r>
      <w:r w:rsidR="00AA612A" w:rsidRPr="00F84117">
        <w:rPr>
          <w:rFonts w:ascii="Arial" w:hAnsi="Arial" w:cs="Arial"/>
          <w:sz w:val="24"/>
          <w:szCs w:val="24"/>
        </w:rPr>
        <w:t>)</w:t>
      </w:r>
      <w:r w:rsidRPr="00F84117">
        <w:rPr>
          <w:rFonts w:ascii="Arial" w:hAnsi="Arial" w:cs="Arial"/>
          <w:sz w:val="24"/>
          <w:szCs w:val="24"/>
        </w:rPr>
        <w:t>.</w:t>
      </w:r>
    </w:p>
    <w:p w14:paraId="4B92C247" w14:textId="77777777" w:rsidR="0098203A" w:rsidRPr="00F84117" w:rsidRDefault="0098203A" w:rsidP="00F84117">
      <w:pPr>
        <w:pStyle w:val="ListParagraph"/>
        <w:widowControl w:val="0"/>
        <w:spacing w:after="0" w:line="360" w:lineRule="auto"/>
        <w:jc w:val="both"/>
        <w:rPr>
          <w:rFonts w:ascii="Arial" w:hAnsi="Arial" w:cs="Arial"/>
          <w:sz w:val="24"/>
          <w:szCs w:val="24"/>
        </w:rPr>
      </w:pPr>
    </w:p>
    <w:p w14:paraId="7376FB91" w14:textId="02F02302" w:rsidR="009948E0" w:rsidRPr="00F84117" w:rsidRDefault="00AA612A"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All of these requirements are to be met.  As will be clear from what is set out below, I am of the view that the applicants fail at the first hurdle, in that they have not shown a </w:t>
      </w:r>
      <w:r w:rsidRPr="00F84117">
        <w:rPr>
          <w:rFonts w:ascii="Arial" w:hAnsi="Arial" w:cs="Arial"/>
          <w:i/>
          <w:iCs/>
          <w:sz w:val="24"/>
          <w:szCs w:val="24"/>
        </w:rPr>
        <w:t>prima facie</w:t>
      </w:r>
      <w:r w:rsidRPr="00F84117">
        <w:rPr>
          <w:rFonts w:ascii="Arial" w:hAnsi="Arial" w:cs="Arial"/>
          <w:sz w:val="24"/>
          <w:szCs w:val="24"/>
        </w:rPr>
        <w:t xml:space="preserve"> right to the relief sought.  The remaining requirements for the grant of an interdict are also problematic.</w:t>
      </w:r>
    </w:p>
    <w:p w14:paraId="5B897F44" w14:textId="77777777" w:rsidR="007B2AC7" w:rsidRPr="00F84117" w:rsidRDefault="007B2AC7" w:rsidP="00F84117">
      <w:pPr>
        <w:pStyle w:val="ListParagraph"/>
        <w:widowControl w:val="0"/>
        <w:spacing w:after="0" w:line="360" w:lineRule="auto"/>
        <w:jc w:val="both"/>
        <w:rPr>
          <w:rFonts w:ascii="Arial" w:hAnsi="Arial" w:cs="Arial"/>
          <w:sz w:val="24"/>
          <w:szCs w:val="24"/>
        </w:rPr>
      </w:pPr>
    </w:p>
    <w:p w14:paraId="6F01A2D2" w14:textId="77777777" w:rsidR="00B12817" w:rsidRPr="00F84117" w:rsidRDefault="009948E0" w:rsidP="00F84117">
      <w:pPr>
        <w:widowControl w:val="0"/>
        <w:spacing w:after="0" w:line="360" w:lineRule="auto"/>
        <w:jc w:val="both"/>
        <w:rPr>
          <w:rFonts w:ascii="Arial" w:hAnsi="Arial" w:cs="Arial"/>
          <w:b/>
          <w:sz w:val="24"/>
          <w:szCs w:val="24"/>
          <w:u w:val="single"/>
        </w:rPr>
      </w:pPr>
      <w:r w:rsidRPr="00F84117">
        <w:rPr>
          <w:rFonts w:ascii="Arial" w:hAnsi="Arial" w:cs="Arial"/>
          <w:b/>
          <w:sz w:val="24"/>
          <w:szCs w:val="24"/>
          <w:u w:val="single"/>
        </w:rPr>
        <w:t xml:space="preserve">Have the </w:t>
      </w:r>
      <w:r w:rsidR="00B12817" w:rsidRPr="00F84117">
        <w:rPr>
          <w:rFonts w:ascii="Arial" w:hAnsi="Arial" w:cs="Arial"/>
          <w:b/>
          <w:sz w:val="24"/>
          <w:szCs w:val="24"/>
          <w:u w:val="single"/>
        </w:rPr>
        <w:t xml:space="preserve">applicants shown a </w:t>
      </w:r>
      <w:r w:rsidR="00B12817" w:rsidRPr="00F84117">
        <w:rPr>
          <w:rFonts w:ascii="Arial" w:hAnsi="Arial" w:cs="Arial"/>
          <w:b/>
          <w:i/>
          <w:iCs/>
          <w:sz w:val="24"/>
          <w:szCs w:val="24"/>
          <w:u w:val="single"/>
        </w:rPr>
        <w:t>prima facie</w:t>
      </w:r>
      <w:r w:rsidR="00B12817" w:rsidRPr="00F84117">
        <w:rPr>
          <w:rFonts w:ascii="Arial" w:hAnsi="Arial" w:cs="Arial"/>
          <w:b/>
          <w:sz w:val="24"/>
          <w:szCs w:val="24"/>
          <w:u w:val="single"/>
        </w:rPr>
        <w:t xml:space="preserve"> right?</w:t>
      </w:r>
    </w:p>
    <w:p w14:paraId="4FA8D58E" w14:textId="77777777" w:rsidR="00B12817" w:rsidRPr="00F84117" w:rsidRDefault="00B12817" w:rsidP="00F84117">
      <w:pPr>
        <w:widowControl w:val="0"/>
        <w:spacing w:after="0" w:line="360" w:lineRule="auto"/>
        <w:jc w:val="both"/>
        <w:rPr>
          <w:rFonts w:ascii="Arial" w:hAnsi="Arial" w:cs="Arial"/>
          <w:b/>
          <w:sz w:val="24"/>
          <w:szCs w:val="24"/>
        </w:rPr>
      </w:pPr>
    </w:p>
    <w:p w14:paraId="1F189ADE" w14:textId="33C961A8" w:rsidR="00995AFA" w:rsidRPr="00F84117" w:rsidRDefault="00995AFA"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rezoning application pending and serving before the </w:t>
      </w:r>
      <w:r w:rsidR="009948E0" w:rsidRPr="00F84117">
        <w:rPr>
          <w:rFonts w:ascii="Arial" w:hAnsi="Arial" w:cs="Arial"/>
          <w:sz w:val="24"/>
          <w:szCs w:val="24"/>
        </w:rPr>
        <w:t>City</w:t>
      </w:r>
      <w:r w:rsidRPr="00F84117">
        <w:rPr>
          <w:rFonts w:ascii="Arial" w:hAnsi="Arial" w:cs="Arial"/>
          <w:sz w:val="24"/>
          <w:szCs w:val="24"/>
        </w:rPr>
        <w:t xml:space="preserve"> is undoubtedly an administrative process.  The applicants, who</w:t>
      </w:r>
      <w:r w:rsidR="00D7194E" w:rsidRPr="00F84117">
        <w:rPr>
          <w:rFonts w:ascii="Arial" w:hAnsi="Arial" w:cs="Arial"/>
          <w:sz w:val="24"/>
          <w:szCs w:val="24"/>
        </w:rPr>
        <w:t xml:space="preserve"> allege that their</w:t>
      </w:r>
      <w:r w:rsidRPr="00F84117">
        <w:rPr>
          <w:rFonts w:ascii="Arial" w:hAnsi="Arial" w:cs="Arial"/>
          <w:sz w:val="24"/>
          <w:szCs w:val="24"/>
        </w:rPr>
        <w:t xml:space="preserve"> constitutional rights will be affected by the outcome of</w:t>
      </w:r>
      <w:r w:rsidR="00B7000C" w:rsidRPr="00F84117">
        <w:rPr>
          <w:rFonts w:ascii="Arial" w:hAnsi="Arial" w:cs="Arial"/>
          <w:sz w:val="24"/>
          <w:szCs w:val="24"/>
        </w:rPr>
        <w:t xml:space="preserve"> </w:t>
      </w:r>
      <w:r w:rsidR="00D7194E" w:rsidRPr="00F84117">
        <w:rPr>
          <w:rFonts w:ascii="Arial" w:hAnsi="Arial" w:cs="Arial"/>
          <w:sz w:val="24"/>
          <w:szCs w:val="24"/>
        </w:rPr>
        <w:t>the rezoning</w:t>
      </w:r>
      <w:r w:rsidR="00B7000C" w:rsidRPr="00F84117">
        <w:rPr>
          <w:rFonts w:ascii="Arial" w:hAnsi="Arial" w:cs="Arial"/>
          <w:sz w:val="24"/>
          <w:szCs w:val="24"/>
        </w:rPr>
        <w:t xml:space="preserve"> </w:t>
      </w:r>
      <w:r w:rsidRPr="00F84117">
        <w:rPr>
          <w:rFonts w:ascii="Arial" w:hAnsi="Arial" w:cs="Arial"/>
          <w:sz w:val="24"/>
          <w:szCs w:val="24"/>
        </w:rPr>
        <w:t xml:space="preserve">application, participate in the rezoning application as objectors.  </w:t>
      </w:r>
      <w:r w:rsidR="00B7000C" w:rsidRPr="00F84117">
        <w:rPr>
          <w:rFonts w:ascii="Arial" w:hAnsi="Arial" w:cs="Arial"/>
          <w:sz w:val="24"/>
          <w:szCs w:val="24"/>
        </w:rPr>
        <w:t xml:space="preserve">Their objections have been duly lodged with and presented to the </w:t>
      </w:r>
      <w:r w:rsidR="00D7194E" w:rsidRPr="00F84117">
        <w:rPr>
          <w:rFonts w:ascii="Arial" w:hAnsi="Arial" w:cs="Arial"/>
          <w:sz w:val="24"/>
          <w:szCs w:val="24"/>
        </w:rPr>
        <w:t>City</w:t>
      </w:r>
      <w:r w:rsidR="00B7000C" w:rsidRPr="00F84117">
        <w:rPr>
          <w:rFonts w:ascii="Arial" w:hAnsi="Arial" w:cs="Arial"/>
          <w:sz w:val="24"/>
          <w:szCs w:val="24"/>
        </w:rPr>
        <w:t>.</w:t>
      </w:r>
    </w:p>
    <w:p w14:paraId="79098E53" w14:textId="77777777" w:rsidR="00F62171" w:rsidRPr="00F84117" w:rsidRDefault="00F62171" w:rsidP="00F84117">
      <w:pPr>
        <w:widowControl w:val="0"/>
        <w:spacing w:after="0" w:line="360" w:lineRule="auto"/>
        <w:ind w:left="567"/>
        <w:jc w:val="both"/>
        <w:rPr>
          <w:rFonts w:ascii="Arial" w:hAnsi="Arial" w:cs="Arial"/>
          <w:sz w:val="24"/>
          <w:szCs w:val="24"/>
        </w:rPr>
      </w:pPr>
    </w:p>
    <w:p w14:paraId="4FB44B4A" w14:textId="110CCC85" w:rsidR="00F62171" w:rsidRPr="00F84117" w:rsidRDefault="00F62171"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however, ask the Court to stop the consideration of the rezoning application in its tracks.  It does so on a variety of grounds, to which I turn.</w:t>
      </w:r>
    </w:p>
    <w:p w14:paraId="3376B42E" w14:textId="00372691" w:rsidR="0036650B" w:rsidRPr="00F84117" w:rsidRDefault="0036650B" w:rsidP="00F84117">
      <w:pPr>
        <w:widowControl w:val="0"/>
        <w:spacing w:after="0" w:line="360" w:lineRule="auto"/>
        <w:jc w:val="both"/>
        <w:rPr>
          <w:rFonts w:ascii="Arial" w:hAnsi="Arial" w:cs="Arial"/>
          <w:sz w:val="24"/>
          <w:szCs w:val="24"/>
        </w:rPr>
      </w:pPr>
    </w:p>
    <w:p w14:paraId="3EB802B9" w14:textId="2C50DA28" w:rsidR="00C33A34" w:rsidRPr="00F84117" w:rsidRDefault="00C724C2" w:rsidP="00F84117">
      <w:pPr>
        <w:widowControl w:val="0"/>
        <w:spacing w:after="0" w:line="360" w:lineRule="auto"/>
        <w:jc w:val="both"/>
        <w:rPr>
          <w:rFonts w:ascii="Arial" w:hAnsi="Arial" w:cs="Arial"/>
          <w:sz w:val="24"/>
          <w:szCs w:val="24"/>
          <w:u w:val="single"/>
        </w:rPr>
      </w:pPr>
      <w:r w:rsidRPr="00F84117">
        <w:rPr>
          <w:rFonts w:ascii="Arial" w:hAnsi="Arial" w:cs="Arial"/>
          <w:sz w:val="24"/>
          <w:szCs w:val="24"/>
          <w:u w:val="single"/>
        </w:rPr>
        <w:t>Direct reliance on</w:t>
      </w:r>
      <w:r w:rsidR="00C33A34" w:rsidRPr="00F84117">
        <w:rPr>
          <w:rFonts w:ascii="Arial" w:hAnsi="Arial" w:cs="Arial"/>
          <w:sz w:val="24"/>
          <w:szCs w:val="24"/>
          <w:u w:val="single"/>
        </w:rPr>
        <w:t xml:space="preserve"> section 33 </w:t>
      </w:r>
      <w:r w:rsidRPr="00F84117">
        <w:rPr>
          <w:rFonts w:ascii="Arial" w:hAnsi="Arial" w:cs="Arial"/>
          <w:sz w:val="24"/>
          <w:szCs w:val="24"/>
          <w:u w:val="single"/>
        </w:rPr>
        <w:t xml:space="preserve">and section 195 </w:t>
      </w:r>
      <w:r w:rsidR="00C33A34" w:rsidRPr="00F84117">
        <w:rPr>
          <w:rFonts w:ascii="Arial" w:hAnsi="Arial" w:cs="Arial"/>
          <w:sz w:val="24"/>
          <w:szCs w:val="24"/>
          <w:u w:val="single"/>
        </w:rPr>
        <w:t>of the Constitution</w:t>
      </w:r>
    </w:p>
    <w:p w14:paraId="344D56F0" w14:textId="77777777" w:rsidR="00C33A34" w:rsidRPr="00F84117" w:rsidRDefault="00C33A34" w:rsidP="00F84117">
      <w:pPr>
        <w:widowControl w:val="0"/>
        <w:spacing w:after="0" w:line="360" w:lineRule="auto"/>
        <w:jc w:val="both"/>
        <w:rPr>
          <w:rFonts w:ascii="Arial" w:hAnsi="Arial" w:cs="Arial"/>
          <w:sz w:val="24"/>
          <w:szCs w:val="24"/>
        </w:rPr>
      </w:pPr>
    </w:p>
    <w:p w14:paraId="160D05F7" w14:textId="2EE7466B" w:rsidR="00C33A34" w:rsidRPr="00F84117" w:rsidRDefault="00C33A3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applicants are of without doubt entitled to administrative action that is lawful, reasonable and procedurally fair, as provided for in section 33 of the Constitution.  I agree with the applicants’ submission that the rights entrenched by section 33(1) logically cover administrative action from its outset, and thus that, in the case of a rezoning application, section 33 requires proper and fair administrative action, in all facets of the application, from the outset and commencement of the proceedings throughout to its ultimate conclusion. </w:t>
      </w:r>
    </w:p>
    <w:p w14:paraId="6C2770A3" w14:textId="77777777" w:rsidR="00C33A34" w:rsidRPr="00F84117" w:rsidRDefault="00C33A34" w:rsidP="00F84117">
      <w:pPr>
        <w:widowControl w:val="0"/>
        <w:spacing w:after="0" w:line="360" w:lineRule="auto"/>
        <w:ind w:left="567"/>
        <w:jc w:val="both"/>
        <w:rPr>
          <w:rFonts w:ascii="Arial" w:hAnsi="Arial" w:cs="Arial"/>
          <w:sz w:val="24"/>
          <w:szCs w:val="24"/>
        </w:rPr>
      </w:pPr>
    </w:p>
    <w:p w14:paraId="0C603F65" w14:textId="77777777" w:rsidR="00877E94" w:rsidRPr="00F84117" w:rsidRDefault="00C33A3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applicants argue that they are entitled to place direct reliance on section 33 of the Constitution for a constitutional remedy where PAJA does </w:t>
      </w:r>
      <w:r w:rsidR="00877E94" w:rsidRPr="00F84117">
        <w:rPr>
          <w:rFonts w:ascii="Arial" w:hAnsi="Arial" w:cs="Arial"/>
          <w:sz w:val="24"/>
          <w:szCs w:val="24"/>
        </w:rPr>
        <w:t>not provide a remedy</w:t>
      </w:r>
      <w:r w:rsidRPr="00F84117">
        <w:rPr>
          <w:rFonts w:ascii="Arial" w:hAnsi="Arial" w:cs="Arial"/>
          <w:sz w:val="24"/>
          <w:szCs w:val="24"/>
        </w:rPr>
        <w:t>.</w:t>
      </w:r>
      <w:r w:rsidR="00C724C2" w:rsidRPr="00F84117">
        <w:rPr>
          <w:rFonts w:ascii="Arial" w:hAnsi="Arial" w:cs="Arial"/>
          <w:sz w:val="24"/>
          <w:szCs w:val="24"/>
        </w:rPr>
        <w:t xml:space="preserve">  The</w:t>
      </w:r>
      <w:r w:rsidR="000B05C2" w:rsidRPr="00F84117">
        <w:rPr>
          <w:rFonts w:ascii="Arial" w:hAnsi="Arial" w:cs="Arial"/>
          <w:sz w:val="24"/>
          <w:szCs w:val="24"/>
        </w:rPr>
        <w:t>y</w:t>
      </w:r>
      <w:r w:rsidR="00C724C2" w:rsidRPr="00F84117">
        <w:rPr>
          <w:rFonts w:ascii="Arial" w:hAnsi="Arial" w:cs="Arial"/>
          <w:sz w:val="24"/>
          <w:szCs w:val="24"/>
        </w:rPr>
        <w:t xml:space="preserve"> argue further that direct reliance may, in the same circumstances, be placed on section 195 of the Constitution.  This they may do, so the argument goes, because the City’s conduct offends the principle of legality.</w:t>
      </w:r>
    </w:p>
    <w:p w14:paraId="636CC9E0" w14:textId="77777777" w:rsidR="00877E94" w:rsidRPr="00F84117" w:rsidRDefault="00877E94" w:rsidP="00F84117">
      <w:pPr>
        <w:pStyle w:val="ListParagraph"/>
        <w:widowControl w:val="0"/>
        <w:spacing w:after="0" w:line="360" w:lineRule="auto"/>
        <w:jc w:val="both"/>
        <w:rPr>
          <w:rFonts w:ascii="Arial" w:hAnsi="Arial" w:cs="Arial"/>
          <w:sz w:val="24"/>
          <w:szCs w:val="24"/>
        </w:rPr>
      </w:pPr>
    </w:p>
    <w:p w14:paraId="5C60655E" w14:textId="608E502B" w:rsidR="00877E94" w:rsidRPr="00F84117" w:rsidRDefault="00877E9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They contend further that paragraph (cc) of the definition of administrative action in PAJA excludes from its scope “the executive powers of functions of a municipal council” and, consequently, the legislature must have intended that </w:t>
      </w:r>
      <w:r w:rsidR="00B83D53" w:rsidRPr="00F84117">
        <w:rPr>
          <w:rFonts w:ascii="Arial" w:hAnsi="Arial" w:cs="Arial"/>
          <w:sz w:val="24"/>
          <w:szCs w:val="24"/>
        </w:rPr>
        <w:t>the relief</w:t>
      </w:r>
      <w:r w:rsidRPr="00F84117">
        <w:rPr>
          <w:rFonts w:ascii="Arial" w:hAnsi="Arial" w:cs="Arial"/>
          <w:sz w:val="24"/>
          <w:szCs w:val="24"/>
        </w:rPr>
        <w:t xml:space="preserve"> that the applicants seek (an upfront challenge to </w:t>
      </w:r>
      <w:r w:rsidR="00553FA8" w:rsidRPr="00F84117">
        <w:rPr>
          <w:rFonts w:ascii="Arial" w:hAnsi="Arial" w:cs="Arial"/>
          <w:sz w:val="24"/>
          <w:szCs w:val="24"/>
        </w:rPr>
        <w:t xml:space="preserve">the process preceding the determination of the rezoning application because of </w:t>
      </w:r>
      <w:r w:rsidRPr="00F84117">
        <w:rPr>
          <w:rFonts w:ascii="Arial" w:hAnsi="Arial" w:cs="Arial"/>
          <w:sz w:val="24"/>
          <w:szCs w:val="24"/>
        </w:rPr>
        <w:t xml:space="preserve">the </w:t>
      </w:r>
      <w:r w:rsidR="00B83D53" w:rsidRPr="00F84117">
        <w:rPr>
          <w:rFonts w:ascii="Arial" w:hAnsi="Arial" w:cs="Arial"/>
          <w:sz w:val="24"/>
          <w:szCs w:val="24"/>
        </w:rPr>
        <w:t>City’s alleged bias</w:t>
      </w:r>
      <w:r w:rsidRPr="00F84117">
        <w:rPr>
          <w:rFonts w:ascii="Arial" w:hAnsi="Arial" w:cs="Arial"/>
          <w:sz w:val="24"/>
          <w:szCs w:val="24"/>
        </w:rPr>
        <w:t xml:space="preserve">) must </w:t>
      </w:r>
      <w:r w:rsidR="00B83D53" w:rsidRPr="00F84117">
        <w:rPr>
          <w:rFonts w:ascii="Arial" w:hAnsi="Arial" w:cs="Arial"/>
          <w:sz w:val="24"/>
          <w:szCs w:val="24"/>
        </w:rPr>
        <w:t>be justiciable not</w:t>
      </w:r>
      <w:r w:rsidRPr="00F84117">
        <w:rPr>
          <w:rFonts w:ascii="Arial" w:hAnsi="Arial" w:cs="Arial"/>
          <w:sz w:val="24"/>
          <w:szCs w:val="24"/>
        </w:rPr>
        <w:t xml:space="preserve"> in terms of P</w:t>
      </w:r>
      <w:r w:rsidR="00B83D53" w:rsidRPr="00F84117">
        <w:rPr>
          <w:rFonts w:ascii="Arial" w:hAnsi="Arial" w:cs="Arial"/>
          <w:sz w:val="24"/>
          <w:szCs w:val="24"/>
        </w:rPr>
        <w:t>AJA</w:t>
      </w:r>
      <w:r w:rsidRPr="00F84117">
        <w:rPr>
          <w:rFonts w:ascii="Arial" w:hAnsi="Arial" w:cs="Arial"/>
          <w:sz w:val="24"/>
          <w:szCs w:val="24"/>
        </w:rPr>
        <w:t xml:space="preserve"> but in terms of </w:t>
      </w:r>
      <w:r w:rsidR="00B83D53" w:rsidRPr="00F84117">
        <w:rPr>
          <w:rFonts w:ascii="Arial" w:hAnsi="Arial" w:cs="Arial"/>
          <w:sz w:val="24"/>
          <w:szCs w:val="24"/>
        </w:rPr>
        <w:t>a</w:t>
      </w:r>
      <w:r w:rsidRPr="00F84117">
        <w:rPr>
          <w:rFonts w:ascii="Arial" w:hAnsi="Arial" w:cs="Arial"/>
          <w:sz w:val="24"/>
          <w:szCs w:val="24"/>
        </w:rPr>
        <w:t xml:space="preserve"> general adequate constitutional remedy.</w:t>
      </w:r>
      <w:r w:rsidR="00B83D53" w:rsidRPr="00F84117">
        <w:rPr>
          <w:rFonts w:ascii="Arial" w:hAnsi="Arial" w:cs="Arial"/>
          <w:sz w:val="24"/>
          <w:szCs w:val="24"/>
        </w:rPr>
        <w:t xml:space="preserve">  Such</w:t>
      </w:r>
      <w:r w:rsidRPr="00F84117">
        <w:rPr>
          <w:rFonts w:ascii="Arial" w:hAnsi="Arial" w:cs="Arial"/>
          <w:sz w:val="24"/>
          <w:szCs w:val="24"/>
        </w:rPr>
        <w:t xml:space="preserve"> general addict remedy c</w:t>
      </w:r>
      <w:r w:rsidR="00B83D53" w:rsidRPr="00F84117">
        <w:rPr>
          <w:rFonts w:ascii="Arial" w:hAnsi="Arial" w:cs="Arial"/>
          <w:sz w:val="24"/>
          <w:szCs w:val="24"/>
        </w:rPr>
        <w:t xml:space="preserve">an arise </w:t>
      </w:r>
      <w:r w:rsidRPr="00F84117">
        <w:rPr>
          <w:rFonts w:ascii="Arial" w:hAnsi="Arial" w:cs="Arial"/>
          <w:sz w:val="24"/>
          <w:szCs w:val="24"/>
        </w:rPr>
        <w:t>from both a direct reliance on section 33, or upon the provisions of section 195 of the Constitution.</w:t>
      </w:r>
    </w:p>
    <w:p w14:paraId="099A9D2D"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0B8C7D3A" w14:textId="7D417C91" w:rsidR="00FD0954" w:rsidRPr="00F84117" w:rsidRDefault="00FD095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applicants </w:t>
      </w:r>
      <w:r w:rsidR="000B05C2" w:rsidRPr="00F84117">
        <w:rPr>
          <w:rFonts w:ascii="Arial" w:hAnsi="Arial" w:cs="Arial"/>
          <w:sz w:val="24"/>
          <w:szCs w:val="24"/>
        </w:rPr>
        <w:t>submit</w:t>
      </w:r>
      <w:r w:rsidRPr="00F84117">
        <w:rPr>
          <w:rFonts w:ascii="Arial" w:hAnsi="Arial" w:cs="Arial"/>
          <w:sz w:val="24"/>
          <w:szCs w:val="24"/>
        </w:rPr>
        <w:t xml:space="preserve"> that their complaint concerning bias and prejudice on the side of the City, arising from its alleged interest in granting the rezoning application, strikes at the core of not only the values underpinning the rights inherent in section 33 of the Constitution, but also of the values underpinning the section 195 rights and obligations.  They say that they are entitled to the enforcement of the provisions of section 195 of the Constitution, that requires </w:t>
      </w:r>
      <w:r w:rsidRPr="00F84117">
        <w:rPr>
          <w:rFonts w:ascii="Arial" w:hAnsi="Arial" w:cs="Arial"/>
          <w:i/>
          <w:iCs/>
          <w:sz w:val="24"/>
          <w:szCs w:val="24"/>
        </w:rPr>
        <w:t>inter alia</w:t>
      </w:r>
      <w:r w:rsidRPr="00F84117">
        <w:rPr>
          <w:rFonts w:ascii="Arial" w:hAnsi="Arial" w:cs="Arial"/>
          <w:sz w:val="24"/>
          <w:szCs w:val="24"/>
        </w:rPr>
        <w:t xml:space="preserve"> a high standard of professional ethics, accountability, and the rendering of services in a manner that is impartial, fair, equitable and without bias from any public administrator, such as the City, in the adjudication of an administrative process such as a rezoning application:</w:t>
      </w:r>
    </w:p>
    <w:p w14:paraId="2909000B"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558FF9A8" w14:textId="1AE06E11" w:rsidR="00DF6535" w:rsidRPr="00F84117" w:rsidRDefault="00FD095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w:t>
      </w:r>
      <w:r w:rsidR="000B05C2" w:rsidRPr="00F84117">
        <w:rPr>
          <w:rFonts w:ascii="Arial" w:hAnsi="Arial" w:cs="Arial"/>
          <w:sz w:val="24"/>
          <w:szCs w:val="24"/>
        </w:rPr>
        <w:t xml:space="preserve">applicants criticise the respondents’ stance, stating that the City </w:t>
      </w:r>
      <w:r w:rsidRPr="00F84117">
        <w:rPr>
          <w:rFonts w:ascii="Arial" w:hAnsi="Arial" w:cs="Arial"/>
          <w:sz w:val="24"/>
          <w:szCs w:val="24"/>
        </w:rPr>
        <w:t>has taken the attitude that a Court may not interfere with the performance of its statutory functions in terms of section 156(2), given the generally sacrosanct nature of constitutional clauses and provisions</w:t>
      </w:r>
      <w:r w:rsidR="00DF6535" w:rsidRPr="00F84117">
        <w:rPr>
          <w:rFonts w:ascii="Arial" w:hAnsi="Arial" w:cs="Arial"/>
          <w:sz w:val="24"/>
          <w:szCs w:val="24"/>
        </w:rPr>
        <w:t>:</w:t>
      </w:r>
      <w:r w:rsidRPr="00F84117">
        <w:rPr>
          <w:rFonts w:ascii="Arial" w:hAnsi="Arial" w:cs="Arial"/>
          <w:sz w:val="24"/>
          <w:szCs w:val="24"/>
        </w:rPr>
        <w:t xml:space="preserve"> </w:t>
      </w:r>
      <w:r w:rsidR="00530C48" w:rsidRPr="00F84117">
        <w:rPr>
          <w:rFonts w:ascii="Arial" w:hAnsi="Arial" w:cs="Arial"/>
          <w:sz w:val="24"/>
          <w:szCs w:val="24"/>
        </w:rPr>
        <w:t xml:space="preserve"> </w:t>
      </w:r>
      <w:r w:rsidR="00DF6535" w:rsidRPr="00F84117">
        <w:rPr>
          <w:rFonts w:ascii="Arial" w:hAnsi="Arial" w:cs="Arial"/>
          <w:sz w:val="24"/>
          <w:szCs w:val="24"/>
        </w:rPr>
        <w:t>a</w:t>
      </w:r>
      <w:r w:rsidRPr="00F84117">
        <w:rPr>
          <w:rFonts w:ascii="Arial" w:hAnsi="Arial" w:cs="Arial"/>
          <w:sz w:val="24"/>
          <w:szCs w:val="24"/>
        </w:rPr>
        <w:t xml:space="preserve"> Court cannot disqualify a </w:t>
      </w:r>
      <w:r w:rsidR="00DF6535" w:rsidRPr="00F84117">
        <w:rPr>
          <w:rFonts w:ascii="Arial" w:hAnsi="Arial" w:cs="Arial"/>
          <w:sz w:val="24"/>
          <w:szCs w:val="24"/>
        </w:rPr>
        <w:t>m</w:t>
      </w:r>
      <w:r w:rsidRPr="00F84117">
        <w:rPr>
          <w:rFonts w:ascii="Arial" w:hAnsi="Arial" w:cs="Arial"/>
          <w:sz w:val="24"/>
          <w:szCs w:val="24"/>
        </w:rPr>
        <w:t xml:space="preserve">unicipality from overseeing and adjudicating upon a rezoning application, given the constitutional imperatives to it to do so, evident from the provisions of section 156(2) and (5). </w:t>
      </w:r>
      <w:r w:rsidR="00DF6535" w:rsidRPr="00F84117">
        <w:rPr>
          <w:rFonts w:ascii="Arial" w:hAnsi="Arial" w:cs="Arial"/>
          <w:sz w:val="24"/>
          <w:szCs w:val="24"/>
        </w:rPr>
        <w:t>The applicants submit, however, that what is indisputably clear is that it cannot simply be said, without further ado, that the provisions of section 151 and 156 of the Constitution that give municipalities certain rights and obligations should prevail over the rights and obligations created and entrenched by sections 33 and 195 of the Constitution.</w:t>
      </w:r>
    </w:p>
    <w:p w14:paraId="3CD8BAFF"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618A986F" w14:textId="77778AD5" w:rsidR="00FD0954" w:rsidRPr="00F84117" w:rsidRDefault="00FD095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In </w:t>
      </w:r>
      <w:r w:rsidRPr="00F84117">
        <w:rPr>
          <w:rFonts w:ascii="Arial" w:hAnsi="Arial" w:cs="Arial"/>
          <w:bCs/>
          <w:i/>
          <w:iCs/>
          <w:sz w:val="24"/>
          <w:szCs w:val="24"/>
        </w:rPr>
        <w:t>Johannesburg Municipality v Gauteng Development Tribun</w:t>
      </w:r>
      <w:r w:rsidR="00DF6535" w:rsidRPr="00F84117">
        <w:rPr>
          <w:rFonts w:ascii="Arial" w:hAnsi="Arial" w:cs="Arial"/>
          <w:bCs/>
          <w:i/>
          <w:iCs/>
          <w:sz w:val="24"/>
          <w:szCs w:val="24"/>
        </w:rPr>
        <w:t xml:space="preserve">al </w:t>
      </w:r>
      <w:r w:rsidR="00DF6535" w:rsidRPr="00F84117">
        <w:rPr>
          <w:rFonts w:ascii="Arial" w:hAnsi="Arial" w:cs="Arial"/>
          <w:bCs/>
          <w:sz w:val="24"/>
          <w:szCs w:val="24"/>
        </w:rPr>
        <w:t>2010 (6) SA 182 CC</w:t>
      </w:r>
      <w:r w:rsidR="00DF6535" w:rsidRPr="00F84117">
        <w:rPr>
          <w:rFonts w:ascii="Arial" w:hAnsi="Arial" w:cs="Arial"/>
          <w:sz w:val="24"/>
          <w:szCs w:val="24"/>
        </w:rPr>
        <w:t xml:space="preserve"> at para [61]</w:t>
      </w:r>
      <w:r w:rsidRPr="00F84117">
        <w:rPr>
          <w:rFonts w:ascii="Arial" w:hAnsi="Arial" w:cs="Arial"/>
          <w:sz w:val="24"/>
          <w:szCs w:val="24"/>
        </w:rPr>
        <w:t xml:space="preserve">, the Constitutional Court </w:t>
      </w:r>
      <w:r w:rsidR="00DF6535" w:rsidRPr="00F84117">
        <w:rPr>
          <w:rFonts w:ascii="Arial" w:hAnsi="Arial" w:cs="Arial"/>
          <w:sz w:val="24"/>
          <w:szCs w:val="24"/>
        </w:rPr>
        <w:t>held that</w:t>
      </w:r>
      <w:r w:rsidRPr="00F84117">
        <w:rPr>
          <w:rFonts w:ascii="Arial" w:hAnsi="Arial" w:cs="Arial"/>
          <w:sz w:val="24"/>
          <w:szCs w:val="24"/>
        </w:rPr>
        <w:t>:</w:t>
      </w:r>
    </w:p>
    <w:p w14:paraId="1D06C553"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27CCC351" w14:textId="7A9851F1" w:rsidR="00FD0954" w:rsidRPr="00F84117" w:rsidRDefault="00FD0954" w:rsidP="00BE5FD4">
      <w:pPr>
        <w:widowControl w:val="0"/>
        <w:spacing w:after="0" w:line="360" w:lineRule="auto"/>
        <w:ind w:left="720"/>
        <w:jc w:val="both"/>
        <w:rPr>
          <w:rFonts w:ascii="Arial" w:hAnsi="Arial" w:cs="Arial"/>
          <w:sz w:val="24"/>
          <w:szCs w:val="24"/>
        </w:rPr>
      </w:pPr>
      <w:r w:rsidRPr="00F84117">
        <w:rPr>
          <w:rFonts w:ascii="Arial" w:hAnsi="Arial" w:cs="Arial"/>
          <w:i/>
          <w:sz w:val="24"/>
          <w:szCs w:val="24"/>
        </w:rPr>
        <w:t xml:space="preserve">“The Court must endeavour to give effect to </w:t>
      </w:r>
      <w:r w:rsidRPr="00F84117">
        <w:rPr>
          <w:rFonts w:ascii="Arial" w:hAnsi="Arial" w:cs="Arial"/>
          <w:i/>
          <w:sz w:val="24"/>
          <w:szCs w:val="24"/>
          <w:u w:val="single"/>
        </w:rPr>
        <w:t>all the provisions of the Constitution.</w:t>
      </w:r>
      <w:r w:rsidR="00530C48" w:rsidRPr="00F84117">
        <w:rPr>
          <w:rFonts w:ascii="Arial" w:hAnsi="Arial" w:cs="Arial"/>
          <w:i/>
          <w:sz w:val="24"/>
          <w:szCs w:val="24"/>
          <w:u w:val="single"/>
        </w:rPr>
        <w:t xml:space="preserve">  </w:t>
      </w:r>
      <w:r w:rsidRPr="00F84117">
        <w:rPr>
          <w:rFonts w:ascii="Arial" w:hAnsi="Arial" w:cs="Arial"/>
          <w:i/>
          <w:sz w:val="24"/>
          <w:szCs w:val="24"/>
        </w:rPr>
        <w:t xml:space="preserve">It would be extraordinary to conclude that a provision of the Constitution cannot be enforced because of an irreconcilable tension with another provision. </w:t>
      </w:r>
      <w:r w:rsidRPr="00F84117">
        <w:rPr>
          <w:rFonts w:ascii="Arial" w:hAnsi="Arial" w:cs="Arial"/>
          <w:i/>
          <w:sz w:val="24"/>
          <w:szCs w:val="24"/>
          <w:u w:val="single"/>
        </w:rPr>
        <w:t xml:space="preserve"> When there is tension, the Courts must do their best to harmonise the relevant provisions, and give effect to all of them.</w:t>
      </w:r>
      <w:r w:rsidRPr="00F84117">
        <w:rPr>
          <w:rFonts w:ascii="Arial" w:hAnsi="Arial" w:cs="Arial"/>
          <w:i/>
          <w:sz w:val="24"/>
          <w:szCs w:val="24"/>
        </w:rPr>
        <w:t>”</w:t>
      </w:r>
      <w:r w:rsidRPr="00F84117">
        <w:rPr>
          <w:rFonts w:ascii="Arial" w:hAnsi="Arial" w:cs="Arial"/>
          <w:sz w:val="24"/>
          <w:szCs w:val="24"/>
        </w:rPr>
        <w:t xml:space="preserve"> (</w:t>
      </w:r>
      <w:r w:rsidR="00DF6535" w:rsidRPr="00F84117">
        <w:rPr>
          <w:rFonts w:ascii="Arial" w:hAnsi="Arial" w:cs="Arial"/>
          <w:sz w:val="24"/>
          <w:szCs w:val="24"/>
        </w:rPr>
        <w:t>E</w:t>
      </w:r>
      <w:r w:rsidRPr="00F84117">
        <w:rPr>
          <w:rFonts w:ascii="Arial" w:hAnsi="Arial" w:cs="Arial"/>
          <w:sz w:val="24"/>
          <w:szCs w:val="24"/>
        </w:rPr>
        <w:t>mphasis supplied</w:t>
      </w:r>
      <w:r w:rsidR="00DF6535" w:rsidRPr="00F84117">
        <w:rPr>
          <w:rFonts w:ascii="Arial" w:hAnsi="Arial" w:cs="Arial"/>
          <w:sz w:val="24"/>
          <w:szCs w:val="24"/>
        </w:rPr>
        <w:t>.</w:t>
      </w:r>
      <w:r w:rsidRPr="00F84117">
        <w:rPr>
          <w:rFonts w:ascii="Arial" w:hAnsi="Arial" w:cs="Arial"/>
          <w:sz w:val="24"/>
          <w:szCs w:val="24"/>
        </w:rPr>
        <w:t>)</w:t>
      </w:r>
    </w:p>
    <w:p w14:paraId="756DBCCF"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0DF14EDB" w14:textId="74E98F54" w:rsidR="00FD0954" w:rsidRPr="00F84117" w:rsidRDefault="00FD095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lastRenderedPageBreak/>
        <w:t xml:space="preserve">There must therefore, in the present matter, be an attempt to reconcile the constitutional rights of the applicants referred to above, with the rights and obligations of the </w:t>
      </w:r>
      <w:r w:rsidR="00DF6535" w:rsidRPr="00F84117">
        <w:rPr>
          <w:rFonts w:ascii="Arial" w:hAnsi="Arial" w:cs="Arial"/>
          <w:sz w:val="24"/>
          <w:szCs w:val="24"/>
        </w:rPr>
        <w:t>City</w:t>
      </w:r>
      <w:r w:rsidRPr="00F84117">
        <w:rPr>
          <w:rFonts w:ascii="Arial" w:hAnsi="Arial" w:cs="Arial"/>
          <w:sz w:val="24"/>
          <w:szCs w:val="24"/>
        </w:rPr>
        <w:t xml:space="preserve"> in terms of the provisions of section 151 and 156 of the Constitution. </w:t>
      </w:r>
    </w:p>
    <w:p w14:paraId="7D6AF28F" w14:textId="77777777" w:rsidR="00FD0954" w:rsidRPr="00F84117" w:rsidRDefault="00FD0954" w:rsidP="00F84117">
      <w:pPr>
        <w:widowControl w:val="0"/>
        <w:spacing w:after="0" w:line="360" w:lineRule="auto"/>
        <w:ind w:left="567"/>
        <w:jc w:val="both"/>
        <w:rPr>
          <w:rFonts w:ascii="Arial" w:hAnsi="Arial" w:cs="Arial"/>
          <w:sz w:val="24"/>
          <w:szCs w:val="24"/>
        </w:rPr>
      </w:pPr>
      <w:r w:rsidRPr="00F84117">
        <w:rPr>
          <w:rFonts w:ascii="Arial" w:hAnsi="Arial" w:cs="Arial"/>
          <w:sz w:val="24"/>
          <w:szCs w:val="24"/>
        </w:rPr>
        <w:t xml:space="preserve"> </w:t>
      </w:r>
    </w:p>
    <w:p w14:paraId="164B420B" w14:textId="2C42C067" w:rsidR="00DF6535" w:rsidRPr="00F84117" w:rsidRDefault="00DF6535"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 have no quibble with these sentiments.  The problem lies in the applicants’ approach in the face of prevailing legislation and precedent.</w:t>
      </w:r>
    </w:p>
    <w:p w14:paraId="60316EBE" w14:textId="77777777" w:rsidR="00DF6535" w:rsidRPr="00F84117" w:rsidRDefault="00DF6535" w:rsidP="00F84117">
      <w:pPr>
        <w:pStyle w:val="ListParagraph"/>
        <w:widowControl w:val="0"/>
        <w:spacing w:after="0" w:line="360" w:lineRule="auto"/>
        <w:jc w:val="both"/>
        <w:rPr>
          <w:rFonts w:ascii="Arial" w:hAnsi="Arial" w:cs="Arial"/>
          <w:sz w:val="24"/>
          <w:szCs w:val="24"/>
        </w:rPr>
      </w:pPr>
    </w:p>
    <w:p w14:paraId="24060600" w14:textId="3A116FC5" w:rsidR="00FD0954" w:rsidRPr="00F84117" w:rsidRDefault="00DF6535"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argue that, a</w:t>
      </w:r>
      <w:r w:rsidR="00FD0954" w:rsidRPr="00F84117">
        <w:rPr>
          <w:rFonts w:ascii="Arial" w:hAnsi="Arial" w:cs="Arial"/>
          <w:sz w:val="24"/>
          <w:szCs w:val="24"/>
        </w:rPr>
        <w:t xml:space="preserve">s point of departure, it is trite that all administrative action taken by a </w:t>
      </w:r>
      <w:r w:rsidRPr="00F84117">
        <w:rPr>
          <w:rFonts w:ascii="Arial" w:hAnsi="Arial" w:cs="Arial"/>
          <w:sz w:val="24"/>
          <w:szCs w:val="24"/>
        </w:rPr>
        <w:t>m</w:t>
      </w:r>
      <w:r w:rsidR="00FD0954" w:rsidRPr="00F84117">
        <w:rPr>
          <w:rFonts w:ascii="Arial" w:hAnsi="Arial" w:cs="Arial"/>
          <w:sz w:val="24"/>
          <w:szCs w:val="24"/>
        </w:rPr>
        <w:t>unicipality or other administrative body, can always be taken on review on the grounds of the bias or prejudice of a decision maker, or of a vested interest that such decision maker has</w:t>
      </w:r>
      <w:r w:rsidRPr="00F84117">
        <w:rPr>
          <w:rFonts w:ascii="Arial" w:hAnsi="Arial" w:cs="Arial"/>
          <w:sz w:val="24"/>
          <w:szCs w:val="24"/>
        </w:rPr>
        <w:t xml:space="preserve"> or </w:t>
      </w:r>
      <w:r w:rsidR="00FD0954" w:rsidRPr="00F84117">
        <w:rPr>
          <w:rFonts w:ascii="Arial" w:hAnsi="Arial" w:cs="Arial"/>
          <w:sz w:val="24"/>
          <w:szCs w:val="24"/>
        </w:rPr>
        <w:t xml:space="preserve">had in the outcome of its decision. </w:t>
      </w:r>
      <w:r w:rsidRPr="00F84117">
        <w:rPr>
          <w:rFonts w:ascii="Arial" w:hAnsi="Arial" w:cs="Arial"/>
          <w:sz w:val="24"/>
          <w:szCs w:val="24"/>
        </w:rPr>
        <w:t xml:space="preserve"> </w:t>
      </w:r>
      <w:r w:rsidR="00FD0954" w:rsidRPr="00F84117">
        <w:rPr>
          <w:rFonts w:ascii="Arial" w:hAnsi="Arial" w:cs="Arial"/>
          <w:sz w:val="24"/>
          <w:szCs w:val="24"/>
        </w:rPr>
        <w:t xml:space="preserve">If action can be taken </w:t>
      </w:r>
      <w:r w:rsidR="00FD0954" w:rsidRPr="00F84117">
        <w:rPr>
          <w:rFonts w:ascii="Arial" w:hAnsi="Arial" w:cs="Arial"/>
          <w:i/>
          <w:sz w:val="24"/>
          <w:szCs w:val="24"/>
        </w:rPr>
        <w:t>ex post facto</w:t>
      </w:r>
      <w:r w:rsidR="00FD0954" w:rsidRPr="00F84117">
        <w:rPr>
          <w:rFonts w:ascii="Arial" w:hAnsi="Arial" w:cs="Arial"/>
          <w:sz w:val="24"/>
          <w:szCs w:val="24"/>
        </w:rPr>
        <w:t xml:space="preserve"> to set aside an award of the decision maker on the above grounds, there can be no reason, in law, logic or otherwise, why, if the evidence of such bias or prejudice or existence of a vested interest in the outcome of a decision, already exists at the commencement of the administrative proceedings, and the outcome of the proceedings appears to be a foregone conclusion, the decision maker cannot be disqualified from further continuing with his role as overseer and adjudicator. </w:t>
      </w:r>
    </w:p>
    <w:p w14:paraId="1620F99B"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2A83D446" w14:textId="02802123" w:rsidR="00FD0954" w:rsidRPr="00F84117" w:rsidRDefault="0098052B"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argument proceeds that i</w:t>
      </w:r>
      <w:r w:rsidR="00FD0954" w:rsidRPr="00F84117">
        <w:rPr>
          <w:rFonts w:ascii="Arial" w:hAnsi="Arial" w:cs="Arial"/>
          <w:sz w:val="24"/>
          <w:szCs w:val="24"/>
        </w:rPr>
        <w:t xml:space="preserve">t would be iniquitous to expect the applicants to participate in lengthy and costly rezoning application proceedings that are fatally flawed and deeply biased, only to at the conclusion thereof have any rights to address the fatal flaws by taking a negative outcome on review to obtain a setting aside of the decision. </w:t>
      </w:r>
      <w:r w:rsidR="00DF6535" w:rsidRPr="00F84117">
        <w:rPr>
          <w:rFonts w:ascii="Arial" w:hAnsi="Arial" w:cs="Arial"/>
          <w:sz w:val="24"/>
          <w:szCs w:val="24"/>
        </w:rPr>
        <w:t xml:space="preserve"> </w:t>
      </w:r>
      <w:r w:rsidR="00FD0954" w:rsidRPr="00F84117">
        <w:rPr>
          <w:rFonts w:ascii="Arial" w:hAnsi="Arial" w:cs="Arial"/>
          <w:sz w:val="24"/>
          <w:szCs w:val="24"/>
        </w:rPr>
        <w:t xml:space="preserve">It would in any event have been improper for the applicants, </w:t>
      </w:r>
      <w:r w:rsidRPr="00F84117">
        <w:rPr>
          <w:rFonts w:ascii="Arial" w:hAnsi="Arial" w:cs="Arial"/>
          <w:sz w:val="24"/>
          <w:szCs w:val="24"/>
        </w:rPr>
        <w:t>in</w:t>
      </w:r>
      <w:r w:rsidR="00FD0954" w:rsidRPr="00F84117">
        <w:rPr>
          <w:rFonts w:ascii="Arial" w:hAnsi="Arial" w:cs="Arial"/>
          <w:sz w:val="24"/>
          <w:szCs w:val="24"/>
        </w:rPr>
        <w:t xml:space="preserve"> circumstances where they are in possession of strong evidence demonstrating the bias and prejudice of the </w:t>
      </w:r>
      <w:r w:rsidRPr="00F84117">
        <w:rPr>
          <w:rFonts w:ascii="Arial" w:hAnsi="Arial" w:cs="Arial"/>
          <w:sz w:val="24"/>
          <w:szCs w:val="24"/>
        </w:rPr>
        <w:t>City</w:t>
      </w:r>
      <w:r w:rsidR="00FD0954" w:rsidRPr="00F84117">
        <w:rPr>
          <w:rFonts w:ascii="Arial" w:hAnsi="Arial" w:cs="Arial"/>
          <w:sz w:val="24"/>
          <w:szCs w:val="24"/>
        </w:rPr>
        <w:t xml:space="preserve">, not </w:t>
      </w:r>
      <w:r w:rsidRPr="00F84117">
        <w:rPr>
          <w:rFonts w:ascii="Arial" w:hAnsi="Arial" w:cs="Arial"/>
          <w:sz w:val="24"/>
          <w:szCs w:val="24"/>
        </w:rPr>
        <w:t xml:space="preserve">to </w:t>
      </w:r>
      <w:r w:rsidR="00FD0954" w:rsidRPr="00F84117">
        <w:rPr>
          <w:rFonts w:ascii="Arial" w:hAnsi="Arial" w:cs="Arial"/>
          <w:sz w:val="24"/>
          <w:szCs w:val="24"/>
        </w:rPr>
        <w:t xml:space="preserve">take any immediate action up front for purposes of addressing the possible consequences and ramifications of such bias and/or prejudice. </w:t>
      </w:r>
    </w:p>
    <w:p w14:paraId="1E735E1E"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4AEE72D3" w14:textId="06FEEE49" w:rsidR="00FD0954" w:rsidRPr="00F84117" w:rsidRDefault="00FD0954"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In </w:t>
      </w:r>
      <w:r w:rsidRPr="00F84117">
        <w:rPr>
          <w:rFonts w:ascii="Arial" w:hAnsi="Arial" w:cs="Arial"/>
          <w:bCs/>
          <w:i/>
          <w:iCs/>
          <w:sz w:val="24"/>
          <w:szCs w:val="24"/>
        </w:rPr>
        <w:t xml:space="preserve">Abrahams and </w:t>
      </w:r>
      <w:r w:rsidR="0098052B" w:rsidRPr="00F84117">
        <w:rPr>
          <w:rFonts w:ascii="Arial" w:hAnsi="Arial" w:cs="Arial"/>
          <w:bCs/>
          <w:i/>
          <w:iCs/>
          <w:sz w:val="24"/>
          <w:szCs w:val="24"/>
        </w:rPr>
        <w:t>a</w:t>
      </w:r>
      <w:r w:rsidRPr="00F84117">
        <w:rPr>
          <w:rFonts w:ascii="Arial" w:hAnsi="Arial" w:cs="Arial"/>
          <w:bCs/>
          <w:i/>
          <w:iCs/>
          <w:sz w:val="24"/>
          <w:szCs w:val="24"/>
        </w:rPr>
        <w:t xml:space="preserve">nother v R K Komputer SDN BHD and </w:t>
      </w:r>
      <w:r w:rsidR="0098052B" w:rsidRPr="00F84117">
        <w:rPr>
          <w:rFonts w:ascii="Arial" w:hAnsi="Arial" w:cs="Arial"/>
          <w:bCs/>
          <w:i/>
          <w:iCs/>
          <w:sz w:val="24"/>
          <w:szCs w:val="24"/>
        </w:rPr>
        <w:t>o</w:t>
      </w:r>
      <w:r w:rsidRPr="00F84117">
        <w:rPr>
          <w:rFonts w:ascii="Arial" w:hAnsi="Arial" w:cs="Arial"/>
          <w:bCs/>
          <w:i/>
          <w:iCs/>
          <w:sz w:val="24"/>
          <w:szCs w:val="24"/>
        </w:rPr>
        <w:t>ther</w:t>
      </w:r>
      <w:r w:rsidR="0098052B" w:rsidRPr="00F84117">
        <w:rPr>
          <w:rFonts w:ascii="Arial" w:hAnsi="Arial" w:cs="Arial"/>
          <w:bCs/>
          <w:i/>
          <w:iCs/>
          <w:sz w:val="24"/>
          <w:szCs w:val="24"/>
        </w:rPr>
        <w:t xml:space="preserve">s </w:t>
      </w:r>
      <w:r w:rsidR="0098052B" w:rsidRPr="00F84117">
        <w:rPr>
          <w:rFonts w:ascii="Arial" w:hAnsi="Arial" w:cs="Arial"/>
          <w:bCs/>
          <w:sz w:val="24"/>
          <w:szCs w:val="24"/>
        </w:rPr>
        <w:t>2009 (4) SA 201 (C)</w:t>
      </w:r>
      <w:r w:rsidRPr="00F84117">
        <w:rPr>
          <w:rFonts w:ascii="Arial" w:hAnsi="Arial" w:cs="Arial"/>
          <w:bCs/>
          <w:sz w:val="24"/>
          <w:szCs w:val="24"/>
        </w:rPr>
        <w:t>,</w:t>
      </w:r>
      <w:r w:rsidRPr="00F84117">
        <w:rPr>
          <w:rFonts w:ascii="Arial" w:hAnsi="Arial" w:cs="Arial"/>
          <w:sz w:val="24"/>
          <w:szCs w:val="24"/>
        </w:rPr>
        <w:t xml:space="preserve"> </w:t>
      </w:r>
      <w:r w:rsidR="0098052B" w:rsidRPr="00F84117">
        <w:rPr>
          <w:rFonts w:ascii="Arial" w:hAnsi="Arial" w:cs="Arial"/>
          <w:sz w:val="24"/>
          <w:szCs w:val="24"/>
        </w:rPr>
        <w:t xml:space="preserve">the Honourable Acting Justice </w:t>
      </w:r>
      <w:r w:rsidRPr="00F84117">
        <w:rPr>
          <w:rFonts w:ascii="Arial" w:hAnsi="Arial" w:cs="Arial"/>
          <w:sz w:val="24"/>
          <w:szCs w:val="24"/>
        </w:rPr>
        <w:t xml:space="preserve">Gauntlett </w:t>
      </w:r>
      <w:r w:rsidR="0098052B" w:rsidRPr="00F84117">
        <w:rPr>
          <w:rFonts w:ascii="Arial" w:hAnsi="Arial" w:cs="Arial"/>
          <w:sz w:val="24"/>
          <w:szCs w:val="24"/>
        </w:rPr>
        <w:t xml:space="preserve">criticised a </w:t>
      </w:r>
      <w:r w:rsidRPr="00F84117">
        <w:rPr>
          <w:rFonts w:ascii="Arial" w:hAnsi="Arial" w:cs="Arial"/>
          <w:sz w:val="24"/>
          <w:szCs w:val="24"/>
        </w:rPr>
        <w:t xml:space="preserve">party to arbitration proceedings who at all times had been aware of the grounds and reasons for believing that the arbitrator was not impartial, but biased and prejudiced against </w:t>
      </w:r>
      <w:r w:rsidRPr="00F84117">
        <w:rPr>
          <w:rFonts w:ascii="Arial" w:hAnsi="Arial" w:cs="Arial"/>
          <w:sz w:val="24"/>
          <w:szCs w:val="24"/>
        </w:rPr>
        <w:lastRenderedPageBreak/>
        <w:t>her (arising from the “</w:t>
      </w:r>
      <w:r w:rsidRPr="00F84117">
        <w:rPr>
          <w:rFonts w:ascii="Arial" w:hAnsi="Arial" w:cs="Arial"/>
          <w:i/>
          <w:iCs/>
          <w:sz w:val="24"/>
          <w:szCs w:val="24"/>
        </w:rPr>
        <w:t>pleasantries</w:t>
      </w:r>
      <w:r w:rsidRPr="00F84117">
        <w:rPr>
          <w:rFonts w:ascii="Arial" w:hAnsi="Arial" w:cs="Arial"/>
          <w:sz w:val="24"/>
          <w:szCs w:val="24"/>
        </w:rPr>
        <w:t xml:space="preserve">” exchanged prior to the commencement of the arbitration), in favour of the counterparty in the arbitration, </w:t>
      </w:r>
      <w:r w:rsidR="0098052B" w:rsidRPr="00F84117">
        <w:rPr>
          <w:rFonts w:ascii="Arial" w:hAnsi="Arial" w:cs="Arial"/>
          <w:sz w:val="24"/>
          <w:szCs w:val="24"/>
        </w:rPr>
        <w:t xml:space="preserve">for failing </w:t>
      </w:r>
      <w:r w:rsidRPr="00F84117">
        <w:rPr>
          <w:rFonts w:ascii="Arial" w:hAnsi="Arial" w:cs="Arial"/>
          <w:sz w:val="24"/>
          <w:szCs w:val="24"/>
        </w:rPr>
        <w:t xml:space="preserve">immediately and upfront </w:t>
      </w:r>
      <w:r w:rsidR="0098052B" w:rsidRPr="00F84117">
        <w:rPr>
          <w:rFonts w:ascii="Arial" w:hAnsi="Arial" w:cs="Arial"/>
          <w:sz w:val="24"/>
          <w:szCs w:val="24"/>
        </w:rPr>
        <w:t xml:space="preserve">to </w:t>
      </w:r>
      <w:r w:rsidRPr="00F84117">
        <w:rPr>
          <w:rFonts w:ascii="Arial" w:hAnsi="Arial" w:cs="Arial"/>
          <w:sz w:val="24"/>
          <w:szCs w:val="24"/>
        </w:rPr>
        <w:t>take steps to address such bias and prejudice</w:t>
      </w:r>
      <w:r w:rsidR="0098052B" w:rsidRPr="00F84117">
        <w:rPr>
          <w:rFonts w:ascii="Arial" w:hAnsi="Arial" w:cs="Arial"/>
          <w:sz w:val="24"/>
          <w:szCs w:val="24"/>
        </w:rPr>
        <w:t>.</w:t>
      </w:r>
      <w:r w:rsidRPr="00F84117">
        <w:rPr>
          <w:rFonts w:ascii="Arial" w:hAnsi="Arial" w:cs="Arial"/>
          <w:sz w:val="24"/>
          <w:szCs w:val="24"/>
        </w:rPr>
        <w:t xml:space="preserve">  </w:t>
      </w:r>
    </w:p>
    <w:p w14:paraId="38B7DEE5" w14:textId="77777777" w:rsidR="00FD0954" w:rsidRPr="00F84117" w:rsidRDefault="00FD0954" w:rsidP="00F84117">
      <w:pPr>
        <w:pStyle w:val="ListParagraph"/>
        <w:widowControl w:val="0"/>
        <w:spacing w:after="0" w:line="360" w:lineRule="auto"/>
        <w:jc w:val="both"/>
        <w:rPr>
          <w:rFonts w:ascii="Arial" w:hAnsi="Arial" w:cs="Arial"/>
          <w:i/>
          <w:sz w:val="24"/>
          <w:szCs w:val="24"/>
        </w:rPr>
      </w:pPr>
    </w:p>
    <w:p w14:paraId="0575C869" w14:textId="0BB0544D" w:rsidR="00FD0954" w:rsidRPr="00F84117" w:rsidRDefault="0098052B"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conclude, on the basis of this authority, that</w:t>
      </w:r>
      <w:r w:rsidR="00FD0954" w:rsidRPr="00F84117">
        <w:rPr>
          <w:rFonts w:ascii="Arial" w:hAnsi="Arial" w:cs="Arial"/>
          <w:sz w:val="24"/>
          <w:szCs w:val="24"/>
        </w:rPr>
        <w:t xml:space="preserve"> a party cannot participate in administrative proceedings in which it is of the view that the decision-maker is biased in favour of its opponent, but upon the speculative assumption of a possible favourable outcome in the proceedings, decide not to take any pre-emptive action to address the bias.  </w:t>
      </w:r>
    </w:p>
    <w:p w14:paraId="13C66693" w14:textId="77777777" w:rsidR="0098052B" w:rsidRPr="00F84117" w:rsidRDefault="0098052B" w:rsidP="00F84117">
      <w:pPr>
        <w:pStyle w:val="ListParagraph"/>
        <w:widowControl w:val="0"/>
        <w:spacing w:after="0" w:line="360" w:lineRule="auto"/>
        <w:jc w:val="both"/>
        <w:rPr>
          <w:rFonts w:ascii="Arial" w:hAnsi="Arial" w:cs="Arial"/>
          <w:sz w:val="24"/>
          <w:szCs w:val="24"/>
        </w:rPr>
      </w:pPr>
    </w:p>
    <w:p w14:paraId="069EC3B3" w14:textId="053FD827" w:rsidR="0098052B" w:rsidRPr="00F84117" w:rsidRDefault="0098052B"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 do not agree that </w:t>
      </w:r>
      <w:r w:rsidRPr="00F84117">
        <w:rPr>
          <w:rFonts w:ascii="Arial" w:hAnsi="Arial" w:cs="Arial"/>
          <w:i/>
          <w:iCs/>
          <w:sz w:val="24"/>
          <w:szCs w:val="24"/>
        </w:rPr>
        <w:t>Abrahams</w:t>
      </w:r>
      <w:r w:rsidRPr="00F84117">
        <w:rPr>
          <w:rFonts w:ascii="Arial" w:hAnsi="Arial" w:cs="Arial"/>
          <w:sz w:val="24"/>
          <w:szCs w:val="24"/>
        </w:rPr>
        <w:t xml:space="preserve"> supports the applicants’ contentions.  The realm of litigation (or arbitration) is different from that in which administrative authorities exercise their powers and obligations.  The latter situation is specifically regulated by</w:t>
      </w:r>
      <w:r w:rsidR="00920855" w:rsidRPr="00F84117">
        <w:rPr>
          <w:rFonts w:ascii="Arial" w:hAnsi="Arial" w:cs="Arial"/>
          <w:sz w:val="24"/>
          <w:szCs w:val="24"/>
        </w:rPr>
        <w:t xml:space="preserve">, </w:t>
      </w:r>
      <w:r w:rsidR="00920855" w:rsidRPr="00F84117">
        <w:rPr>
          <w:rFonts w:ascii="Arial" w:hAnsi="Arial" w:cs="Arial"/>
          <w:i/>
          <w:iCs/>
          <w:sz w:val="24"/>
          <w:szCs w:val="24"/>
        </w:rPr>
        <w:t>inter alia</w:t>
      </w:r>
      <w:r w:rsidR="00920855" w:rsidRPr="00F84117">
        <w:rPr>
          <w:rFonts w:ascii="Arial" w:hAnsi="Arial" w:cs="Arial"/>
          <w:sz w:val="24"/>
          <w:szCs w:val="24"/>
        </w:rPr>
        <w:t>, PAJA, which gives effect to and regulate the protection of the constitutional right to fair administrative action contained in section 33 of the Constitution.  This aspect will be dealt with in more detail below, but at this stage already I am of the view that the applicants are not allowed to bypass the provisions of PAJA.</w:t>
      </w:r>
    </w:p>
    <w:p w14:paraId="12962676"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37D256C1" w14:textId="0B34E8B3" w:rsidR="00FD0954" w:rsidRPr="00F84117" w:rsidRDefault="00920855"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applicants refer, further, to </w:t>
      </w:r>
      <w:r w:rsidR="00FD0954" w:rsidRPr="00F84117">
        <w:rPr>
          <w:rFonts w:ascii="Arial" w:hAnsi="Arial" w:cs="Arial"/>
          <w:sz w:val="24"/>
          <w:szCs w:val="24"/>
        </w:rPr>
        <w:t xml:space="preserve">the matter of </w:t>
      </w:r>
      <w:r w:rsidR="00FD0954" w:rsidRPr="00F84117">
        <w:rPr>
          <w:rFonts w:ascii="Arial" w:hAnsi="Arial" w:cs="Arial"/>
          <w:bCs/>
          <w:i/>
          <w:iCs/>
          <w:sz w:val="24"/>
          <w:szCs w:val="24"/>
        </w:rPr>
        <w:t>Allpay Consolidated Investment Holdings (Pty) Ltd</w:t>
      </w:r>
      <w:r w:rsidR="00FD0954" w:rsidRPr="00F84117">
        <w:rPr>
          <w:rFonts w:ascii="Arial" w:hAnsi="Arial" w:cs="Arial"/>
          <w:bCs/>
          <w:sz w:val="24"/>
          <w:szCs w:val="24"/>
        </w:rPr>
        <w:t xml:space="preserve"> </w:t>
      </w:r>
      <w:r w:rsidRPr="00F84117">
        <w:rPr>
          <w:rFonts w:ascii="Arial" w:hAnsi="Arial" w:cs="Arial"/>
          <w:bCs/>
          <w:sz w:val="24"/>
          <w:szCs w:val="24"/>
        </w:rPr>
        <w:t xml:space="preserve">2014 (1) SA 604 CC in </w:t>
      </w:r>
      <w:r w:rsidR="00FD0954" w:rsidRPr="00F84117">
        <w:rPr>
          <w:rFonts w:ascii="Arial" w:hAnsi="Arial" w:cs="Arial"/>
          <w:sz w:val="24"/>
          <w:szCs w:val="24"/>
        </w:rPr>
        <w:t xml:space="preserve">the following was stated </w:t>
      </w:r>
      <w:r w:rsidRPr="00F84117">
        <w:rPr>
          <w:rFonts w:ascii="Arial" w:hAnsi="Arial" w:cs="Arial"/>
          <w:sz w:val="24"/>
          <w:szCs w:val="24"/>
        </w:rPr>
        <w:t xml:space="preserve">(at </w:t>
      </w:r>
      <w:r w:rsidR="00852E1B" w:rsidRPr="00F84117">
        <w:rPr>
          <w:rFonts w:ascii="Arial" w:hAnsi="Arial" w:cs="Arial"/>
          <w:sz w:val="24"/>
          <w:szCs w:val="24"/>
        </w:rPr>
        <w:t>para [29])</w:t>
      </w:r>
      <w:r w:rsidRPr="00F84117">
        <w:rPr>
          <w:rFonts w:ascii="Arial" w:hAnsi="Arial" w:cs="Arial"/>
          <w:sz w:val="24"/>
          <w:szCs w:val="24"/>
        </w:rPr>
        <w:t xml:space="preserve"> </w:t>
      </w:r>
      <w:r w:rsidR="00FD0954" w:rsidRPr="00F84117">
        <w:rPr>
          <w:rFonts w:ascii="Arial" w:hAnsi="Arial" w:cs="Arial"/>
          <w:sz w:val="24"/>
          <w:szCs w:val="24"/>
        </w:rPr>
        <w:t>concerning what falls to be done once it is established that an irregularity justifies the review and setting aside of an administrative action:</w:t>
      </w:r>
    </w:p>
    <w:p w14:paraId="1B57054E"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747336FB" w14:textId="7BC797A0" w:rsidR="00FD0954" w:rsidRPr="00F84117" w:rsidRDefault="00FD0954" w:rsidP="00F84117">
      <w:pPr>
        <w:widowControl w:val="0"/>
        <w:spacing w:after="0" w:line="360" w:lineRule="auto"/>
        <w:ind w:left="567"/>
        <w:jc w:val="both"/>
        <w:rPr>
          <w:rFonts w:ascii="Arial" w:hAnsi="Arial" w:cs="Arial"/>
          <w:sz w:val="24"/>
          <w:szCs w:val="24"/>
          <w:u w:val="single"/>
        </w:rPr>
      </w:pPr>
      <w:r w:rsidRPr="00F84117">
        <w:rPr>
          <w:rFonts w:ascii="Arial" w:hAnsi="Arial" w:cs="Arial"/>
          <w:i/>
          <w:sz w:val="24"/>
          <w:szCs w:val="24"/>
        </w:rPr>
        <w:t xml:space="preserve">“Once that is done, the potential practical difficulties that may flow from declaring the administrative action constitutionally invalid must be dealt with under the </w:t>
      </w:r>
      <w:r w:rsidRPr="00F84117">
        <w:rPr>
          <w:rFonts w:ascii="Arial" w:hAnsi="Arial" w:cs="Arial"/>
          <w:i/>
          <w:sz w:val="24"/>
          <w:szCs w:val="24"/>
          <w:u w:val="single"/>
        </w:rPr>
        <w:t>just and equitable remedies provided for by the Constitution</w:t>
      </w:r>
      <w:r w:rsidRPr="00F84117">
        <w:rPr>
          <w:rFonts w:ascii="Arial" w:hAnsi="Arial" w:cs="Arial"/>
          <w:i/>
          <w:sz w:val="24"/>
          <w:szCs w:val="24"/>
        </w:rPr>
        <w:t xml:space="preserve"> and PAJA.  Indeed, it may often be </w:t>
      </w:r>
      <w:r w:rsidRPr="00F84117">
        <w:rPr>
          <w:rFonts w:ascii="Arial" w:hAnsi="Arial" w:cs="Arial"/>
          <w:i/>
          <w:sz w:val="24"/>
          <w:szCs w:val="24"/>
          <w:u w:val="single"/>
        </w:rPr>
        <w:t>inequitable to require the rerunning of the flawed tender process if it can be confidently predicted that the result will be the same.</w:t>
      </w:r>
      <w:r w:rsidRPr="00F84117">
        <w:rPr>
          <w:rFonts w:ascii="Arial" w:hAnsi="Arial" w:cs="Arial"/>
          <w:sz w:val="24"/>
          <w:szCs w:val="24"/>
        </w:rPr>
        <w:t>” (</w:t>
      </w:r>
      <w:r w:rsidR="00920855" w:rsidRPr="00F84117">
        <w:rPr>
          <w:rFonts w:ascii="Arial" w:hAnsi="Arial" w:cs="Arial"/>
          <w:sz w:val="24"/>
          <w:szCs w:val="24"/>
        </w:rPr>
        <w:t>E</w:t>
      </w:r>
      <w:r w:rsidRPr="00F84117">
        <w:rPr>
          <w:rFonts w:ascii="Arial" w:hAnsi="Arial" w:cs="Arial"/>
          <w:sz w:val="24"/>
          <w:szCs w:val="24"/>
        </w:rPr>
        <w:t>mphasis supplied</w:t>
      </w:r>
      <w:r w:rsidR="00920855" w:rsidRPr="00F84117">
        <w:rPr>
          <w:rFonts w:ascii="Arial" w:hAnsi="Arial" w:cs="Arial"/>
          <w:sz w:val="24"/>
          <w:szCs w:val="24"/>
        </w:rPr>
        <w:t>.</w:t>
      </w:r>
      <w:r w:rsidRPr="00F84117">
        <w:rPr>
          <w:rFonts w:ascii="Arial" w:hAnsi="Arial" w:cs="Arial"/>
          <w:sz w:val="24"/>
          <w:szCs w:val="24"/>
        </w:rPr>
        <w:t>)</w:t>
      </w:r>
    </w:p>
    <w:p w14:paraId="03113D7D"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49042A1D" w14:textId="4F97BAD4" w:rsidR="00852E1B" w:rsidRPr="00F84117" w:rsidRDefault="00852E1B"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Immediately prior to this excerpt, </w:t>
      </w:r>
      <w:r w:rsidR="00BE5FD4">
        <w:rPr>
          <w:rFonts w:ascii="Arial" w:hAnsi="Arial" w:cs="Arial"/>
          <w:sz w:val="24"/>
          <w:szCs w:val="24"/>
        </w:rPr>
        <w:t xml:space="preserve">however, </w:t>
      </w:r>
      <w:r w:rsidRPr="00F84117">
        <w:rPr>
          <w:rFonts w:ascii="Arial" w:hAnsi="Arial" w:cs="Arial"/>
          <w:sz w:val="24"/>
          <w:szCs w:val="24"/>
        </w:rPr>
        <w:t>at para [28], the Court confirmed that the PAJA process had to have followed its course:</w:t>
      </w:r>
    </w:p>
    <w:p w14:paraId="469E49B6" w14:textId="4F7526A7" w:rsidR="00852E1B" w:rsidRPr="00F84117" w:rsidRDefault="00852E1B" w:rsidP="00F84117">
      <w:pPr>
        <w:widowControl w:val="0"/>
        <w:spacing w:after="0" w:line="360" w:lineRule="auto"/>
        <w:ind w:left="567"/>
        <w:jc w:val="both"/>
        <w:rPr>
          <w:rFonts w:ascii="Arial" w:hAnsi="Arial" w:cs="Arial"/>
          <w:sz w:val="24"/>
          <w:szCs w:val="24"/>
        </w:rPr>
      </w:pPr>
    </w:p>
    <w:p w14:paraId="4E1C5B80" w14:textId="30DDFE29" w:rsidR="00852E1B" w:rsidRPr="00F84117" w:rsidRDefault="00852E1B" w:rsidP="00F84117">
      <w:pPr>
        <w:pStyle w:val="lrpara"/>
        <w:widowControl w:val="0"/>
        <w:shd w:val="clear" w:color="auto" w:fill="FFFFFF"/>
        <w:spacing w:before="0" w:beforeAutospacing="0" w:after="0" w:afterAutospacing="0" w:line="360" w:lineRule="auto"/>
        <w:ind w:left="567"/>
        <w:jc w:val="both"/>
        <w:rPr>
          <w:rFonts w:ascii="Arial" w:hAnsi="Arial" w:cs="Arial"/>
          <w:i/>
          <w:iCs/>
        </w:rPr>
      </w:pPr>
      <w:r w:rsidRPr="00F84117">
        <w:rPr>
          <w:rFonts w:ascii="Arial" w:hAnsi="Arial" w:cs="Arial"/>
          <w:i/>
          <w:iCs/>
        </w:rPr>
        <w:lastRenderedPageBreak/>
        <w:t>“Under the Constitution there is no reason to conflate procedure and merit. The proper approach is to establish, factually, whether an irregularity occurred. Then the irregularity must be legally evaluated to determine whether it amounts to a ground of review under PAJA. This legal evaluation must, where appropriate, take into account the materiality of any deviance from legal requirements, by linking the question of compliance to the purpose of the provision, before concluding that a review ground under PAJA has been established.”</w:t>
      </w:r>
    </w:p>
    <w:p w14:paraId="43F40F4D" w14:textId="77777777" w:rsidR="00852E1B" w:rsidRPr="00F84117" w:rsidRDefault="00852E1B" w:rsidP="00F84117">
      <w:pPr>
        <w:widowControl w:val="0"/>
        <w:spacing w:after="0" w:line="360" w:lineRule="auto"/>
        <w:ind w:left="567"/>
        <w:jc w:val="both"/>
        <w:rPr>
          <w:rFonts w:ascii="Arial" w:hAnsi="Arial" w:cs="Arial"/>
          <w:sz w:val="24"/>
          <w:szCs w:val="24"/>
        </w:rPr>
      </w:pPr>
    </w:p>
    <w:p w14:paraId="47709317" w14:textId="11AEF6E2" w:rsidR="00FD0954" w:rsidRPr="00F84117" w:rsidRDefault="00FD095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In</w:t>
      </w:r>
      <w:r w:rsidR="00852E1B" w:rsidRPr="00F84117">
        <w:rPr>
          <w:rFonts w:ascii="Arial" w:hAnsi="Arial" w:cs="Arial"/>
          <w:sz w:val="24"/>
          <w:szCs w:val="24"/>
        </w:rPr>
        <w:t xml:space="preserve"> the matter of</w:t>
      </w:r>
      <w:r w:rsidRPr="00F84117">
        <w:rPr>
          <w:rFonts w:ascii="Arial" w:hAnsi="Arial" w:cs="Arial"/>
          <w:sz w:val="24"/>
          <w:szCs w:val="24"/>
        </w:rPr>
        <w:t xml:space="preserve"> </w:t>
      </w:r>
      <w:r w:rsidRPr="00F84117">
        <w:rPr>
          <w:rFonts w:ascii="Arial" w:hAnsi="Arial" w:cs="Arial"/>
          <w:i/>
          <w:iCs/>
          <w:sz w:val="24"/>
          <w:szCs w:val="24"/>
        </w:rPr>
        <w:t xml:space="preserve">Aboobaker NO and others v Serengeti Rise Body Corporate and </w:t>
      </w:r>
      <w:r w:rsidR="00852E1B" w:rsidRPr="00F84117">
        <w:rPr>
          <w:rFonts w:ascii="Arial" w:hAnsi="Arial" w:cs="Arial"/>
          <w:i/>
          <w:iCs/>
          <w:sz w:val="24"/>
          <w:szCs w:val="24"/>
        </w:rPr>
        <w:t>a</w:t>
      </w:r>
      <w:r w:rsidRPr="00F84117">
        <w:rPr>
          <w:rFonts w:ascii="Arial" w:hAnsi="Arial" w:cs="Arial"/>
          <w:i/>
          <w:iCs/>
          <w:sz w:val="24"/>
          <w:szCs w:val="24"/>
        </w:rPr>
        <w:t>nother</w:t>
      </w:r>
      <w:r w:rsidRPr="00F84117">
        <w:rPr>
          <w:rFonts w:ascii="Arial" w:hAnsi="Arial" w:cs="Arial"/>
          <w:sz w:val="24"/>
          <w:szCs w:val="24"/>
        </w:rPr>
        <w:t xml:space="preserve"> </w:t>
      </w:r>
      <w:r w:rsidR="00243FDD" w:rsidRPr="00F84117">
        <w:rPr>
          <w:rFonts w:ascii="Arial" w:hAnsi="Arial" w:cs="Arial"/>
          <w:sz w:val="24"/>
          <w:szCs w:val="24"/>
        </w:rPr>
        <w:t xml:space="preserve">2015 (6) SA 2000 (KZD) </w:t>
      </w:r>
      <w:r w:rsidR="00852E1B" w:rsidRPr="00F84117">
        <w:rPr>
          <w:rFonts w:ascii="Arial" w:hAnsi="Arial" w:cs="Arial"/>
          <w:sz w:val="24"/>
          <w:szCs w:val="24"/>
        </w:rPr>
        <w:t>at para [29] the Court’s criticism of the relevant municipality’s conduct followed its evaluation of the preceding decision-making process.  The municipality accordingly had the opportunity of fulfilling its obligations under the Constitution.</w:t>
      </w:r>
    </w:p>
    <w:p w14:paraId="44C7B96A" w14:textId="77777777" w:rsidR="00FD0954" w:rsidRPr="00F84117" w:rsidRDefault="00FD0954" w:rsidP="00F84117">
      <w:pPr>
        <w:widowControl w:val="0"/>
        <w:spacing w:after="0" w:line="360" w:lineRule="auto"/>
        <w:ind w:left="567"/>
        <w:jc w:val="both"/>
        <w:rPr>
          <w:rFonts w:ascii="Arial" w:hAnsi="Arial" w:cs="Arial"/>
          <w:sz w:val="24"/>
          <w:szCs w:val="24"/>
        </w:rPr>
      </w:pPr>
    </w:p>
    <w:p w14:paraId="0CF0D49A" w14:textId="63C2F7BE" w:rsidR="00B95D8B" w:rsidRPr="00F84117" w:rsidRDefault="00FD0954" w:rsidP="00F84117">
      <w:pPr>
        <w:widowControl w:val="0"/>
        <w:spacing w:after="0" w:line="360" w:lineRule="auto"/>
        <w:ind w:left="567"/>
        <w:jc w:val="both"/>
        <w:rPr>
          <w:rFonts w:ascii="Arial" w:hAnsi="Arial" w:cs="Arial"/>
          <w:sz w:val="24"/>
          <w:szCs w:val="24"/>
        </w:rPr>
      </w:pPr>
      <w:r w:rsidRPr="00F84117">
        <w:rPr>
          <w:rFonts w:ascii="Arial" w:hAnsi="Arial" w:cs="Arial"/>
          <w:i/>
          <w:sz w:val="24"/>
          <w:szCs w:val="24"/>
        </w:rPr>
        <w:t xml:space="preserve">“I seriously considered the draft order but find it problematic for the following reasons.  </w:t>
      </w:r>
      <w:r w:rsidRPr="00F84117">
        <w:rPr>
          <w:rFonts w:ascii="Arial" w:hAnsi="Arial" w:cs="Arial"/>
          <w:i/>
          <w:sz w:val="24"/>
          <w:szCs w:val="24"/>
          <w:u w:val="single"/>
        </w:rPr>
        <w:t xml:space="preserve">The Court will refer the matter back to the Municipality to reconsider the application for rezoning, the very organ of state that now has an interest to protect, i.e. to avoid liability for the losses suffered by the first respondent, should the structure be demolished in part or in whole.  The Municipality would end up being judge and jury in its own </w:t>
      </w:r>
      <w:proofErr w:type="gramStart"/>
      <w:r w:rsidRPr="00F84117">
        <w:rPr>
          <w:rFonts w:ascii="Arial" w:hAnsi="Arial" w:cs="Arial"/>
          <w:i/>
          <w:sz w:val="24"/>
          <w:szCs w:val="24"/>
          <w:u w:val="single"/>
        </w:rPr>
        <w:t>case.</w:t>
      </w:r>
      <w:r w:rsidRPr="00F84117">
        <w:rPr>
          <w:rFonts w:ascii="Arial" w:hAnsi="Arial" w:cs="Arial"/>
          <w:sz w:val="24"/>
          <w:szCs w:val="24"/>
        </w:rPr>
        <w:t>“</w:t>
      </w:r>
      <w:proofErr w:type="gramEnd"/>
      <w:r w:rsidRPr="00F84117">
        <w:rPr>
          <w:rFonts w:ascii="Arial" w:hAnsi="Arial" w:cs="Arial"/>
          <w:sz w:val="24"/>
          <w:szCs w:val="24"/>
        </w:rPr>
        <w:t xml:space="preserve"> (</w:t>
      </w:r>
      <w:r w:rsidR="00852E1B" w:rsidRPr="00F84117">
        <w:rPr>
          <w:rFonts w:ascii="Arial" w:hAnsi="Arial" w:cs="Arial"/>
          <w:sz w:val="24"/>
          <w:szCs w:val="24"/>
        </w:rPr>
        <w:t>E</w:t>
      </w:r>
      <w:r w:rsidRPr="00F84117">
        <w:rPr>
          <w:rFonts w:ascii="Arial" w:hAnsi="Arial" w:cs="Arial"/>
          <w:sz w:val="24"/>
          <w:szCs w:val="24"/>
        </w:rPr>
        <w:t>mphasis supplied</w:t>
      </w:r>
      <w:r w:rsidR="00852E1B" w:rsidRPr="00F84117">
        <w:rPr>
          <w:rFonts w:ascii="Arial" w:hAnsi="Arial" w:cs="Arial"/>
          <w:sz w:val="24"/>
          <w:szCs w:val="24"/>
        </w:rPr>
        <w:t>.</w:t>
      </w:r>
      <w:r w:rsidRPr="00F84117">
        <w:rPr>
          <w:rFonts w:ascii="Arial" w:hAnsi="Arial" w:cs="Arial"/>
          <w:sz w:val="24"/>
          <w:szCs w:val="24"/>
        </w:rPr>
        <w:t>)</w:t>
      </w:r>
    </w:p>
    <w:p w14:paraId="6B9399A0" w14:textId="77777777" w:rsidR="00B95D8B" w:rsidRPr="00F84117" w:rsidRDefault="00B95D8B" w:rsidP="00F84117">
      <w:pPr>
        <w:widowControl w:val="0"/>
        <w:spacing w:after="0" w:line="360" w:lineRule="auto"/>
        <w:ind w:left="567"/>
        <w:jc w:val="both"/>
        <w:rPr>
          <w:rFonts w:ascii="Arial" w:hAnsi="Arial" w:cs="Arial"/>
          <w:sz w:val="24"/>
          <w:szCs w:val="24"/>
        </w:rPr>
      </w:pPr>
    </w:p>
    <w:p w14:paraId="6857637B" w14:textId="374CD1A3" w:rsidR="00FD0954" w:rsidRPr="00F84117" w:rsidRDefault="00243FDD" w:rsidP="00F84117">
      <w:pPr>
        <w:pStyle w:val="ListParagraph"/>
        <w:widowControl w:val="0"/>
        <w:numPr>
          <w:ilvl w:val="0"/>
          <w:numId w:val="3"/>
        </w:numPr>
        <w:spacing w:after="0" w:line="360" w:lineRule="auto"/>
        <w:ind w:left="630" w:hanging="630"/>
        <w:jc w:val="both"/>
        <w:rPr>
          <w:rFonts w:ascii="Arial" w:hAnsi="Arial" w:cs="Arial"/>
          <w:sz w:val="24"/>
          <w:szCs w:val="24"/>
        </w:rPr>
      </w:pPr>
      <w:r w:rsidRPr="00F84117">
        <w:rPr>
          <w:rFonts w:ascii="Arial" w:hAnsi="Arial" w:cs="Arial"/>
          <w:sz w:val="24"/>
          <w:szCs w:val="24"/>
        </w:rPr>
        <w:t>The same position applied to</w:t>
      </w:r>
      <w:r w:rsidR="00FD0954" w:rsidRPr="00F84117">
        <w:rPr>
          <w:rFonts w:ascii="Arial" w:hAnsi="Arial" w:cs="Arial"/>
          <w:sz w:val="24"/>
          <w:szCs w:val="24"/>
        </w:rPr>
        <w:t xml:space="preserve"> </w:t>
      </w:r>
      <w:r w:rsidR="00FD0954" w:rsidRPr="00F84117">
        <w:rPr>
          <w:rFonts w:ascii="Arial" w:hAnsi="Arial" w:cs="Arial"/>
          <w:bCs/>
          <w:i/>
          <w:iCs/>
          <w:sz w:val="24"/>
          <w:szCs w:val="24"/>
        </w:rPr>
        <w:t>Esorfranki Pipelines (Pty) Ltd v Mopani District Municipality</w:t>
      </w:r>
      <w:r w:rsidR="00B95D8B" w:rsidRPr="00F84117">
        <w:rPr>
          <w:rFonts w:ascii="Arial" w:hAnsi="Arial" w:cs="Arial"/>
          <w:sz w:val="24"/>
          <w:szCs w:val="24"/>
        </w:rPr>
        <w:t xml:space="preserve"> [2014] 2 All SA 493 (SCA).</w:t>
      </w:r>
      <w:r w:rsidR="00B95D8B" w:rsidRPr="00F84117">
        <w:rPr>
          <w:rFonts w:ascii="Arial" w:hAnsi="Arial" w:cs="Arial"/>
          <w:b/>
          <w:bCs/>
          <w:sz w:val="24"/>
          <w:szCs w:val="24"/>
        </w:rPr>
        <w:t xml:space="preserve">  </w:t>
      </w:r>
      <w:r w:rsidRPr="00F84117">
        <w:rPr>
          <w:rFonts w:ascii="Arial" w:hAnsi="Arial" w:cs="Arial"/>
          <w:sz w:val="24"/>
          <w:szCs w:val="24"/>
        </w:rPr>
        <w:t>T</w:t>
      </w:r>
      <w:r w:rsidR="00FD0954" w:rsidRPr="00F84117">
        <w:rPr>
          <w:rFonts w:ascii="Arial" w:hAnsi="Arial" w:cs="Arial"/>
          <w:sz w:val="24"/>
          <w:szCs w:val="24"/>
        </w:rPr>
        <w:t xml:space="preserve">he </w:t>
      </w:r>
      <w:r w:rsidRPr="00F84117">
        <w:rPr>
          <w:rFonts w:ascii="Arial" w:hAnsi="Arial" w:cs="Arial"/>
          <w:sz w:val="24"/>
          <w:szCs w:val="24"/>
        </w:rPr>
        <w:t>m</w:t>
      </w:r>
      <w:r w:rsidR="00FD0954" w:rsidRPr="00F84117">
        <w:rPr>
          <w:rFonts w:ascii="Arial" w:hAnsi="Arial" w:cs="Arial"/>
          <w:sz w:val="24"/>
          <w:szCs w:val="24"/>
        </w:rPr>
        <w:t xml:space="preserve">unicipality </w:t>
      </w:r>
      <w:r w:rsidR="0084345F">
        <w:rPr>
          <w:rFonts w:ascii="Arial" w:hAnsi="Arial" w:cs="Arial"/>
          <w:sz w:val="24"/>
          <w:szCs w:val="24"/>
        </w:rPr>
        <w:t xml:space="preserve">in that case </w:t>
      </w:r>
      <w:r w:rsidRPr="00F84117">
        <w:rPr>
          <w:rFonts w:ascii="Arial" w:hAnsi="Arial" w:cs="Arial"/>
          <w:sz w:val="24"/>
          <w:szCs w:val="24"/>
        </w:rPr>
        <w:t>had been</w:t>
      </w:r>
      <w:r w:rsidR="00FD0954" w:rsidRPr="00F84117">
        <w:rPr>
          <w:rFonts w:ascii="Arial" w:hAnsi="Arial" w:cs="Arial"/>
          <w:sz w:val="24"/>
          <w:szCs w:val="24"/>
        </w:rPr>
        <w:t xml:space="preserve"> mandated by the Department of Water Affairs, a body functioning at the level of National Government, to take responsibility for the implementation and management of a water project. In exercising its above functions, the </w:t>
      </w:r>
      <w:r w:rsidR="00B95D8B" w:rsidRPr="00F84117">
        <w:rPr>
          <w:rFonts w:ascii="Arial" w:hAnsi="Arial" w:cs="Arial"/>
          <w:sz w:val="24"/>
          <w:szCs w:val="24"/>
        </w:rPr>
        <w:t>m</w:t>
      </w:r>
      <w:r w:rsidR="00FD0954" w:rsidRPr="00F84117">
        <w:rPr>
          <w:rFonts w:ascii="Arial" w:hAnsi="Arial" w:cs="Arial"/>
          <w:sz w:val="24"/>
          <w:szCs w:val="24"/>
        </w:rPr>
        <w:t xml:space="preserve">unicipality made a tender award that was tainted by its (that of the </w:t>
      </w:r>
      <w:r w:rsidR="00B95D8B" w:rsidRPr="00F84117">
        <w:rPr>
          <w:rFonts w:ascii="Arial" w:hAnsi="Arial" w:cs="Arial"/>
          <w:sz w:val="24"/>
          <w:szCs w:val="24"/>
        </w:rPr>
        <w:t>m</w:t>
      </w:r>
      <w:r w:rsidR="00FD0954" w:rsidRPr="00F84117">
        <w:rPr>
          <w:rFonts w:ascii="Arial" w:hAnsi="Arial" w:cs="Arial"/>
          <w:sz w:val="24"/>
          <w:szCs w:val="24"/>
        </w:rPr>
        <w:t xml:space="preserve">unicipality) bias and fraud.  The award was set aside at the behest of Esorfranki and a second party and the Municipality was ordered to re-adjudicate the tenders received by it. The </w:t>
      </w:r>
      <w:r w:rsidR="00B95D8B" w:rsidRPr="00F84117">
        <w:rPr>
          <w:rFonts w:ascii="Arial" w:hAnsi="Arial" w:cs="Arial"/>
          <w:sz w:val="24"/>
          <w:szCs w:val="24"/>
        </w:rPr>
        <w:t>m</w:t>
      </w:r>
      <w:r w:rsidR="00FD0954" w:rsidRPr="00F84117">
        <w:rPr>
          <w:rFonts w:ascii="Arial" w:hAnsi="Arial" w:cs="Arial"/>
          <w:sz w:val="24"/>
          <w:szCs w:val="24"/>
        </w:rPr>
        <w:t xml:space="preserve">unicipality, subsequent to the setting aside of the award, simply made the same award as before, and Esorfranki again brought a review application to the High Court to set aside the new award.  </w:t>
      </w:r>
    </w:p>
    <w:p w14:paraId="7B9051CD"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39D35A6F" w14:textId="2965B574" w:rsidR="00FD0954" w:rsidRPr="00F84117" w:rsidRDefault="00FD0954"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High Court upheld the review application in favour of Esorfranki, and held </w:t>
      </w:r>
      <w:r w:rsidRPr="00F84117">
        <w:rPr>
          <w:rFonts w:ascii="Arial" w:hAnsi="Arial" w:cs="Arial"/>
          <w:sz w:val="24"/>
          <w:szCs w:val="24"/>
        </w:rPr>
        <w:lastRenderedPageBreak/>
        <w:t xml:space="preserve">that the </w:t>
      </w:r>
      <w:r w:rsidR="00B95D8B" w:rsidRPr="00F84117">
        <w:rPr>
          <w:rFonts w:ascii="Arial" w:hAnsi="Arial" w:cs="Arial"/>
          <w:sz w:val="24"/>
          <w:szCs w:val="24"/>
        </w:rPr>
        <w:t>m</w:t>
      </w:r>
      <w:r w:rsidRPr="00F84117">
        <w:rPr>
          <w:rFonts w:ascii="Arial" w:hAnsi="Arial" w:cs="Arial"/>
          <w:sz w:val="24"/>
          <w:szCs w:val="24"/>
        </w:rPr>
        <w:t xml:space="preserve">unicipality’s second decision was also irregular and motivated by bias and bad faith.  The </w:t>
      </w:r>
      <w:r w:rsidR="00B95D8B" w:rsidRPr="00F84117">
        <w:rPr>
          <w:rFonts w:ascii="Arial" w:hAnsi="Arial" w:cs="Arial"/>
          <w:sz w:val="24"/>
          <w:szCs w:val="24"/>
        </w:rPr>
        <w:t>m</w:t>
      </w:r>
      <w:r w:rsidRPr="00F84117">
        <w:rPr>
          <w:rFonts w:ascii="Arial" w:hAnsi="Arial" w:cs="Arial"/>
          <w:sz w:val="24"/>
          <w:szCs w:val="24"/>
        </w:rPr>
        <w:t xml:space="preserve">unicipality appealed against this judgment to the Supreme Court of Appeal. In directing what order should accompany the setting aside of the (second) tainted award of the </w:t>
      </w:r>
      <w:r w:rsidR="00B95D8B" w:rsidRPr="00F84117">
        <w:rPr>
          <w:rFonts w:ascii="Arial" w:hAnsi="Arial" w:cs="Arial"/>
          <w:sz w:val="24"/>
          <w:szCs w:val="24"/>
        </w:rPr>
        <w:t>m</w:t>
      </w:r>
      <w:r w:rsidRPr="00F84117">
        <w:rPr>
          <w:rFonts w:ascii="Arial" w:hAnsi="Arial" w:cs="Arial"/>
          <w:sz w:val="24"/>
          <w:szCs w:val="24"/>
        </w:rPr>
        <w:t xml:space="preserve">unicipality, the Supreme Court of Appeal stated the following at paragraph [27]:  </w:t>
      </w:r>
    </w:p>
    <w:p w14:paraId="7C412F0F" w14:textId="77777777" w:rsidR="00FD0954" w:rsidRPr="00F84117" w:rsidRDefault="00FD0954" w:rsidP="00F84117">
      <w:pPr>
        <w:pStyle w:val="ListParagraph"/>
        <w:widowControl w:val="0"/>
        <w:spacing w:after="0" w:line="360" w:lineRule="auto"/>
        <w:jc w:val="both"/>
        <w:rPr>
          <w:rFonts w:ascii="Arial" w:hAnsi="Arial" w:cs="Arial"/>
          <w:i/>
          <w:sz w:val="24"/>
          <w:szCs w:val="24"/>
        </w:rPr>
      </w:pPr>
    </w:p>
    <w:p w14:paraId="6BB75160" w14:textId="59116943" w:rsidR="00FD0954" w:rsidRPr="00F84117" w:rsidRDefault="00FD0954" w:rsidP="00F84117">
      <w:pPr>
        <w:widowControl w:val="0"/>
        <w:spacing w:after="0" w:line="360" w:lineRule="auto"/>
        <w:ind w:left="567"/>
        <w:jc w:val="both"/>
        <w:rPr>
          <w:rFonts w:ascii="Arial" w:hAnsi="Arial" w:cs="Arial"/>
          <w:sz w:val="24"/>
          <w:szCs w:val="24"/>
        </w:rPr>
      </w:pPr>
      <w:r w:rsidRPr="00F84117">
        <w:rPr>
          <w:rFonts w:ascii="Arial" w:hAnsi="Arial" w:cs="Arial"/>
          <w:i/>
          <w:sz w:val="24"/>
          <w:szCs w:val="24"/>
        </w:rPr>
        <w:t xml:space="preserve">“I accept the submission of Esorfranki and Cycad that </w:t>
      </w:r>
      <w:r w:rsidRPr="00F84117">
        <w:rPr>
          <w:rFonts w:ascii="Arial" w:hAnsi="Arial" w:cs="Arial"/>
          <w:i/>
          <w:sz w:val="24"/>
          <w:szCs w:val="24"/>
          <w:u w:val="single"/>
        </w:rPr>
        <w:t>because of the bias displayed by the Municipality in the adjudication of the tender and its conduct in the review and interlocutory proceedings, it should play no part in any further tender process in relation to this project</w:t>
      </w:r>
      <w:r w:rsidRPr="00F84117">
        <w:rPr>
          <w:rFonts w:ascii="Arial" w:hAnsi="Arial" w:cs="Arial"/>
          <w:i/>
          <w:sz w:val="24"/>
          <w:szCs w:val="24"/>
        </w:rPr>
        <w:t>.</w:t>
      </w:r>
      <w:r w:rsidRPr="00F84117">
        <w:rPr>
          <w:rFonts w:ascii="Arial" w:hAnsi="Arial" w:cs="Arial"/>
          <w:sz w:val="24"/>
          <w:szCs w:val="24"/>
        </w:rPr>
        <w:t>”  (</w:t>
      </w:r>
      <w:r w:rsidR="00B95D8B" w:rsidRPr="00F84117">
        <w:rPr>
          <w:rFonts w:ascii="Arial" w:hAnsi="Arial" w:cs="Arial"/>
          <w:sz w:val="24"/>
          <w:szCs w:val="24"/>
        </w:rPr>
        <w:t>E</w:t>
      </w:r>
      <w:r w:rsidRPr="00F84117">
        <w:rPr>
          <w:rFonts w:ascii="Arial" w:hAnsi="Arial" w:cs="Arial"/>
          <w:sz w:val="24"/>
          <w:szCs w:val="24"/>
        </w:rPr>
        <w:t>mphasis supplied</w:t>
      </w:r>
      <w:r w:rsidR="00B95D8B" w:rsidRPr="00F84117">
        <w:rPr>
          <w:rFonts w:ascii="Arial" w:hAnsi="Arial" w:cs="Arial"/>
          <w:sz w:val="24"/>
          <w:szCs w:val="24"/>
        </w:rPr>
        <w:t>.</w:t>
      </w:r>
      <w:r w:rsidRPr="00F84117">
        <w:rPr>
          <w:rFonts w:ascii="Arial" w:hAnsi="Arial" w:cs="Arial"/>
          <w:sz w:val="24"/>
          <w:szCs w:val="24"/>
        </w:rPr>
        <w:t xml:space="preserve">) </w:t>
      </w:r>
    </w:p>
    <w:p w14:paraId="72B9C4AF" w14:textId="77777777" w:rsidR="00FD0954" w:rsidRPr="00F84117" w:rsidRDefault="00FD0954" w:rsidP="00F84117">
      <w:pPr>
        <w:pStyle w:val="ListParagraph"/>
        <w:widowControl w:val="0"/>
        <w:spacing w:after="0" w:line="360" w:lineRule="auto"/>
        <w:jc w:val="both"/>
        <w:rPr>
          <w:rFonts w:ascii="Arial" w:hAnsi="Arial" w:cs="Arial"/>
          <w:sz w:val="24"/>
          <w:szCs w:val="24"/>
        </w:rPr>
      </w:pPr>
    </w:p>
    <w:p w14:paraId="5BBB74AB" w14:textId="5544F7C9" w:rsidR="00FD0954" w:rsidRPr="00F84117" w:rsidRDefault="00B95D8B"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argue that, i</w:t>
      </w:r>
      <w:r w:rsidR="00FD0954" w:rsidRPr="00F84117">
        <w:rPr>
          <w:rFonts w:ascii="Arial" w:hAnsi="Arial" w:cs="Arial"/>
          <w:sz w:val="24"/>
          <w:szCs w:val="24"/>
        </w:rPr>
        <w:t xml:space="preserve">n directing that the </w:t>
      </w:r>
      <w:r w:rsidRPr="00F84117">
        <w:rPr>
          <w:rFonts w:ascii="Arial" w:hAnsi="Arial" w:cs="Arial"/>
          <w:sz w:val="24"/>
          <w:szCs w:val="24"/>
        </w:rPr>
        <w:t>m</w:t>
      </w:r>
      <w:r w:rsidR="00FD0954" w:rsidRPr="00F84117">
        <w:rPr>
          <w:rFonts w:ascii="Arial" w:hAnsi="Arial" w:cs="Arial"/>
          <w:sz w:val="24"/>
          <w:szCs w:val="24"/>
        </w:rPr>
        <w:t>unicipality should “</w:t>
      </w:r>
      <w:r w:rsidR="00FD0954" w:rsidRPr="00F84117">
        <w:rPr>
          <w:rFonts w:ascii="Arial" w:hAnsi="Arial" w:cs="Arial"/>
          <w:i/>
          <w:sz w:val="24"/>
          <w:szCs w:val="24"/>
        </w:rPr>
        <w:t>play no part</w:t>
      </w:r>
      <w:r w:rsidR="00FD0954" w:rsidRPr="00F84117">
        <w:rPr>
          <w:rFonts w:ascii="Arial" w:hAnsi="Arial" w:cs="Arial"/>
          <w:sz w:val="24"/>
          <w:szCs w:val="24"/>
        </w:rPr>
        <w:t xml:space="preserve">” in any further tender process in relation to the project, the Court was clearly of the view that such order was fair, equitable, constitutional and appropriate, under the circumstances. </w:t>
      </w:r>
      <w:r w:rsidRPr="00F84117">
        <w:rPr>
          <w:rFonts w:ascii="Arial" w:hAnsi="Arial" w:cs="Arial"/>
          <w:sz w:val="24"/>
          <w:szCs w:val="24"/>
        </w:rPr>
        <w:t>This is undoubtedly so, but the context against which that decision was taken differs materially from the present application.</w:t>
      </w:r>
    </w:p>
    <w:p w14:paraId="499124F6" w14:textId="77777777" w:rsidR="00C724C2" w:rsidRPr="00F84117" w:rsidRDefault="00C724C2" w:rsidP="00F84117">
      <w:pPr>
        <w:pStyle w:val="ListParagraph"/>
        <w:widowControl w:val="0"/>
        <w:spacing w:after="0" w:line="360" w:lineRule="auto"/>
        <w:jc w:val="both"/>
        <w:rPr>
          <w:rFonts w:ascii="Arial" w:hAnsi="Arial" w:cs="Arial"/>
          <w:sz w:val="24"/>
          <w:szCs w:val="24"/>
        </w:rPr>
      </w:pPr>
    </w:p>
    <w:p w14:paraId="6747D3B1" w14:textId="138FDFA4" w:rsidR="00C724C2" w:rsidRPr="00F84117" w:rsidRDefault="004E1BC3"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What the applicants ignore </w:t>
      </w:r>
      <w:r w:rsidR="00D629D9" w:rsidRPr="00F84117">
        <w:rPr>
          <w:rFonts w:ascii="Arial" w:hAnsi="Arial" w:cs="Arial"/>
          <w:sz w:val="24"/>
          <w:szCs w:val="24"/>
        </w:rPr>
        <w:t>in pressing</w:t>
      </w:r>
      <w:r w:rsidRPr="00F84117">
        <w:rPr>
          <w:rFonts w:ascii="Arial" w:hAnsi="Arial" w:cs="Arial"/>
          <w:sz w:val="24"/>
          <w:szCs w:val="24"/>
        </w:rPr>
        <w:t xml:space="preserve"> their argument is that PAJA </w:t>
      </w:r>
      <w:r w:rsidR="00D629D9" w:rsidRPr="00F84117">
        <w:rPr>
          <w:rFonts w:ascii="Arial" w:hAnsi="Arial" w:cs="Arial"/>
          <w:sz w:val="24"/>
          <w:szCs w:val="24"/>
        </w:rPr>
        <w:t>is</w:t>
      </w:r>
      <w:r w:rsidRPr="00F84117">
        <w:rPr>
          <w:rFonts w:ascii="Arial" w:hAnsi="Arial" w:cs="Arial"/>
          <w:sz w:val="24"/>
          <w:szCs w:val="24"/>
        </w:rPr>
        <w:t xml:space="preserve"> the legislation enacted under </w:t>
      </w:r>
      <w:r w:rsidR="00D629D9" w:rsidRPr="00F84117">
        <w:rPr>
          <w:rFonts w:ascii="Arial" w:hAnsi="Arial" w:cs="Arial"/>
          <w:sz w:val="24"/>
          <w:szCs w:val="24"/>
        </w:rPr>
        <w:t xml:space="preserve">section 33(3) of the Constitution to give effect to the rights embodied in section 33.  PAJA is the tool to be used in order to ensure compliance with the prescripts of section 33.  In </w:t>
      </w:r>
      <w:r w:rsidR="00D629D9" w:rsidRPr="00F84117">
        <w:rPr>
          <w:rFonts w:ascii="Arial" w:hAnsi="Arial" w:cs="Arial"/>
          <w:i/>
          <w:iCs/>
          <w:sz w:val="24"/>
          <w:szCs w:val="24"/>
        </w:rPr>
        <w:t xml:space="preserve">Minister of Health </w:t>
      </w:r>
      <w:r w:rsidR="00BF4F3D" w:rsidRPr="00F84117">
        <w:rPr>
          <w:rFonts w:ascii="Arial" w:hAnsi="Arial" w:cs="Arial"/>
          <w:i/>
          <w:iCs/>
          <w:sz w:val="24"/>
          <w:szCs w:val="24"/>
        </w:rPr>
        <w:t>and another v New Clicks South Africa (Pty) Ltd and others</w:t>
      </w:r>
      <w:r w:rsidR="00BF4F3D" w:rsidRPr="00F84117">
        <w:rPr>
          <w:rFonts w:ascii="Arial" w:hAnsi="Arial" w:cs="Arial"/>
          <w:sz w:val="24"/>
          <w:szCs w:val="24"/>
        </w:rPr>
        <w:t xml:space="preserve"> 2006 (2) SA 311 (CC) the Constitutional Court held as follows at paras [9</w:t>
      </w:r>
      <w:r w:rsidR="00956935" w:rsidRPr="00F84117">
        <w:rPr>
          <w:rFonts w:ascii="Arial" w:hAnsi="Arial" w:cs="Arial"/>
          <w:sz w:val="24"/>
          <w:szCs w:val="24"/>
        </w:rPr>
        <w:t>4</w:t>
      </w:r>
      <w:r w:rsidR="00BF4F3D" w:rsidRPr="00F84117">
        <w:rPr>
          <w:rFonts w:ascii="Arial" w:hAnsi="Arial" w:cs="Arial"/>
          <w:sz w:val="24"/>
          <w:szCs w:val="24"/>
        </w:rPr>
        <w:t>]-[9</w:t>
      </w:r>
      <w:r w:rsidR="00956935" w:rsidRPr="00F84117">
        <w:rPr>
          <w:rFonts w:ascii="Arial" w:hAnsi="Arial" w:cs="Arial"/>
          <w:sz w:val="24"/>
          <w:szCs w:val="24"/>
        </w:rPr>
        <w:t>7</w:t>
      </w:r>
      <w:r w:rsidR="00BF4F3D" w:rsidRPr="00F84117">
        <w:rPr>
          <w:rFonts w:ascii="Arial" w:hAnsi="Arial" w:cs="Arial"/>
          <w:sz w:val="24"/>
          <w:szCs w:val="24"/>
        </w:rPr>
        <w:t>]:</w:t>
      </w:r>
    </w:p>
    <w:p w14:paraId="2772B051" w14:textId="15EC0BB4" w:rsidR="00BF4F3D" w:rsidRPr="00F84117" w:rsidRDefault="00BF4F3D" w:rsidP="00F84117">
      <w:pPr>
        <w:pStyle w:val="ListParagraph"/>
        <w:widowControl w:val="0"/>
        <w:spacing w:after="0" w:line="360" w:lineRule="auto"/>
        <w:jc w:val="both"/>
        <w:rPr>
          <w:rFonts w:ascii="Arial" w:hAnsi="Arial" w:cs="Arial"/>
          <w:sz w:val="24"/>
          <w:szCs w:val="24"/>
        </w:rPr>
      </w:pPr>
    </w:p>
    <w:p w14:paraId="549F6B00" w14:textId="7007B543" w:rsidR="00956935" w:rsidRPr="00F84117" w:rsidRDefault="00956935"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rPr>
        <w:t>“</w:t>
      </w:r>
      <w:r w:rsidRPr="00F84117">
        <w:rPr>
          <w:rFonts w:ascii="Arial" w:hAnsi="Arial" w:cs="Arial"/>
          <w:i/>
          <w:iCs/>
        </w:rPr>
        <w:t>[94] Section 33 entrenches the right to administrative action that is 'lawful, reasonable and procedurally fair'. It goes on to provide, however, that '(n)ational legislation must be enacted to give effect to these rights, …</w:t>
      </w:r>
    </w:p>
    <w:p w14:paraId="1F1C9175" w14:textId="0C128EA1" w:rsidR="00956935" w:rsidRPr="00F84117" w:rsidRDefault="00956935"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[95] PAJA is the national legislation that was passed to give effect to the rights contained in s 33. It was clearly intended to be, and in substance is, a codification of these rights. It was required to cover the field and purports to do so.</w:t>
      </w:r>
    </w:p>
    <w:p w14:paraId="2605018F" w14:textId="19D2FE34" w:rsidR="00956935" w:rsidRPr="00F84117" w:rsidRDefault="00956935"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 xml:space="preserve">[96] A litigant cannot avoid the provisions of PAJA by going behind it, and seeking to rely on s 33(1) of the Constitution or the common law. That would defeat the purpose of the Constitution in requiring the rights contained in s 33 </w:t>
      </w:r>
      <w:r w:rsidRPr="00F84117">
        <w:rPr>
          <w:rFonts w:ascii="Arial" w:hAnsi="Arial" w:cs="Arial"/>
          <w:i/>
          <w:iCs/>
        </w:rPr>
        <w:lastRenderedPageBreak/>
        <w:t>to be given effect to by means of national legislation.</w:t>
      </w:r>
    </w:p>
    <w:p w14:paraId="470771A5" w14:textId="08013C9E" w:rsidR="00956935" w:rsidRPr="00F84117" w:rsidRDefault="00956935"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[97] Professor Hoexter sums up the relationship between PAJA, the Constitution and the common law, as follows:</w:t>
      </w:r>
      <w:r w:rsidRPr="00F84117">
        <w:rPr>
          <w:rStyle w:val="mc"/>
          <w:rFonts w:ascii="Arial" w:hAnsi="Arial" w:cs="Arial"/>
          <w:i/>
          <w:iCs/>
          <w:shd w:val="clear" w:color="auto" w:fill="C0C0C0"/>
        </w:rPr>
        <w:t> </w:t>
      </w:r>
    </w:p>
    <w:p w14:paraId="039FB2C4" w14:textId="6D00E3C1" w:rsidR="00956935" w:rsidRPr="00F84117" w:rsidRDefault="00956935" w:rsidP="00F84117">
      <w:pPr>
        <w:pStyle w:val="lrquote"/>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'The principle of legality clearly provides a much-needed safety net when the PAJA does not apply. However, the Act cannot simply be circumvented by resorting directly to the constitutional rights in s 33. This follows logically from the fact that the PAJA gives effect to the constitutional rights. (The PAJA itself can of course be measured against the constitutional rights, but that is not the same thing.) Nor is it possible to sidestep the Act by resorting to the common law. This, too, is logical, since statutes inevitably displace the common law. The common law may be used to inform the meaning of the constitutional rights and of the Act, but it cannot be regarded as an alternative to the Act’.”</w:t>
      </w:r>
    </w:p>
    <w:p w14:paraId="002A6EAA" w14:textId="77777777" w:rsidR="00624325" w:rsidRPr="00F84117" w:rsidRDefault="00624325" w:rsidP="00F84117">
      <w:pPr>
        <w:pStyle w:val="ListParagraph"/>
        <w:widowControl w:val="0"/>
        <w:spacing w:after="0" w:line="360" w:lineRule="auto"/>
        <w:jc w:val="both"/>
        <w:rPr>
          <w:rFonts w:ascii="Arial" w:hAnsi="Arial" w:cs="Arial"/>
          <w:sz w:val="24"/>
          <w:szCs w:val="24"/>
        </w:rPr>
      </w:pPr>
    </w:p>
    <w:p w14:paraId="7A0185B0" w14:textId="333DCE16" w:rsidR="00BF4F3D" w:rsidRPr="00F84117" w:rsidRDefault="00BF4F3D"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have not challenged the constitutionality of PAJA by complaining, for example, that it does not fully give effect to section 33 of the Constitution.  Had that been their case, they would have been compelled by the principle of subsidiarity to bring a direct constitutional challenge in that respect.</w:t>
      </w:r>
      <w:r w:rsidR="00740A86" w:rsidRPr="00F84117">
        <w:rPr>
          <w:rFonts w:ascii="Arial" w:hAnsi="Arial" w:cs="Arial"/>
          <w:sz w:val="24"/>
          <w:szCs w:val="24"/>
        </w:rPr>
        <w:t xml:space="preserve">  Yet, they complain that PAJA does not provide for the remedy that they seek.  This does not entitle them to rely directly on section 33</w:t>
      </w:r>
      <w:r w:rsidR="00F81B80" w:rsidRPr="00F84117">
        <w:rPr>
          <w:rFonts w:ascii="Arial" w:hAnsi="Arial" w:cs="Arial"/>
          <w:sz w:val="24"/>
          <w:szCs w:val="24"/>
        </w:rPr>
        <w:t xml:space="preserve"> in the absence of an attack on the constitutionality of PAJA.  </w:t>
      </w:r>
    </w:p>
    <w:p w14:paraId="21B76A5A" w14:textId="77777777" w:rsidR="00C33A34" w:rsidRPr="00F84117" w:rsidRDefault="00C33A34" w:rsidP="00F84117">
      <w:pPr>
        <w:pStyle w:val="ListParagraph"/>
        <w:widowControl w:val="0"/>
        <w:spacing w:after="0" w:line="360" w:lineRule="auto"/>
        <w:jc w:val="both"/>
        <w:rPr>
          <w:rFonts w:ascii="Arial" w:hAnsi="Arial" w:cs="Arial"/>
          <w:sz w:val="24"/>
          <w:szCs w:val="24"/>
        </w:rPr>
      </w:pPr>
    </w:p>
    <w:p w14:paraId="048948B8" w14:textId="3ACADAF5" w:rsidR="00C33A34" w:rsidRPr="00F84117" w:rsidRDefault="00EA0246"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majority judgment in </w:t>
      </w:r>
      <w:r w:rsidRPr="00F84117">
        <w:rPr>
          <w:rFonts w:ascii="Arial" w:hAnsi="Arial" w:cs="Arial"/>
          <w:i/>
          <w:iCs/>
          <w:sz w:val="24"/>
          <w:szCs w:val="24"/>
        </w:rPr>
        <w:t>My Vote Counts NPC v Speaker of the National Assembly and others</w:t>
      </w:r>
      <w:r w:rsidRPr="00F84117">
        <w:rPr>
          <w:rFonts w:ascii="Arial" w:hAnsi="Arial" w:cs="Arial"/>
          <w:sz w:val="24"/>
          <w:szCs w:val="24"/>
        </w:rPr>
        <w:t xml:space="preserve"> 2016 (a) SA 132 (CC) </w:t>
      </w:r>
      <w:r w:rsidR="00F81B80" w:rsidRPr="00F84117">
        <w:rPr>
          <w:rFonts w:ascii="Arial" w:hAnsi="Arial" w:cs="Arial"/>
          <w:sz w:val="24"/>
          <w:szCs w:val="24"/>
        </w:rPr>
        <w:t>confirmed that the principle of subsidiarity applies</w:t>
      </w:r>
      <w:r w:rsidRPr="00F84117">
        <w:rPr>
          <w:rFonts w:ascii="Arial" w:hAnsi="Arial" w:cs="Arial"/>
          <w:sz w:val="24"/>
          <w:szCs w:val="24"/>
        </w:rPr>
        <w:t xml:space="preserve"> in cases such as the present</w:t>
      </w:r>
      <w:r w:rsidR="00813ADD" w:rsidRPr="00F84117">
        <w:rPr>
          <w:rFonts w:ascii="Arial" w:hAnsi="Arial" w:cs="Arial"/>
          <w:sz w:val="24"/>
          <w:szCs w:val="24"/>
        </w:rPr>
        <w:t xml:space="preserve"> application</w:t>
      </w:r>
      <w:r w:rsidR="009225DF" w:rsidRPr="00F84117">
        <w:rPr>
          <w:rFonts w:ascii="Arial" w:hAnsi="Arial" w:cs="Arial"/>
          <w:sz w:val="24"/>
          <w:szCs w:val="24"/>
        </w:rPr>
        <w:t xml:space="preserve"> (despite the applicants’ argument to the contrary in reliance upon the minority judgment)</w:t>
      </w:r>
      <w:r w:rsidR="00B71336" w:rsidRPr="00F84117">
        <w:rPr>
          <w:rFonts w:ascii="Arial" w:hAnsi="Arial" w:cs="Arial"/>
          <w:sz w:val="24"/>
          <w:szCs w:val="24"/>
        </w:rPr>
        <w:t>:</w:t>
      </w:r>
      <w:r w:rsidR="00F81B80" w:rsidRPr="00F84117">
        <w:rPr>
          <w:rFonts w:ascii="Arial" w:hAnsi="Arial" w:cs="Arial"/>
          <w:sz w:val="24"/>
          <w:szCs w:val="24"/>
        </w:rPr>
        <w:t xml:space="preserve"> </w:t>
      </w:r>
    </w:p>
    <w:p w14:paraId="453D29AD" w14:textId="77777777" w:rsidR="00F81B80" w:rsidRPr="00F84117" w:rsidRDefault="00F81B80" w:rsidP="00F84117">
      <w:pPr>
        <w:pStyle w:val="ListParagraph"/>
        <w:widowControl w:val="0"/>
        <w:spacing w:after="0" w:line="360" w:lineRule="auto"/>
        <w:jc w:val="both"/>
        <w:rPr>
          <w:rFonts w:ascii="Arial" w:hAnsi="Arial" w:cs="Arial"/>
          <w:i/>
          <w:iCs/>
          <w:sz w:val="24"/>
          <w:szCs w:val="24"/>
        </w:rPr>
      </w:pPr>
    </w:p>
    <w:p w14:paraId="6A534DCD" w14:textId="072F284C" w:rsidR="00EA0246" w:rsidRPr="00F84117" w:rsidRDefault="009225DF"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w:t>
      </w:r>
      <w:r w:rsidR="00EA0246" w:rsidRPr="00F84117">
        <w:rPr>
          <w:rFonts w:ascii="Arial" w:hAnsi="Arial" w:cs="Arial"/>
          <w:i/>
          <w:iCs/>
        </w:rPr>
        <w:t>[161] The principle of subsidiarity is a well-established doctrine within this court's jurisprudence.  The essence of the principle was captured by O'Regan J in Mazibuko, where she held that —</w:t>
      </w:r>
    </w:p>
    <w:p w14:paraId="18DC9415" w14:textId="76FC78EF" w:rsidR="00EA0246" w:rsidRPr="00F84117" w:rsidRDefault="00EA0246" w:rsidP="00F84117">
      <w:pPr>
        <w:pStyle w:val="lrquote"/>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'where legislation has been enacted to give effect to a right, a litigant should rely on that legislation in order to give effect to the right or alternatively challenge the legislation as being inconsistent with the Constitution'.</w:t>
      </w:r>
      <w:r w:rsidR="009225DF" w:rsidRPr="00F84117">
        <w:rPr>
          <w:rFonts w:ascii="Arial" w:hAnsi="Arial" w:cs="Arial"/>
          <w:i/>
          <w:iCs/>
        </w:rPr>
        <w:t xml:space="preserve"> </w:t>
      </w:r>
    </w:p>
    <w:p w14:paraId="61299E9A" w14:textId="130362C3" w:rsidR="00EA0246" w:rsidRPr="00F84117" w:rsidRDefault="00EA0246"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 xml:space="preserve">[162] The minority judgment says that subsidiarity does not apply because the validity of PAIA is not in issue. This is difficult to follow. If legislation fails to </w:t>
      </w:r>
      <w:r w:rsidRPr="00F84117">
        <w:rPr>
          <w:rFonts w:ascii="Arial" w:hAnsi="Arial" w:cs="Arial"/>
          <w:i/>
          <w:iCs/>
        </w:rPr>
        <w:lastRenderedPageBreak/>
        <w:t xml:space="preserve">provide sufficiently for the protection of the right contained in s 32(1) of the Constitution, surely it must be invalid to the extent of the insufficiency. Therefore, the assertion of insufficiency puts PAIA's validity in issue. The two are indistinguishable. For that </w:t>
      </w:r>
      <w:proofErr w:type="gramStart"/>
      <w:r w:rsidRPr="00F84117">
        <w:rPr>
          <w:rFonts w:ascii="Arial" w:hAnsi="Arial" w:cs="Arial"/>
          <w:i/>
          <w:iCs/>
        </w:rPr>
        <w:t>reason</w:t>
      </w:r>
      <w:proofErr w:type="gramEnd"/>
      <w:r w:rsidRPr="00F84117">
        <w:rPr>
          <w:rFonts w:ascii="Arial" w:hAnsi="Arial" w:cs="Arial"/>
          <w:i/>
          <w:iCs/>
        </w:rPr>
        <w:t xml:space="preserve"> we say — on this court's jurisprudence — subsidiarity must apply.</w:t>
      </w:r>
    </w:p>
    <w:p w14:paraId="42B21785" w14:textId="4B7262F6" w:rsidR="00F81B80" w:rsidRPr="00F84117" w:rsidRDefault="00813ADD" w:rsidP="00F84117">
      <w:pPr>
        <w:widowControl w:val="0"/>
        <w:spacing w:after="0" w:line="360" w:lineRule="auto"/>
        <w:ind w:left="567" w:firstLine="108"/>
        <w:jc w:val="both"/>
        <w:rPr>
          <w:rFonts w:ascii="Arial" w:hAnsi="Arial" w:cs="Arial"/>
          <w:i/>
          <w:iCs/>
          <w:sz w:val="24"/>
          <w:szCs w:val="24"/>
        </w:rPr>
      </w:pPr>
      <w:r w:rsidRPr="00F84117">
        <w:rPr>
          <w:rFonts w:ascii="Arial" w:hAnsi="Arial" w:cs="Arial"/>
          <w:i/>
          <w:iCs/>
          <w:sz w:val="24"/>
          <w:szCs w:val="24"/>
        </w:rPr>
        <w:t>…</w:t>
      </w:r>
    </w:p>
    <w:p w14:paraId="04F1E611" w14:textId="2EEEF170" w:rsidR="00813ADD" w:rsidRPr="00F84117" w:rsidRDefault="00813ADD"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[180] … if PAIA is the legislation envisaged in s 32(2) of the Constitution, the principle of subsidiarity must definitely apply to this matter. We have already concluded that PAIA</w:t>
      </w:r>
      <w:r w:rsidR="009225DF" w:rsidRPr="00F84117">
        <w:rPr>
          <w:rFonts w:ascii="Arial" w:hAnsi="Arial" w:cs="Arial"/>
          <w:i/>
          <w:iCs/>
        </w:rPr>
        <w:t xml:space="preserve"> </w:t>
      </w:r>
      <w:r w:rsidRPr="00F84117">
        <w:rPr>
          <w:rFonts w:ascii="Arial" w:hAnsi="Arial" w:cs="Arial"/>
          <w:i/>
          <w:iCs/>
        </w:rPr>
        <w:t>is the envisaged legislation.</w:t>
      </w:r>
    </w:p>
    <w:p w14:paraId="4F13D66B" w14:textId="77777777" w:rsidR="00813ADD" w:rsidRPr="00F84117" w:rsidRDefault="00813ADD"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[181] For all the above reasons there is absolutely no reason for the principle of subsidiarity not to apply in this matter.</w:t>
      </w:r>
    </w:p>
    <w:p w14:paraId="30C05F96" w14:textId="020C401E" w:rsidR="00813ADD" w:rsidRPr="00F84117" w:rsidRDefault="00813ADD"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[182] We should not be understood to suggest that the principle of constitutional subsidiarity applies as a hard and fast rule. There are </w:t>
      </w:r>
      <w:r w:rsidRPr="00F84117">
        <w:rPr>
          <w:rStyle w:val="mc"/>
          <w:rFonts w:ascii="Arial" w:hAnsi="Arial" w:cs="Arial"/>
          <w:i/>
          <w:iCs/>
          <w:shd w:val="clear" w:color="auto" w:fill="C0C0C0"/>
        </w:rPr>
        <w:t> </w:t>
      </w:r>
      <w:r w:rsidRPr="00F84117">
        <w:rPr>
          <w:rFonts w:ascii="Arial" w:hAnsi="Arial" w:cs="Arial"/>
          <w:i/>
          <w:iCs/>
        </w:rPr>
        <w:t> decisions in which this court has said that the principle may not apply. </w:t>
      </w:r>
      <w:r w:rsidR="009225DF" w:rsidRPr="00F84117">
        <w:rPr>
          <w:rFonts w:ascii="Arial" w:hAnsi="Arial" w:cs="Arial"/>
          <w:i/>
          <w:iCs/>
        </w:rPr>
        <w:t xml:space="preserve"> </w:t>
      </w:r>
      <w:r w:rsidRPr="00F84117">
        <w:rPr>
          <w:rFonts w:ascii="Arial" w:hAnsi="Arial" w:cs="Arial"/>
          <w:i/>
          <w:iCs/>
        </w:rPr>
        <w:t>This court is yet to develop the principle to a point where the inner and outer contours of its reach are clearly delineated. It is not necessary to do that in this case.</w:t>
      </w:r>
    </w:p>
    <w:p w14:paraId="5F1FD335" w14:textId="0EE88EFF" w:rsidR="00813ADD" w:rsidRPr="00F84117" w:rsidRDefault="00813ADD" w:rsidP="00F84117">
      <w:pPr>
        <w:pStyle w:val="lrpara"/>
        <w:widowControl w:val="0"/>
        <w:shd w:val="clear" w:color="auto" w:fill="FFFFFF"/>
        <w:spacing w:before="0" w:beforeAutospacing="0" w:after="0" w:afterAutospacing="0" w:line="360" w:lineRule="auto"/>
        <w:ind w:left="675"/>
        <w:jc w:val="both"/>
        <w:rPr>
          <w:rFonts w:ascii="Arial" w:hAnsi="Arial" w:cs="Arial"/>
          <w:i/>
          <w:iCs/>
        </w:rPr>
      </w:pPr>
      <w:r w:rsidRPr="00F84117">
        <w:rPr>
          <w:rFonts w:ascii="Arial" w:hAnsi="Arial" w:cs="Arial"/>
          <w:i/>
          <w:iCs/>
        </w:rPr>
        <w:t>[183] Having concluded that PAIA is the required legislation under s 32(2) of the Constitution, the next question is whether it has been challenged. If it has not been, the applicant is in breach of the principle of subsidiarity</w:t>
      </w:r>
      <w:r w:rsidR="009225DF" w:rsidRPr="00F84117">
        <w:rPr>
          <w:rFonts w:ascii="Arial" w:hAnsi="Arial" w:cs="Arial"/>
          <w:i/>
          <w:iCs/>
        </w:rPr>
        <w:t>.”</w:t>
      </w:r>
    </w:p>
    <w:p w14:paraId="7E4B448A" w14:textId="77777777" w:rsidR="00813ADD" w:rsidRPr="00F84117" w:rsidRDefault="00813ADD" w:rsidP="00F84117">
      <w:pPr>
        <w:widowControl w:val="0"/>
        <w:spacing w:after="0" w:line="360" w:lineRule="auto"/>
        <w:ind w:left="567"/>
        <w:jc w:val="both"/>
        <w:rPr>
          <w:rFonts w:ascii="Arial" w:hAnsi="Arial" w:cs="Arial"/>
          <w:sz w:val="24"/>
          <w:szCs w:val="24"/>
        </w:rPr>
      </w:pPr>
    </w:p>
    <w:p w14:paraId="62D0DA4A" w14:textId="77777777" w:rsidR="00D30792" w:rsidRPr="00F84117" w:rsidRDefault="009471F9" w:rsidP="00F84117">
      <w:pPr>
        <w:pStyle w:val="ListParagraph"/>
        <w:widowControl w:val="0"/>
        <w:numPr>
          <w:ilvl w:val="0"/>
          <w:numId w:val="3"/>
        </w:numPr>
        <w:spacing w:after="0" w:line="360" w:lineRule="auto"/>
        <w:ind w:left="630" w:hanging="630"/>
        <w:jc w:val="both"/>
        <w:rPr>
          <w:rFonts w:ascii="Arial" w:hAnsi="Arial" w:cs="Arial"/>
          <w:sz w:val="24"/>
          <w:szCs w:val="24"/>
        </w:rPr>
      </w:pPr>
      <w:r w:rsidRPr="00F84117">
        <w:rPr>
          <w:rFonts w:ascii="Arial" w:hAnsi="Arial" w:cs="Arial"/>
          <w:sz w:val="24"/>
          <w:szCs w:val="24"/>
        </w:rPr>
        <w:t xml:space="preserve">It follows that the applicants are not entitled to by-pass PAJA in direct reliance upon section 33 of the Constitution.  The case of </w:t>
      </w:r>
      <w:r w:rsidRPr="00F84117">
        <w:rPr>
          <w:rFonts w:ascii="Arial" w:hAnsi="Arial" w:cs="Arial"/>
          <w:i/>
          <w:iCs/>
          <w:sz w:val="24"/>
          <w:szCs w:val="24"/>
        </w:rPr>
        <w:t>Esorfranki</w:t>
      </w:r>
      <w:r w:rsidRPr="00F84117">
        <w:rPr>
          <w:rFonts w:ascii="Arial" w:hAnsi="Arial" w:cs="Arial"/>
          <w:sz w:val="24"/>
          <w:szCs w:val="24"/>
        </w:rPr>
        <w:t xml:space="preserve"> does not assist the applicants in the context of the present matter, because in that matter </w:t>
      </w:r>
      <w:r w:rsidR="00AE40B1" w:rsidRPr="00F84117">
        <w:rPr>
          <w:rFonts w:ascii="Arial" w:hAnsi="Arial" w:cs="Arial"/>
          <w:sz w:val="24"/>
          <w:szCs w:val="24"/>
        </w:rPr>
        <w:t xml:space="preserve">the administrative authority had in fact had more than one opportunity at reaching an administrative decision.  It was only upon the authority’s further unlawful decision-making that the Court </w:t>
      </w:r>
      <w:r w:rsidR="00FD0954" w:rsidRPr="00F84117">
        <w:rPr>
          <w:rFonts w:ascii="Arial" w:hAnsi="Arial" w:cs="Arial"/>
          <w:sz w:val="24"/>
          <w:szCs w:val="24"/>
        </w:rPr>
        <w:t>interfered as set out earlier above</w:t>
      </w:r>
    </w:p>
    <w:p w14:paraId="72306DC9" w14:textId="77777777" w:rsidR="00D30792" w:rsidRPr="00F84117" w:rsidRDefault="00D30792" w:rsidP="00F84117">
      <w:pPr>
        <w:pStyle w:val="ListParagraph"/>
        <w:widowControl w:val="0"/>
        <w:spacing w:after="0" w:line="360" w:lineRule="auto"/>
        <w:ind w:left="630"/>
        <w:jc w:val="both"/>
        <w:rPr>
          <w:rFonts w:ascii="Arial" w:hAnsi="Arial" w:cs="Arial"/>
          <w:sz w:val="24"/>
          <w:szCs w:val="24"/>
        </w:rPr>
      </w:pPr>
    </w:p>
    <w:p w14:paraId="4FF2C27E" w14:textId="77777777" w:rsidR="003864D2" w:rsidRPr="00F84117" w:rsidRDefault="003D05AA" w:rsidP="00F84117">
      <w:pPr>
        <w:pStyle w:val="ListParagraph"/>
        <w:widowControl w:val="0"/>
        <w:numPr>
          <w:ilvl w:val="0"/>
          <w:numId w:val="3"/>
        </w:numPr>
        <w:spacing w:after="0" w:line="360" w:lineRule="auto"/>
        <w:ind w:left="630" w:hanging="630"/>
        <w:jc w:val="both"/>
        <w:rPr>
          <w:rFonts w:ascii="Arial" w:hAnsi="Arial" w:cs="Arial"/>
          <w:sz w:val="24"/>
          <w:szCs w:val="24"/>
        </w:rPr>
      </w:pPr>
      <w:r w:rsidRPr="00F84117">
        <w:rPr>
          <w:rFonts w:ascii="Arial" w:hAnsi="Arial" w:cs="Arial"/>
          <w:sz w:val="24"/>
          <w:szCs w:val="24"/>
        </w:rPr>
        <w:t>The applicants</w:t>
      </w:r>
      <w:r w:rsidR="00D30792" w:rsidRPr="00F84117">
        <w:rPr>
          <w:rFonts w:ascii="Arial" w:hAnsi="Arial" w:cs="Arial"/>
          <w:sz w:val="24"/>
          <w:szCs w:val="24"/>
        </w:rPr>
        <w:t>’</w:t>
      </w:r>
      <w:r w:rsidRPr="00F84117">
        <w:rPr>
          <w:rFonts w:ascii="Arial" w:hAnsi="Arial" w:cs="Arial"/>
          <w:sz w:val="24"/>
          <w:szCs w:val="24"/>
        </w:rPr>
        <w:t xml:space="preserve"> reliance </w:t>
      </w:r>
      <w:r w:rsidR="00D30792" w:rsidRPr="00F84117">
        <w:rPr>
          <w:rFonts w:ascii="Arial" w:hAnsi="Arial" w:cs="Arial"/>
          <w:sz w:val="24"/>
          <w:szCs w:val="24"/>
        </w:rPr>
        <w:t>on parag</w:t>
      </w:r>
      <w:r w:rsidR="003864D2" w:rsidRPr="00F84117">
        <w:rPr>
          <w:rFonts w:ascii="Arial" w:hAnsi="Arial" w:cs="Arial"/>
          <w:sz w:val="24"/>
          <w:szCs w:val="24"/>
        </w:rPr>
        <w:t>r</w:t>
      </w:r>
      <w:r w:rsidR="00D30792" w:rsidRPr="00F84117">
        <w:rPr>
          <w:rFonts w:ascii="Arial" w:hAnsi="Arial" w:cs="Arial"/>
          <w:sz w:val="24"/>
          <w:szCs w:val="24"/>
        </w:rPr>
        <w:t>ap</w:t>
      </w:r>
      <w:r w:rsidR="003864D2" w:rsidRPr="00F84117">
        <w:rPr>
          <w:rFonts w:ascii="Arial" w:hAnsi="Arial" w:cs="Arial"/>
          <w:sz w:val="24"/>
          <w:szCs w:val="24"/>
        </w:rPr>
        <w:t>h</w:t>
      </w:r>
      <w:r w:rsidR="00D30792" w:rsidRPr="00F84117">
        <w:rPr>
          <w:rFonts w:ascii="Arial" w:hAnsi="Arial" w:cs="Arial"/>
          <w:sz w:val="24"/>
          <w:szCs w:val="24"/>
        </w:rPr>
        <w:t xml:space="preserve"> (cc) of the </w:t>
      </w:r>
      <w:r w:rsidRPr="00F84117">
        <w:rPr>
          <w:rFonts w:ascii="Arial" w:hAnsi="Arial" w:cs="Arial"/>
          <w:sz w:val="24"/>
          <w:szCs w:val="24"/>
        </w:rPr>
        <w:t xml:space="preserve">definition of administrative action in </w:t>
      </w:r>
      <w:r w:rsidR="003864D2" w:rsidRPr="00F84117">
        <w:rPr>
          <w:rFonts w:ascii="Arial" w:hAnsi="Arial" w:cs="Arial"/>
          <w:sz w:val="24"/>
          <w:szCs w:val="24"/>
        </w:rPr>
        <w:t>PAJA</w:t>
      </w:r>
      <w:r w:rsidRPr="00F84117">
        <w:rPr>
          <w:rFonts w:ascii="Arial" w:hAnsi="Arial" w:cs="Arial"/>
          <w:sz w:val="24"/>
          <w:szCs w:val="24"/>
        </w:rPr>
        <w:t xml:space="preserve"> </w:t>
      </w:r>
      <w:r w:rsidR="003864D2" w:rsidRPr="00F84117">
        <w:rPr>
          <w:rFonts w:ascii="Arial" w:hAnsi="Arial" w:cs="Arial"/>
          <w:sz w:val="24"/>
          <w:szCs w:val="24"/>
        </w:rPr>
        <w:t xml:space="preserve">is </w:t>
      </w:r>
      <w:r w:rsidRPr="00F84117">
        <w:rPr>
          <w:rFonts w:ascii="Arial" w:hAnsi="Arial" w:cs="Arial"/>
          <w:sz w:val="24"/>
          <w:szCs w:val="24"/>
        </w:rPr>
        <w:t>misplaced. That paragraph excludes from the ambit of</w:t>
      </w:r>
      <w:r w:rsidR="003864D2" w:rsidRPr="00F84117">
        <w:rPr>
          <w:rFonts w:ascii="Arial" w:hAnsi="Arial" w:cs="Arial"/>
          <w:sz w:val="24"/>
          <w:szCs w:val="24"/>
        </w:rPr>
        <w:t xml:space="preserve"> PAJA</w:t>
      </w:r>
      <w:r w:rsidRPr="00F84117">
        <w:rPr>
          <w:rFonts w:ascii="Arial" w:hAnsi="Arial" w:cs="Arial"/>
          <w:sz w:val="24"/>
          <w:szCs w:val="24"/>
        </w:rPr>
        <w:t xml:space="preserve"> the executive powers or functions of a municipal council.</w:t>
      </w:r>
      <w:r w:rsidR="003864D2" w:rsidRPr="00F84117">
        <w:rPr>
          <w:rFonts w:ascii="Arial" w:hAnsi="Arial" w:cs="Arial"/>
          <w:sz w:val="24"/>
          <w:szCs w:val="24"/>
        </w:rPr>
        <w:t xml:space="preserve"> A</w:t>
      </w:r>
      <w:r w:rsidRPr="00F84117">
        <w:rPr>
          <w:rFonts w:ascii="Arial" w:hAnsi="Arial" w:cs="Arial"/>
          <w:sz w:val="24"/>
          <w:szCs w:val="24"/>
        </w:rPr>
        <w:t xml:space="preserve"> decision of the </w:t>
      </w:r>
      <w:r w:rsidR="003864D2" w:rsidRPr="00F84117">
        <w:rPr>
          <w:rFonts w:ascii="Arial" w:hAnsi="Arial" w:cs="Arial"/>
          <w:sz w:val="24"/>
          <w:szCs w:val="24"/>
        </w:rPr>
        <w:t>M</w:t>
      </w:r>
      <w:r w:rsidRPr="00F84117">
        <w:rPr>
          <w:rFonts w:ascii="Arial" w:hAnsi="Arial" w:cs="Arial"/>
          <w:sz w:val="24"/>
          <w:szCs w:val="24"/>
        </w:rPr>
        <w:t xml:space="preserve">unicipal </w:t>
      </w:r>
      <w:r w:rsidR="003864D2" w:rsidRPr="00F84117">
        <w:rPr>
          <w:rFonts w:ascii="Arial" w:hAnsi="Arial" w:cs="Arial"/>
          <w:sz w:val="24"/>
          <w:szCs w:val="24"/>
        </w:rPr>
        <w:t>P</w:t>
      </w:r>
      <w:r w:rsidRPr="00F84117">
        <w:rPr>
          <w:rFonts w:ascii="Arial" w:hAnsi="Arial" w:cs="Arial"/>
          <w:sz w:val="24"/>
          <w:szCs w:val="24"/>
        </w:rPr>
        <w:t xml:space="preserve">lanning </w:t>
      </w:r>
      <w:r w:rsidR="003864D2" w:rsidRPr="00F84117">
        <w:rPr>
          <w:rFonts w:ascii="Arial" w:hAnsi="Arial" w:cs="Arial"/>
          <w:sz w:val="24"/>
          <w:szCs w:val="24"/>
        </w:rPr>
        <w:t>T</w:t>
      </w:r>
      <w:r w:rsidRPr="00F84117">
        <w:rPr>
          <w:rFonts w:ascii="Arial" w:hAnsi="Arial" w:cs="Arial"/>
          <w:sz w:val="24"/>
          <w:szCs w:val="24"/>
        </w:rPr>
        <w:t xml:space="preserve">ribunal in a </w:t>
      </w:r>
      <w:r w:rsidR="003864D2" w:rsidRPr="00F84117">
        <w:rPr>
          <w:rFonts w:ascii="Arial" w:hAnsi="Arial" w:cs="Arial"/>
          <w:sz w:val="24"/>
          <w:szCs w:val="24"/>
        </w:rPr>
        <w:t>rezoning application</w:t>
      </w:r>
      <w:r w:rsidRPr="00F84117">
        <w:rPr>
          <w:rFonts w:ascii="Arial" w:hAnsi="Arial" w:cs="Arial"/>
          <w:sz w:val="24"/>
          <w:szCs w:val="24"/>
        </w:rPr>
        <w:t>, and the process</w:t>
      </w:r>
      <w:r w:rsidR="003864D2" w:rsidRPr="00F84117">
        <w:rPr>
          <w:rFonts w:ascii="Arial" w:hAnsi="Arial" w:cs="Arial"/>
          <w:sz w:val="24"/>
          <w:szCs w:val="24"/>
        </w:rPr>
        <w:t xml:space="preserve">es that precede it, </w:t>
      </w:r>
      <w:r w:rsidRPr="00F84117">
        <w:rPr>
          <w:rFonts w:ascii="Arial" w:hAnsi="Arial" w:cs="Arial"/>
          <w:sz w:val="24"/>
          <w:szCs w:val="24"/>
        </w:rPr>
        <w:t xml:space="preserve">is not the exercise of </w:t>
      </w:r>
      <w:r w:rsidR="003864D2" w:rsidRPr="00F84117">
        <w:rPr>
          <w:rFonts w:ascii="Arial" w:hAnsi="Arial" w:cs="Arial"/>
          <w:sz w:val="24"/>
          <w:szCs w:val="24"/>
        </w:rPr>
        <w:t xml:space="preserve">the </w:t>
      </w:r>
      <w:r w:rsidRPr="00F84117">
        <w:rPr>
          <w:rFonts w:ascii="Arial" w:hAnsi="Arial" w:cs="Arial"/>
          <w:sz w:val="24"/>
          <w:szCs w:val="24"/>
        </w:rPr>
        <w:t xml:space="preserve">executive powers of functions of the municipal council. Whilst those executive powers and functions are on sound constitutional and policy grounds excluded from the scope of </w:t>
      </w:r>
      <w:r w:rsidR="003864D2" w:rsidRPr="00F84117">
        <w:rPr>
          <w:rFonts w:ascii="Arial" w:hAnsi="Arial" w:cs="Arial"/>
          <w:sz w:val="24"/>
          <w:szCs w:val="24"/>
        </w:rPr>
        <w:t>PAJA</w:t>
      </w:r>
      <w:r w:rsidRPr="00F84117">
        <w:rPr>
          <w:rFonts w:ascii="Arial" w:hAnsi="Arial" w:cs="Arial"/>
          <w:sz w:val="24"/>
          <w:szCs w:val="24"/>
        </w:rPr>
        <w:t xml:space="preserve">, because </w:t>
      </w:r>
      <w:r w:rsidRPr="00F84117">
        <w:rPr>
          <w:rFonts w:ascii="Arial" w:hAnsi="Arial" w:cs="Arial"/>
          <w:sz w:val="24"/>
          <w:szCs w:val="24"/>
        </w:rPr>
        <w:lastRenderedPageBreak/>
        <w:t xml:space="preserve">they are not of an administrative nature and therefore should not be constrained by the provisions of </w:t>
      </w:r>
      <w:r w:rsidR="003864D2" w:rsidRPr="00F84117">
        <w:rPr>
          <w:rFonts w:ascii="Arial" w:hAnsi="Arial" w:cs="Arial"/>
          <w:sz w:val="24"/>
          <w:szCs w:val="24"/>
        </w:rPr>
        <w:t>PAJA</w:t>
      </w:r>
      <w:r w:rsidRPr="00F84117">
        <w:rPr>
          <w:rFonts w:ascii="Arial" w:hAnsi="Arial" w:cs="Arial"/>
          <w:sz w:val="24"/>
          <w:szCs w:val="24"/>
        </w:rPr>
        <w:t xml:space="preserve">, there is no question that the </w:t>
      </w:r>
      <w:r w:rsidR="003864D2" w:rsidRPr="00F84117">
        <w:rPr>
          <w:rFonts w:ascii="Arial" w:hAnsi="Arial" w:cs="Arial"/>
          <w:sz w:val="24"/>
          <w:szCs w:val="24"/>
        </w:rPr>
        <w:t>Municipal P</w:t>
      </w:r>
      <w:r w:rsidRPr="00F84117">
        <w:rPr>
          <w:rFonts w:ascii="Arial" w:hAnsi="Arial" w:cs="Arial"/>
          <w:sz w:val="24"/>
          <w:szCs w:val="24"/>
        </w:rPr>
        <w:t xml:space="preserve">lanning </w:t>
      </w:r>
      <w:r w:rsidR="003864D2" w:rsidRPr="00F84117">
        <w:rPr>
          <w:rFonts w:ascii="Arial" w:hAnsi="Arial" w:cs="Arial"/>
          <w:sz w:val="24"/>
          <w:szCs w:val="24"/>
        </w:rPr>
        <w:t>T</w:t>
      </w:r>
      <w:r w:rsidRPr="00F84117">
        <w:rPr>
          <w:rFonts w:ascii="Arial" w:hAnsi="Arial" w:cs="Arial"/>
          <w:sz w:val="24"/>
          <w:szCs w:val="24"/>
        </w:rPr>
        <w:t>ribunal's decision</w:t>
      </w:r>
      <w:r w:rsidR="003864D2" w:rsidRPr="00F84117">
        <w:rPr>
          <w:rFonts w:ascii="Arial" w:hAnsi="Arial" w:cs="Arial"/>
          <w:sz w:val="24"/>
          <w:szCs w:val="24"/>
        </w:rPr>
        <w:t>s</w:t>
      </w:r>
      <w:r w:rsidRPr="00F84117">
        <w:rPr>
          <w:rFonts w:ascii="Arial" w:hAnsi="Arial" w:cs="Arial"/>
          <w:sz w:val="24"/>
          <w:szCs w:val="24"/>
        </w:rPr>
        <w:t xml:space="preserve"> in </w:t>
      </w:r>
      <w:r w:rsidR="003864D2" w:rsidRPr="00F84117">
        <w:rPr>
          <w:rFonts w:ascii="Arial" w:hAnsi="Arial" w:cs="Arial"/>
          <w:sz w:val="24"/>
          <w:szCs w:val="24"/>
        </w:rPr>
        <w:t>rezoning applications constitute</w:t>
      </w:r>
      <w:r w:rsidRPr="00F84117">
        <w:rPr>
          <w:rFonts w:ascii="Arial" w:hAnsi="Arial" w:cs="Arial"/>
          <w:sz w:val="24"/>
          <w:szCs w:val="24"/>
        </w:rPr>
        <w:t xml:space="preserve"> administrative action.</w:t>
      </w:r>
    </w:p>
    <w:p w14:paraId="2F1C4A72" w14:textId="77777777" w:rsidR="003864D2" w:rsidRPr="00F84117" w:rsidRDefault="003864D2" w:rsidP="00F84117">
      <w:pPr>
        <w:pStyle w:val="ListParagraph"/>
        <w:spacing w:after="0" w:line="360" w:lineRule="auto"/>
        <w:jc w:val="both"/>
        <w:rPr>
          <w:rFonts w:ascii="Arial" w:hAnsi="Arial" w:cs="Arial"/>
          <w:sz w:val="24"/>
          <w:szCs w:val="24"/>
        </w:rPr>
      </w:pPr>
    </w:p>
    <w:p w14:paraId="5D191153" w14:textId="77777777" w:rsidR="00553FA8" w:rsidRPr="00F84117" w:rsidRDefault="003D05AA" w:rsidP="00F84117">
      <w:pPr>
        <w:pStyle w:val="ListParagraph"/>
        <w:widowControl w:val="0"/>
        <w:numPr>
          <w:ilvl w:val="0"/>
          <w:numId w:val="3"/>
        </w:numPr>
        <w:spacing w:after="0" w:line="360" w:lineRule="auto"/>
        <w:ind w:left="630" w:hanging="630"/>
        <w:jc w:val="both"/>
        <w:rPr>
          <w:rFonts w:ascii="Arial" w:hAnsi="Arial" w:cs="Arial"/>
          <w:sz w:val="24"/>
          <w:szCs w:val="24"/>
        </w:rPr>
      </w:pPr>
      <w:r w:rsidRPr="00F84117">
        <w:rPr>
          <w:rFonts w:ascii="Arial" w:hAnsi="Arial" w:cs="Arial"/>
          <w:sz w:val="24"/>
          <w:szCs w:val="24"/>
        </w:rPr>
        <w:t xml:space="preserve">The parallel that the applicants seek to draw between the executive powers of the municipal council and the process leading </w:t>
      </w:r>
      <w:r w:rsidR="003864D2" w:rsidRPr="00F84117">
        <w:rPr>
          <w:rFonts w:ascii="Arial" w:hAnsi="Arial" w:cs="Arial"/>
          <w:sz w:val="24"/>
          <w:szCs w:val="24"/>
        </w:rPr>
        <w:t xml:space="preserve">up </w:t>
      </w:r>
      <w:r w:rsidRPr="00F84117">
        <w:rPr>
          <w:rFonts w:ascii="Arial" w:hAnsi="Arial" w:cs="Arial"/>
          <w:sz w:val="24"/>
          <w:szCs w:val="24"/>
        </w:rPr>
        <w:t xml:space="preserve">to a rezoning </w:t>
      </w:r>
      <w:r w:rsidR="003864D2" w:rsidRPr="00F84117">
        <w:rPr>
          <w:rFonts w:ascii="Arial" w:hAnsi="Arial" w:cs="Arial"/>
          <w:sz w:val="24"/>
          <w:szCs w:val="24"/>
        </w:rPr>
        <w:t>application so as to argue</w:t>
      </w:r>
      <w:r w:rsidRPr="00F84117">
        <w:rPr>
          <w:rFonts w:ascii="Arial" w:hAnsi="Arial" w:cs="Arial"/>
          <w:sz w:val="24"/>
          <w:szCs w:val="24"/>
        </w:rPr>
        <w:t xml:space="preserve"> that scrutiny of both powers is to be found somewhere other than under P</w:t>
      </w:r>
      <w:r w:rsidR="003864D2" w:rsidRPr="00F84117">
        <w:rPr>
          <w:rFonts w:ascii="Arial" w:hAnsi="Arial" w:cs="Arial"/>
          <w:sz w:val="24"/>
          <w:szCs w:val="24"/>
        </w:rPr>
        <w:t>AJA</w:t>
      </w:r>
      <w:r w:rsidRPr="00F84117">
        <w:rPr>
          <w:rFonts w:ascii="Arial" w:hAnsi="Arial" w:cs="Arial"/>
          <w:sz w:val="24"/>
          <w:szCs w:val="24"/>
        </w:rPr>
        <w:t xml:space="preserve">, is </w:t>
      </w:r>
      <w:r w:rsidR="003864D2" w:rsidRPr="00F84117">
        <w:rPr>
          <w:rFonts w:ascii="Arial" w:hAnsi="Arial" w:cs="Arial"/>
          <w:sz w:val="24"/>
          <w:szCs w:val="24"/>
        </w:rPr>
        <w:t>incorrect</w:t>
      </w:r>
      <w:r w:rsidRPr="00F84117">
        <w:rPr>
          <w:rFonts w:ascii="Arial" w:hAnsi="Arial" w:cs="Arial"/>
          <w:sz w:val="24"/>
          <w:szCs w:val="24"/>
        </w:rPr>
        <w:t xml:space="preserve">. The former is expressly excluded from the scope of </w:t>
      </w:r>
      <w:r w:rsidR="003864D2" w:rsidRPr="00F84117">
        <w:rPr>
          <w:rFonts w:ascii="Arial" w:hAnsi="Arial" w:cs="Arial"/>
          <w:sz w:val="24"/>
          <w:szCs w:val="24"/>
        </w:rPr>
        <w:t>PAJA</w:t>
      </w:r>
      <w:r w:rsidRPr="00F84117">
        <w:rPr>
          <w:rFonts w:ascii="Arial" w:hAnsi="Arial" w:cs="Arial"/>
          <w:sz w:val="24"/>
          <w:szCs w:val="24"/>
        </w:rPr>
        <w:t xml:space="preserve"> because executive municipal council decisions are not administrative in nature. The latter falls outside of the scope of </w:t>
      </w:r>
      <w:r w:rsidR="003864D2" w:rsidRPr="00F84117">
        <w:rPr>
          <w:rFonts w:ascii="Arial" w:hAnsi="Arial" w:cs="Arial"/>
          <w:sz w:val="24"/>
          <w:szCs w:val="24"/>
        </w:rPr>
        <w:t>PAJA</w:t>
      </w:r>
      <w:r w:rsidRPr="00F84117">
        <w:rPr>
          <w:rFonts w:ascii="Arial" w:hAnsi="Arial" w:cs="Arial"/>
          <w:sz w:val="24"/>
          <w:szCs w:val="24"/>
        </w:rPr>
        <w:t xml:space="preserve"> because it is not reviewable at all in the absence of a decision, or the failure to take a decision</w:t>
      </w:r>
      <w:r w:rsidR="003864D2" w:rsidRPr="00F84117">
        <w:rPr>
          <w:rFonts w:ascii="Arial" w:hAnsi="Arial" w:cs="Arial"/>
          <w:sz w:val="24"/>
          <w:szCs w:val="24"/>
        </w:rPr>
        <w:t>, as contemplated in PAJA</w:t>
      </w:r>
      <w:r w:rsidRPr="00F84117">
        <w:rPr>
          <w:rFonts w:ascii="Arial" w:hAnsi="Arial" w:cs="Arial"/>
          <w:sz w:val="24"/>
          <w:szCs w:val="24"/>
        </w:rPr>
        <w:t>.</w:t>
      </w:r>
    </w:p>
    <w:p w14:paraId="25BA9424" w14:textId="77777777" w:rsidR="00553FA8" w:rsidRPr="00F84117" w:rsidRDefault="00553FA8" w:rsidP="00F84117">
      <w:pPr>
        <w:pStyle w:val="ListParagraph"/>
        <w:spacing w:after="0" w:line="360" w:lineRule="auto"/>
        <w:jc w:val="both"/>
        <w:rPr>
          <w:rFonts w:ascii="Arial" w:hAnsi="Arial" w:cs="Arial"/>
          <w:sz w:val="24"/>
          <w:szCs w:val="24"/>
        </w:rPr>
      </w:pPr>
    </w:p>
    <w:p w14:paraId="2179B6E5" w14:textId="3AB97EB6" w:rsidR="003D05AA" w:rsidRPr="00F84117" w:rsidRDefault="003D05AA" w:rsidP="00F84117">
      <w:pPr>
        <w:pStyle w:val="ListParagraph"/>
        <w:widowControl w:val="0"/>
        <w:numPr>
          <w:ilvl w:val="0"/>
          <w:numId w:val="3"/>
        </w:numPr>
        <w:spacing w:after="0" w:line="360" w:lineRule="auto"/>
        <w:ind w:left="630" w:hanging="630"/>
        <w:jc w:val="both"/>
        <w:rPr>
          <w:rFonts w:ascii="Arial" w:hAnsi="Arial" w:cs="Arial"/>
          <w:sz w:val="24"/>
          <w:szCs w:val="24"/>
        </w:rPr>
      </w:pPr>
      <w:r w:rsidRPr="00F84117">
        <w:rPr>
          <w:rFonts w:ascii="Arial" w:hAnsi="Arial" w:cs="Arial"/>
          <w:sz w:val="24"/>
          <w:szCs w:val="24"/>
        </w:rPr>
        <w:t>Contrary to the applicants</w:t>
      </w:r>
      <w:r w:rsidR="00553FA8" w:rsidRPr="00F84117">
        <w:rPr>
          <w:rFonts w:ascii="Arial" w:hAnsi="Arial" w:cs="Arial"/>
          <w:sz w:val="24"/>
          <w:szCs w:val="24"/>
        </w:rPr>
        <w:t>’</w:t>
      </w:r>
      <w:r w:rsidRPr="00F84117">
        <w:rPr>
          <w:rFonts w:ascii="Arial" w:hAnsi="Arial" w:cs="Arial"/>
          <w:sz w:val="24"/>
          <w:szCs w:val="24"/>
        </w:rPr>
        <w:t xml:space="preserve"> contentions</w:t>
      </w:r>
      <w:r w:rsidR="00553FA8" w:rsidRPr="00F84117">
        <w:rPr>
          <w:rFonts w:ascii="Arial" w:hAnsi="Arial" w:cs="Arial"/>
          <w:sz w:val="24"/>
          <w:szCs w:val="24"/>
        </w:rPr>
        <w:t>,</w:t>
      </w:r>
      <w:r w:rsidRPr="00F84117">
        <w:rPr>
          <w:rFonts w:ascii="Arial" w:hAnsi="Arial" w:cs="Arial"/>
          <w:sz w:val="24"/>
          <w:szCs w:val="24"/>
        </w:rPr>
        <w:t xml:space="preserve"> therefore</w:t>
      </w:r>
      <w:r w:rsidR="00553FA8" w:rsidRPr="00F84117">
        <w:rPr>
          <w:rFonts w:ascii="Arial" w:hAnsi="Arial" w:cs="Arial"/>
          <w:sz w:val="24"/>
          <w:szCs w:val="24"/>
        </w:rPr>
        <w:t>,</w:t>
      </w:r>
      <w:r w:rsidRPr="00F84117">
        <w:rPr>
          <w:rFonts w:ascii="Arial" w:hAnsi="Arial" w:cs="Arial"/>
          <w:sz w:val="24"/>
          <w:szCs w:val="24"/>
        </w:rPr>
        <w:t xml:space="preserve"> the legislature did not intend to permit litigants in the position of the applicants to seek a </w:t>
      </w:r>
      <w:r w:rsidR="00553FA8" w:rsidRPr="00F84117">
        <w:rPr>
          <w:rFonts w:ascii="Arial" w:hAnsi="Arial" w:cs="Arial"/>
          <w:sz w:val="24"/>
          <w:szCs w:val="24"/>
        </w:rPr>
        <w:t>“</w:t>
      </w:r>
      <w:r w:rsidRPr="00F84117">
        <w:rPr>
          <w:rFonts w:ascii="Arial" w:hAnsi="Arial" w:cs="Arial"/>
          <w:sz w:val="24"/>
          <w:szCs w:val="24"/>
        </w:rPr>
        <w:t>general adequate constitutional remedy</w:t>
      </w:r>
      <w:r w:rsidR="00553FA8" w:rsidRPr="00F84117">
        <w:rPr>
          <w:rFonts w:ascii="Arial" w:hAnsi="Arial" w:cs="Arial"/>
          <w:sz w:val="24"/>
          <w:szCs w:val="24"/>
        </w:rPr>
        <w:t>”</w:t>
      </w:r>
      <w:r w:rsidRPr="00F84117">
        <w:rPr>
          <w:rFonts w:ascii="Arial" w:hAnsi="Arial" w:cs="Arial"/>
          <w:sz w:val="24"/>
          <w:szCs w:val="24"/>
        </w:rPr>
        <w:t xml:space="preserve"> outside of P</w:t>
      </w:r>
      <w:r w:rsidR="00553FA8" w:rsidRPr="00F84117">
        <w:rPr>
          <w:rFonts w:ascii="Arial" w:hAnsi="Arial" w:cs="Arial"/>
          <w:sz w:val="24"/>
          <w:szCs w:val="24"/>
        </w:rPr>
        <w:t xml:space="preserve">AJA.  This much is clear from the </w:t>
      </w:r>
      <w:r w:rsidRPr="00F84117">
        <w:rPr>
          <w:rFonts w:ascii="Arial" w:hAnsi="Arial" w:cs="Arial"/>
          <w:sz w:val="24"/>
          <w:szCs w:val="24"/>
        </w:rPr>
        <w:t>prevailing authorities. On the contrary, by confining the definition of administrative action to a decision or failure to take a decision, the legislature decided to remove from the scope of judicial review the process leading to a decision until such time as the decision is made</w:t>
      </w:r>
      <w:r w:rsidR="00553FA8" w:rsidRPr="00F84117">
        <w:rPr>
          <w:rFonts w:ascii="Arial" w:hAnsi="Arial" w:cs="Arial"/>
          <w:sz w:val="24"/>
          <w:szCs w:val="24"/>
        </w:rPr>
        <w:t>,</w:t>
      </w:r>
      <w:r w:rsidRPr="00F84117">
        <w:rPr>
          <w:rFonts w:ascii="Arial" w:hAnsi="Arial" w:cs="Arial"/>
          <w:sz w:val="24"/>
          <w:szCs w:val="24"/>
        </w:rPr>
        <w:t xml:space="preserve"> at which point the process </w:t>
      </w:r>
      <w:r w:rsidR="00553FA8" w:rsidRPr="00F84117">
        <w:rPr>
          <w:rFonts w:ascii="Arial" w:hAnsi="Arial" w:cs="Arial"/>
          <w:sz w:val="24"/>
          <w:szCs w:val="24"/>
        </w:rPr>
        <w:t xml:space="preserve">together with the decision </w:t>
      </w:r>
      <w:r w:rsidRPr="00F84117">
        <w:rPr>
          <w:rFonts w:ascii="Arial" w:hAnsi="Arial" w:cs="Arial"/>
          <w:sz w:val="24"/>
          <w:szCs w:val="24"/>
        </w:rPr>
        <w:t xml:space="preserve">may be subject to scrutiny. </w:t>
      </w:r>
    </w:p>
    <w:p w14:paraId="556A3E51" w14:textId="77777777" w:rsidR="003D05AA" w:rsidRPr="00F84117" w:rsidRDefault="003D05AA" w:rsidP="00F84117">
      <w:pPr>
        <w:pStyle w:val="PlainText"/>
        <w:spacing w:line="360" w:lineRule="auto"/>
        <w:ind w:left="360"/>
        <w:jc w:val="both"/>
        <w:rPr>
          <w:rFonts w:ascii="Arial" w:hAnsi="Arial" w:cs="Arial"/>
          <w:sz w:val="24"/>
          <w:szCs w:val="24"/>
        </w:rPr>
      </w:pPr>
    </w:p>
    <w:p w14:paraId="11E3E8E7" w14:textId="2BAE67B9" w:rsidR="00D30792" w:rsidRPr="00F84117" w:rsidRDefault="00D30792" w:rsidP="00F84117">
      <w:pPr>
        <w:pStyle w:val="PlainText"/>
        <w:widowControl w:val="0"/>
        <w:numPr>
          <w:ilvl w:val="0"/>
          <w:numId w:val="3"/>
        </w:numPr>
        <w:spacing w:line="360" w:lineRule="auto"/>
        <w:ind w:left="540" w:hanging="540"/>
        <w:jc w:val="both"/>
        <w:rPr>
          <w:rFonts w:ascii="Arial" w:hAnsi="Arial" w:cs="Arial"/>
          <w:sz w:val="24"/>
          <w:szCs w:val="24"/>
        </w:rPr>
      </w:pPr>
      <w:r w:rsidRPr="00F84117">
        <w:rPr>
          <w:rFonts w:ascii="Arial" w:hAnsi="Arial" w:cs="Arial"/>
          <w:sz w:val="24"/>
          <w:szCs w:val="24"/>
        </w:rPr>
        <w:t xml:space="preserve">In any event, the principle of legality does not permit the type of procedural fairness challenge that the applicants advance. While the court in </w:t>
      </w:r>
      <w:r w:rsidRPr="00F84117">
        <w:rPr>
          <w:rFonts w:ascii="Arial" w:hAnsi="Arial" w:cs="Arial"/>
          <w:i/>
          <w:iCs/>
          <w:sz w:val="24"/>
          <w:szCs w:val="24"/>
        </w:rPr>
        <w:t>Albut v Centre for the Study of Violence and Reconciliation and others</w:t>
      </w:r>
      <w:r w:rsidRPr="00F84117">
        <w:rPr>
          <w:rFonts w:ascii="Arial" w:hAnsi="Arial" w:cs="Arial"/>
          <w:sz w:val="24"/>
          <w:szCs w:val="24"/>
        </w:rPr>
        <w:t xml:space="preserve"> 2010 (3) SA 293 (CC) (upon which the applicants rely) found that the principles of rationality and legality established an entitlement to be heard in that matter, that was because a rational decision in the very specific features of that case required the views of those affected by the decision to be taken into account (at para [72]).  </w:t>
      </w:r>
      <w:r w:rsidRPr="00F84117">
        <w:rPr>
          <w:rFonts w:ascii="Arial" w:hAnsi="Arial" w:cs="Arial"/>
          <w:i/>
          <w:iCs/>
          <w:sz w:val="24"/>
          <w:szCs w:val="24"/>
        </w:rPr>
        <w:t>Albut</w:t>
      </w:r>
      <w:r w:rsidRPr="00F84117">
        <w:rPr>
          <w:rFonts w:ascii="Arial" w:hAnsi="Arial" w:cs="Arial"/>
          <w:sz w:val="24"/>
          <w:szCs w:val="24"/>
        </w:rPr>
        <w:t xml:space="preserve"> is not authority for the contention that the principle of legality authorises an upfront challenge to an administrative process on the procedural fairness grounds of alleged bias. The Constitutional Court in </w:t>
      </w:r>
      <w:r w:rsidRPr="00F84117">
        <w:rPr>
          <w:rFonts w:ascii="Arial" w:hAnsi="Arial" w:cs="Arial"/>
          <w:i/>
          <w:iCs/>
          <w:sz w:val="24"/>
          <w:szCs w:val="24"/>
        </w:rPr>
        <w:t>Masetl</w:t>
      </w:r>
      <w:r w:rsidR="00F84117" w:rsidRPr="00F84117">
        <w:rPr>
          <w:rFonts w:ascii="Arial" w:hAnsi="Arial" w:cs="Arial"/>
          <w:i/>
          <w:iCs/>
          <w:sz w:val="24"/>
          <w:szCs w:val="24"/>
        </w:rPr>
        <w:t>h</w:t>
      </w:r>
      <w:r w:rsidRPr="00F84117">
        <w:rPr>
          <w:rFonts w:ascii="Arial" w:hAnsi="Arial" w:cs="Arial"/>
          <w:i/>
          <w:iCs/>
          <w:sz w:val="24"/>
          <w:szCs w:val="24"/>
        </w:rPr>
        <w:t>a v President of the Republic of South Africa</w:t>
      </w:r>
      <w:r w:rsidRPr="00F84117">
        <w:rPr>
          <w:rFonts w:ascii="Arial" w:hAnsi="Arial" w:cs="Arial"/>
          <w:sz w:val="24"/>
          <w:szCs w:val="24"/>
        </w:rPr>
        <w:t xml:space="preserve"> 2008 (1) SA 566 (CC) at para [78] expressly found the procedural fairness is not a requirement of the exercise of lawful, rational and constitutionally </w:t>
      </w:r>
      <w:r w:rsidRPr="00F84117">
        <w:rPr>
          <w:rFonts w:ascii="Arial" w:hAnsi="Arial" w:cs="Arial"/>
          <w:sz w:val="24"/>
          <w:szCs w:val="24"/>
        </w:rPr>
        <w:lastRenderedPageBreak/>
        <w:t>compliant executive power:</w:t>
      </w:r>
    </w:p>
    <w:p w14:paraId="6F6A93FF" w14:textId="77777777" w:rsidR="00D30792" w:rsidRPr="00F84117" w:rsidRDefault="00D30792" w:rsidP="00F84117">
      <w:pPr>
        <w:pStyle w:val="ListParagraph"/>
        <w:widowControl w:val="0"/>
        <w:spacing w:after="0" w:line="360" w:lineRule="auto"/>
        <w:ind w:left="540"/>
        <w:jc w:val="both"/>
        <w:rPr>
          <w:rFonts w:ascii="Arial" w:hAnsi="Arial" w:cs="Arial"/>
          <w:sz w:val="24"/>
          <w:szCs w:val="24"/>
        </w:rPr>
      </w:pPr>
    </w:p>
    <w:p w14:paraId="50836E85" w14:textId="0B86F583" w:rsidR="00D30792" w:rsidRPr="00F84117" w:rsidRDefault="00D30792" w:rsidP="0084345F">
      <w:pPr>
        <w:pStyle w:val="lrpara"/>
        <w:shd w:val="clear" w:color="auto" w:fill="FFFFFF"/>
        <w:spacing w:before="0" w:beforeAutospacing="0" w:after="0" w:afterAutospacing="0" w:line="360" w:lineRule="auto"/>
        <w:ind w:left="630"/>
        <w:jc w:val="both"/>
        <w:rPr>
          <w:rFonts w:ascii="Arial" w:hAnsi="Arial" w:cs="Arial"/>
          <w:i/>
          <w:iCs/>
        </w:rPr>
      </w:pPr>
      <w:r w:rsidRPr="00F84117">
        <w:rPr>
          <w:rFonts w:ascii="Arial" w:hAnsi="Arial" w:cs="Arial"/>
          <w:i/>
          <w:iCs/>
        </w:rPr>
        <w:t>“[78] This does not, however, mean that there are no constitutional constraints on the exercise of executive authority. The authority conferred must be exercised lawfully, rationally and in a manner consistent with the Constitution. Procedural fairness is not a requirement. The authority in s 85(2)(e) of the Constitution is conferred in order to provide room for the President to fulfil executive functions and should not be constrained any more than through the principle of legality and rationality.”</w:t>
      </w:r>
    </w:p>
    <w:p w14:paraId="49066C14" w14:textId="77777777" w:rsidR="008833FF" w:rsidRPr="00F84117" w:rsidRDefault="008833FF" w:rsidP="00F84117">
      <w:pPr>
        <w:pStyle w:val="ListParagraph"/>
        <w:widowControl w:val="0"/>
        <w:spacing w:after="0" w:line="360" w:lineRule="auto"/>
        <w:ind w:left="630"/>
        <w:jc w:val="both"/>
        <w:rPr>
          <w:rFonts w:ascii="Arial" w:hAnsi="Arial" w:cs="Arial"/>
          <w:sz w:val="24"/>
          <w:szCs w:val="24"/>
        </w:rPr>
      </w:pPr>
    </w:p>
    <w:p w14:paraId="7B8D164F" w14:textId="77777777" w:rsidR="008833FF" w:rsidRPr="00F84117" w:rsidRDefault="009225DF" w:rsidP="00F84117">
      <w:pPr>
        <w:pStyle w:val="ListParagraph"/>
        <w:widowControl w:val="0"/>
        <w:numPr>
          <w:ilvl w:val="0"/>
          <w:numId w:val="3"/>
        </w:numPr>
        <w:spacing w:after="0" w:line="360" w:lineRule="auto"/>
        <w:ind w:left="630" w:hanging="630"/>
        <w:jc w:val="both"/>
        <w:rPr>
          <w:rFonts w:ascii="Arial" w:hAnsi="Arial" w:cs="Arial"/>
          <w:sz w:val="24"/>
          <w:szCs w:val="24"/>
        </w:rPr>
      </w:pPr>
      <w:r w:rsidRPr="00F84117">
        <w:rPr>
          <w:rFonts w:ascii="Arial" w:hAnsi="Arial" w:cs="Arial"/>
          <w:sz w:val="24"/>
          <w:szCs w:val="24"/>
        </w:rPr>
        <w:t>In relation to the applicants’ reliance on section 195(1) of the Constitution</w:t>
      </w:r>
      <w:r w:rsidR="00B30EF4" w:rsidRPr="00F84117">
        <w:rPr>
          <w:rFonts w:ascii="Arial" w:hAnsi="Arial" w:cs="Arial"/>
          <w:sz w:val="24"/>
          <w:szCs w:val="24"/>
        </w:rPr>
        <w:t xml:space="preserve">, I agree with the respondents that such reliance is also impermissible.  In </w:t>
      </w:r>
      <w:r w:rsidR="00B30EF4" w:rsidRPr="00F84117">
        <w:rPr>
          <w:rFonts w:ascii="Arial" w:hAnsi="Arial" w:cs="Arial"/>
          <w:i/>
          <w:iCs/>
          <w:sz w:val="24"/>
          <w:szCs w:val="24"/>
        </w:rPr>
        <w:t>Britannia Beach Estate (Pty) Ltd v Saldanha Bay Municipality</w:t>
      </w:r>
      <w:r w:rsidR="00B30EF4" w:rsidRPr="00F84117">
        <w:rPr>
          <w:rFonts w:ascii="Arial" w:hAnsi="Arial" w:cs="Arial"/>
          <w:sz w:val="24"/>
          <w:szCs w:val="24"/>
        </w:rPr>
        <w:t xml:space="preserve"> </w:t>
      </w:r>
      <w:r w:rsidR="000A1FE6" w:rsidRPr="00F84117">
        <w:rPr>
          <w:rFonts w:ascii="Arial" w:hAnsi="Arial" w:cs="Arial"/>
          <w:sz w:val="24"/>
          <w:szCs w:val="24"/>
        </w:rPr>
        <w:t xml:space="preserve">2013 (11) BCLR 1217 (CC) </w:t>
      </w:r>
      <w:r w:rsidR="00B30EF4" w:rsidRPr="00F84117">
        <w:rPr>
          <w:rFonts w:ascii="Arial" w:hAnsi="Arial" w:cs="Arial"/>
          <w:sz w:val="24"/>
          <w:szCs w:val="24"/>
        </w:rPr>
        <w:t>the applicants relied on section 195(1) to assert a right to have the municipality account to them.</w:t>
      </w:r>
      <w:r w:rsidR="00CD5F21" w:rsidRPr="00F84117">
        <w:rPr>
          <w:rFonts w:ascii="Arial" w:hAnsi="Arial" w:cs="Arial"/>
          <w:sz w:val="24"/>
          <w:szCs w:val="24"/>
        </w:rPr>
        <w:t xml:space="preserve">  The Constitutional Court held that such reliance was misplaced, and referred to various instances of legislation which give effect to the values of accountability, responsiveness and openness upon which the applicants ought to have relied.</w:t>
      </w:r>
    </w:p>
    <w:p w14:paraId="6E9DC2EB" w14:textId="77777777" w:rsidR="008833FF" w:rsidRPr="00F84117" w:rsidRDefault="008833FF" w:rsidP="00F84117">
      <w:pPr>
        <w:pStyle w:val="ListParagraph"/>
        <w:widowControl w:val="0"/>
        <w:spacing w:after="0" w:line="360" w:lineRule="auto"/>
        <w:jc w:val="both"/>
        <w:rPr>
          <w:rFonts w:ascii="Arial" w:hAnsi="Arial" w:cs="Arial"/>
          <w:sz w:val="24"/>
          <w:szCs w:val="24"/>
        </w:rPr>
      </w:pPr>
    </w:p>
    <w:p w14:paraId="59659F1C" w14:textId="51D157E1" w:rsidR="00BB0FD5" w:rsidRPr="00F84117" w:rsidRDefault="00B30EF4" w:rsidP="00F84117">
      <w:pPr>
        <w:pStyle w:val="ListParagraph"/>
        <w:widowControl w:val="0"/>
        <w:numPr>
          <w:ilvl w:val="0"/>
          <w:numId w:val="3"/>
        </w:numPr>
        <w:spacing w:after="0" w:line="360" w:lineRule="auto"/>
        <w:ind w:left="630" w:hanging="630"/>
        <w:jc w:val="both"/>
        <w:rPr>
          <w:rFonts w:ascii="Arial" w:hAnsi="Arial" w:cs="Arial"/>
          <w:sz w:val="24"/>
          <w:szCs w:val="24"/>
        </w:rPr>
      </w:pPr>
      <w:r w:rsidRPr="00F84117">
        <w:rPr>
          <w:rFonts w:ascii="Arial" w:hAnsi="Arial" w:cs="Arial"/>
          <w:sz w:val="24"/>
          <w:szCs w:val="24"/>
        </w:rPr>
        <w:t>The Constitutional Court held at paras [14] to [22] that, although the values contained in section 195(1) underlie the Constitution, they do not give rise to independent rights outside of those set out in</w:t>
      </w:r>
      <w:r w:rsidR="00CD5F21" w:rsidRPr="00F84117">
        <w:rPr>
          <w:rFonts w:ascii="Arial" w:hAnsi="Arial" w:cs="Arial"/>
          <w:sz w:val="24"/>
          <w:szCs w:val="24"/>
        </w:rPr>
        <w:t xml:space="preserve"> the</w:t>
      </w:r>
      <w:r w:rsidRPr="00F84117">
        <w:rPr>
          <w:rFonts w:ascii="Arial" w:hAnsi="Arial" w:cs="Arial"/>
          <w:sz w:val="24"/>
          <w:szCs w:val="24"/>
        </w:rPr>
        <w:t xml:space="preserve"> Bill of Rights.  Democratic accountability as a fundamental value of the Constitution does not generally provide a basis for fashioning individual rights outside of those specifically enumerated in the Constitution and other relevant legislation.</w:t>
      </w:r>
    </w:p>
    <w:p w14:paraId="7A719A7E" w14:textId="1B22DFE0" w:rsidR="00B30EF4" w:rsidRPr="00F84117" w:rsidRDefault="00B30EF4" w:rsidP="00F84117">
      <w:pPr>
        <w:widowControl w:val="0"/>
        <w:spacing w:after="0" w:line="360" w:lineRule="auto"/>
        <w:jc w:val="both"/>
        <w:rPr>
          <w:rFonts w:ascii="Arial" w:hAnsi="Arial" w:cs="Arial"/>
          <w:sz w:val="24"/>
          <w:szCs w:val="24"/>
        </w:rPr>
      </w:pPr>
    </w:p>
    <w:p w14:paraId="301679EF" w14:textId="0F83939D" w:rsidR="000A1FE6" w:rsidRPr="00F84117" w:rsidRDefault="000A1FE6" w:rsidP="00F84117">
      <w:pPr>
        <w:pStyle w:val="western"/>
        <w:widowControl w:val="0"/>
        <w:shd w:val="clear" w:color="auto" w:fill="FFFFFF"/>
        <w:spacing w:before="0" w:beforeAutospacing="0" w:after="0" w:afterAutospacing="0" w:line="360" w:lineRule="auto"/>
        <w:ind w:left="630"/>
        <w:jc w:val="both"/>
        <w:rPr>
          <w:rFonts w:ascii="Arial" w:hAnsi="Arial" w:cs="Arial"/>
          <w:i/>
          <w:iCs/>
        </w:rPr>
      </w:pPr>
      <w:r w:rsidRPr="00F84117">
        <w:rPr>
          <w:rFonts w:ascii="Arial" w:hAnsi="Arial" w:cs="Arial"/>
          <w:i/>
          <w:iCs/>
        </w:rPr>
        <w:t>“[16] This Court has on a number of occasions stated that although these values underlie our Constitution they do not give rise to independent rights outside those set out in the Bill of Rights. In Chirwa</w:t>
      </w:r>
      <w:r w:rsidRPr="00F84117">
        <w:rPr>
          <w:rFonts w:ascii="Arial" w:hAnsi="Arial" w:cs="Arial"/>
          <w:i/>
          <w:iCs/>
          <w:vertAlign w:val="superscript"/>
        </w:rPr>
        <w:t xml:space="preserve"> </w:t>
      </w:r>
      <w:r w:rsidRPr="00F84117">
        <w:rPr>
          <w:rFonts w:ascii="Arial" w:hAnsi="Arial" w:cs="Arial"/>
          <w:i/>
          <w:iCs/>
        </w:rPr>
        <w:t>the position was summarised thus:</w:t>
      </w:r>
    </w:p>
    <w:p w14:paraId="5274EC2C" w14:textId="77777777" w:rsidR="000A1FE6" w:rsidRPr="00F84117" w:rsidRDefault="000A1FE6" w:rsidP="00F84117">
      <w:pPr>
        <w:pStyle w:val="western"/>
        <w:widowControl w:val="0"/>
        <w:shd w:val="clear" w:color="auto" w:fill="FFFFFF"/>
        <w:spacing w:before="0" w:beforeAutospacing="0" w:after="0" w:afterAutospacing="0" w:line="360" w:lineRule="auto"/>
        <w:ind w:left="720" w:right="720"/>
        <w:jc w:val="both"/>
        <w:rPr>
          <w:rFonts w:ascii="Arial" w:hAnsi="Arial" w:cs="Arial"/>
          <w:i/>
          <w:iCs/>
        </w:rPr>
      </w:pPr>
      <w:r w:rsidRPr="00F84117">
        <w:rPr>
          <w:rFonts w:ascii="Arial" w:hAnsi="Arial" w:cs="Arial"/>
          <w:i/>
          <w:iCs/>
        </w:rPr>
        <w:t xml:space="preserve">“Even if the applicant was permitted to bypass the specialised framework of the LRA in the attempt to challenge her dismissal, the reliance on section 195 is misplaced. This is illustrated by the reasoning in Institute for Democracy in South Africa and Others v African National Congress and Others (IDASA). The Court in that case relied on the decision </w:t>
      </w:r>
      <w:r w:rsidRPr="00F84117">
        <w:rPr>
          <w:rFonts w:ascii="Arial" w:hAnsi="Arial" w:cs="Arial"/>
          <w:i/>
          <w:iCs/>
        </w:rPr>
        <w:lastRenderedPageBreak/>
        <w:t>in Minister of Home Affairs v National Institute for Crime Prevention and the Reintegration of Offenders (NICRO) and Others, where it was held:</w:t>
      </w:r>
    </w:p>
    <w:p w14:paraId="7C0B1B48" w14:textId="77777777" w:rsidR="000A1FE6" w:rsidRPr="00F84117" w:rsidRDefault="000A1FE6" w:rsidP="00F84117">
      <w:pPr>
        <w:pStyle w:val="western"/>
        <w:widowControl w:val="0"/>
        <w:shd w:val="clear" w:color="auto" w:fill="FFFFFF"/>
        <w:spacing w:before="0" w:beforeAutospacing="0" w:after="0" w:afterAutospacing="0" w:line="360" w:lineRule="auto"/>
        <w:ind w:left="1440" w:right="1440"/>
        <w:jc w:val="both"/>
        <w:rPr>
          <w:rFonts w:ascii="Arial" w:hAnsi="Arial" w:cs="Arial"/>
          <w:i/>
          <w:iCs/>
        </w:rPr>
      </w:pPr>
      <w:r w:rsidRPr="00F84117">
        <w:rPr>
          <w:rFonts w:ascii="Arial" w:hAnsi="Arial" w:cs="Arial"/>
          <w:i/>
          <w:iCs/>
        </w:rPr>
        <w:t>‘The values enunciated in section 1 of the Constitution are of fundamental importance. They inform and give substance to all the provisions of the Constitution. They do not, however, give rise to discrete and enforceable rights in themselves. This is clear not only from the language of section 1 itself, but also from the way the Constitution is structured and in particular the provisions of chapter 2 which contains the Bill of Rights.’</w:t>
      </w:r>
    </w:p>
    <w:p w14:paraId="35EC80FB" w14:textId="77777777" w:rsidR="000A1FE6" w:rsidRPr="00F84117" w:rsidRDefault="000A1FE6" w:rsidP="00F84117">
      <w:pPr>
        <w:pStyle w:val="western"/>
        <w:widowControl w:val="0"/>
        <w:shd w:val="clear" w:color="auto" w:fill="FFFFFF"/>
        <w:spacing w:before="0" w:beforeAutospacing="0" w:after="0" w:afterAutospacing="0" w:line="360" w:lineRule="auto"/>
        <w:ind w:left="720" w:right="720"/>
        <w:jc w:val="both"/>
        <w:rPr>
          <w:rFonts w:ascii="Arial" w:hAnsi="Arial" w:cs="Arial"/>
          <w:i/>
          <w:iCs/>
        </w:rPr>
      </w:pPr>
      <w:r w:rsidRPr="00F84117">
        <w:rPr>
          <w:rFonts w:ascii="Arial" w:hAnsi="Arial" w:cs="Arial"/>
          <w:i/>
          <w:iCs/>
        </w:rPr>
        <w:t>Consequently, the court in IDASA held that—</w:t>
      </w:r>
    </w:p>
    <w:p w14:paraId="6C03C9ED" w14:textId="77777777" w:rsidR="000A1FE6" w:rsidRPr="00F84117" w:rsidRDefault="000A1FE6" w:rsidP="00F84117">
      <w:pPr>
        <w:pStyle w:val="western"/>
        <w:widowControl w:val="0"/>
        <w:shd w:val="clear" w:color="auto" w:fill="FFFFFF"/>
        <w:spacing w:before="0" w:beforeAutospacing="0" w:after="0" w:afterAutospacing="0" w:line="360" w:lineRule="auto"/>
        <w:ind w:left="1440" w:right="1440"/>
        <w:jc w:val="both"/>
        <w:rPr>
          <w:rFonts w:ascii="Arial" w:hAnsi="Arial" w:cs="Arial"/>
          <w:i/>
          <w:iCs/>
        </w:rPr>
      </w:pPr>
      <w:r w:rsidRPr="00F84117">
        <w:rPr>
          <w:rFonts w:ascii="Arial" w:hAnsi="Arial" w:cs="Arial"/>
          <w:i/>
          <w:iCs/>
        </w:rPr>
        <w:t>‘. . . the same considerations apply to the other sections of the Constitution . . . [including] 195(1). These sections all have reference to government and the duties of government, inter alia, to be accountable and transparent</w:t>
      </w:r>
      <w:proofErr w:type="gramStart"/>
      <w:r w:rsidRPr="00F84117">
        <w:rPr>
          <w:rFonts w:ascii="Arial" w:hAnsi="Arial" w:cs="Arial"/>
          <w:i/>
          <w:iCs/>
        </w:rPr>
        <w:t>. . . .</w:t>
      </w:r>
      <w:proofErr w:type="gramEnd"/>
      <w:r w:rsidRPr="00F84117">
        <w:rPr>
          <w:rFonts w:ascii="Arial" w:hAnsi="Arial" w:cs="Arial"/>
          <w:i/>
          <w:iCs/>
        </w:rPr>
        <w:t xml:space="preserve"> In any event, these sections do not confer upon the applicants any justiciable rights that they can exercise or protect by means of access to the respondents’ donations records. The language and syntax of these provisions are not couched in the form of rights, especially when compared with the clear provisions of chapter 2. Reliance upon the sections in question for purposes of demonstrating a right is therefore inapposite.’</w:t>
      </w:r>
    </w:p>
    <w:p w14:paraId="6866790A" w14:textId="77777777" w:rsidR="000A1FE6" w:rsidRPr="00F84117" w:rsidRDefault="000A1FE6" w:rsidP="00F84117">
      <w:pPr>
        <w:pStyle w:val="western"/>
        <w:widowControl w:val="0"/>
        <w:shd w:val="clear" w:color="auto" w:fill="FFFFFF"/>
        <w:spacing w:before="0" w:beforeAutospacing="0" w:after="0" w:afterAutospacing="0" w:line="360" w:lineRule="auto"/>
        <w:ind w:left="1440" w:right="1440"/>
        <w:jc w:val="both"/>
        <w:rPr>
          <w:rFonts w:ascii="Arial" w:hAnsi="Arial" w:cs="Arial"/>
          <w:i/>
          <w:iCs/>
        </w:rPr>
      </w:pPr>
    </w:p>
    <w:p w14:paraId="3E3E5CDC" w14:textId="25EEE831" w:rsidR="000A1FE6" w:rsidRPr="00F84117" w:rsidRDefault="000A1FE6" w:rsidP="00F84117">
      <w:pPr>
        <w:pStyle w:val="western"/>
        <w:widowControl w:val="0"/>
        <w:shd w:val="clear" w:color="auto" w:fill="FFFFFF"/>
        <w:spacing w:before="0" w:beforeAutospacing="0" w:after="0" w:afterAutospacing="0" w:line="360" w:lineRule="auto"/>
        <w:ind w:left="720" w:right="720"/>
        <w:jc w:val="both"/>
        <w:rPr>
          <w:rFonts w:ascii="Arial" w:hAnsi="Arial" w:cs="Arial"/>
        </w:rPr>
      </w:pPr>
      <w:proofErr w:type="gramStart"/>
      <w:r w:rsidRPr="00F84117">
        <w:rPr>
          <w:rFonts w:ascii="Arial" w:hAnsi="Arial" w:cs="Arial"/>
          <w:i/>
          <w:iCs/>
        </w:rPr>
        <w:t>Therefore</w:t>
      </w:r>
      <w:proofErr w:type="gramEnd"/>
      <w:r w:rsidRPr="00F84117">
        <w:rPr>
          <w:rFonts w:ascii="Arial" w:hAnsi="Arial" w:cs="Arial"/>
          <w:i/>
          <w:iCs/>
        </w:rPr>
        <w:t xml:space="preserve"> although section 195 of the Constitution provides valuable interpretive assistance it does not found a right to bring an action.</w:t>
      </w:r>
      <w:r w:rsidRPr="00F84117">
        <w:rPr>
          <w:rFonts w:ascii="Arial" w:hAnsi="Arial" w:cs="Arial"/>
        </w:rPr>
        <w:t>”</w:t>
      </w:r>
    </w:p>
    <w:p w14:paraId="7B40C3BB" w14:textId="77777777" w:rsidR="000A1FE6" w:rsidRPr="00F84117" w:rsidRDefault="000A1FE6" w:rsidP="00F84117">
      <w:pPr>
        <w:widowControl w:val="0"/>
        <w:spacing w:after="0" w:line="360" w:lineRule="auto"/>
        <w:jc w:val="both"/>
        <w:rPr>
          <w:rFonts w:ascii="Arial" w:hAnsi="Arial" w:cs="Arial"/>
          <w:sz w:val="24"/>
          <w:szCs w:val="24"/>
        </w:rPr>
      </w:pPr>
    </w:p>
    <w:p w14:paraId="1E4241D2" w14:textId="0E6E8594" w:rsidR="00D116A5" w:rsidRPr="00F84117" w:rsidRDefault="000A1FE6" w:rsidP="00F84117">
      <w:pPr>
        <w:pStyle w:val="ListParagraph"/>
        <w:widowControl w:val="0"/>
        <w:numPr>
          <w:ilvl w:val="0"/>
          <w:numId w:val="3"/>
        </w:numPr>
        <w:spacing w:after="0" w:line="360" w:lineRule="auto"/>
        <w:ind w:left="540" w:hanging="540"/>
        <w:jc w:val="both"/>
        <w:rPr>
          <w:rFonts w:ascii="Arial" w:hAnsi="Arial" w:cs="Arial"/>
          <w:sz w:val="24"/>
          <w:szCs w:val="24"/>
        </w:rPr>
      </w:pPr>
      <w:r w:rsidRPr="00F84117">
        <w:rPr>
          <w:rFonts w:ascii="Arial" w:hAnsi="Arial" w:cs="Arial"/>
          <w:sz w:val="24"/>
          <w:szCs w:val="24"/>
        </w:rPr>
        <w:t xml:space="preserve">In any event, </w:t>
      </w:r>
      <w:r w:rsidR="00D116A5" w:rsidRPr="00F84117">
        <w:rPr>
          <w:rFonts w:ascii="Arial" w:hAnsi="Arial" w:cs="Arial"/>
          <w:sz w:val="24"/>
          <w:szCs w:val="24"/>
        </w:rPr>
        <w:t>P</w:t>
      </w:r>
      <w:r w:rsidR="00532801" w:rsidRPr="00F84117">
        <w:rPr>
          <w:rFonts w:ascii="Arial" w:hAnsi="Arial" w:cs="Arial"/>
          <w:sz w:val="24"/>
          <w:szCs w:val="24"/>
        </w:rPr>
        <w:t xml:space="preserve">AJA itself also gives effect to the values set out in section 195(1) of the Constitution.  The Spatial Planning and Land use Management Act 16 of 2013 is another example, which provides for the establishment of municipal planning tribunals </w:t>
      </w:r>
      <w:r w:rsidR="00D116A5" w:rsidRPr="00F84117">
        <w:rPr>
          <w:rFonts w:ascii="Arial" w:hAnsi="Arial" w:cs="Arial"/>
          <w:sz w:val="24"/>
          <w:szCs w:val="24"/>
        </w:rPr>
        <w:t xml:space="preserve">that must include independent professional persons as members.  It provides further for interested parties such as the applicants to intervene in planning application, and for persons whose rights are affected by a decision taken by the tribunal to appeal against such decision to the appeal </w:t>
      </w:r>
      <w:r w:rsidR="00D116A5" w:rsidRPr="00F84117">
        <w:rPr>
          <w:rFonts w:ascii="Arial" w:hAnsi="Arial" w:cs="Arial"/>
          <w:sz w:val="24"/>
          <w:szCs w:val="24"/>
        </w:rPr>
        <w:lastRenderedPageBreak/>
        <w:t>authority provided for in the MPBL.</w:t>
      </w:r>
    </w:p>
    <w:p w14:paraId="751EE879" w14:textId="77777777" w:rsidR="00A0034A" w:rsidRPr="00F84117" w:rsidRDefault="00A0034A" w:rsidP="00F84117">
      <w:pPr>
        <w:pStyle w:val="ListParagraph"/>
        <w:widowControl w:val="0"/>
        <w:spacing w:after="0" w:line="360" w:lineRule="auto"/>
        <w:ind w:left="360"/>
        <w:jc w:val="both"/>
        <w:rPr>
          <w:rFonts w:ascii="Arial" w:hAnsi="Arial" w:cs="Arial"/>
          <w:sz w:val="24"/>
          <w:szCs w:val="24"/>
        </w:rPr>
      </w:pPr>
    </w:p>
    <w:p w14:paraId="168B66EA" w14:textId="77777777" w:rsidR="00552B70" w:rsidRPr="00F84117" w:rsidRDefault="00D116A5" w:rsidP="00F84117">
      <w:pPr>
        <w:pStyle w:val="ListParagraph"/>
        <w:widowControl w:val="0"/>
        <w:numPr>
          <w:ilvl w:val="0"/>
          <w:numId w:val="3"/>
        </w:numPr>
        <w:spacing w:after="0" w:line="360" w:lineRule="auto"/>
        <w:ind w:left="540" w:hanging="540"/>
        <w:jc w:val="both"/>
        <w:rPr>
          <w:rFonts w:ascii="Arial" w:hAnsi="Arial" w:cs="Arial"/>
          <w:sz w:val="24"/>
          <w:szCs w:val="24"/>
        </w:rPr>
      </w:pPr>
      <w:r w:rsidRPr="00F84117">
        <w:rPr>
          <w:rFonts w:ascii="Arial" w:hAnsi="Arial" w:cs="Arial"/>
          <w:sz w:val="24"/>
          <w:szCs w:val="24"/>
        </w:rPr>
        <w:t xml:space="preserve">In the circumstances, section 195(1) does not grant the applicants a basis for the relief that they seek. </w:t>
      </w:r>
    </w:p>
    <w:p w14:paraId="7CF7DC85" w14:textId="77777777" w:rsidR="00552B70" w:rsidRPr="00F84117" w:rsidRDefault="00552B70" w:rsidP="00F84117">
      <w:pPr>
        <w:pStyle w:val="ListParagraph"/>
        <w:widowControl w:val="0"/>
        <w:spacing w:after="0" w:line="360" w:lineRule="auto"/>
        <w:jc w:val="both"/>
        <w:rPr>
          <w:rFonts w:ascii="Arial" w:hAnsi="Arial" w:cs="Arial"/>
          <w:sz w:val="24"/>
          <w:szCs w:val="24"/>
        </w:rPr>
      </w:pPr>
    </w:p>
    <w:p w14:paraId="60FA72CA" w14:textId="77777777" w:rsidR="008833FF" w:rsidRPr="00F84117" w:rsidRDefault="00A0034A" w:rsidP="00F84117">
      <w:pPr>
        <w:pStyle w:val="ListParagraph"/>
        <w:widowControl w:val="0"/>
        <w:numPr>
          <w:ilvl w:val="0"/>
          <w:numId w:val="3"/>
        </w:numPr>
        <w:spacing w:after="0" w:line="360" w:lineRule="auto"/>
        <w:ind w:left="540" w:hanging="540"/>
        <w:jc w:val="both"/>
        <w:rPr>
          <w:rFonts w:ascii="Arial" w:hAnsi="Arial" w:cs="Arial"/>
          <w:sz w:val="24"/>
          <w:szCs w:val="24"/>
        </w:rPr>
      </w:pPr>
      <w:r w:rsidRPr="00F84117">
        <w:rPr>
          <w:rFonts w:ascii="Arial" w:hAnsi="Arial" w:cs="Arial"/>
          <w:sz w:val="24"/>
          <w:szCs w:val="24"/>
        </w:rPr>
        <w:t>The applicants also place reliance on the principle of legality</w:t>
      </w:r>
      <w:r w:rsidR="00552B70" w:rsidRPr="00F84117">
        <w:rPr>
          <w:rFonts w:ascii="Arial" w:hAnsi="Arial" w:cs="Arial"/>
          <w:sz w:val="24"/>
          <w:szCs w:val="24"/>
        </w:rPr>
        <w:t>, as they allege that the City’s conduct is in breach thereof. The applicants argue that the City’s alleged failure to act in accordance with sections 33 and 195 of the Constitution means that the City’s action</w:t>
      </w:r>
      <w:r w:rsidR="00B63693" w:rsidRPr="00F84117">
        <w:rPr>
          <w:rFonts w:ascii="Arial" w:hAnsi="Arial" w:cs="Arial"/>
          <w:sz w:val="24"/>
          <w:szCs w:val="24"/>
        </w:rPr>
        <w:t>s</w:t>
      </w:r>
      <w:r w:rsidR="00552B70" w:rsidRPr="00F84117">
        <w:rPr>
          <w:rFonts w:ascii="Arial" w:hAnsi="Arial" w:cs="Arial"/>
          <w:sz w:val="24"/>
          <w:szCs w:val="24"/>
        </w:rPr>
        <w:t xml:space="preserve"> do not live up to the strict requirements of the principle of legality and lawfulness. As the respondents point out</w:t>
      </w:r>
      <w:r w:rsidR="00B63693" w:rsidRPr="00F84117">
        <w:rPr>
          <w:rFonts w:ascii="Arial" w:hAnsi="Arial" w:cs="Arial"/>
          <w:sz w:val="24"/>
          <w:szCs w:val="24"/>
        </w:rPr>
        <w:t>,</w:t>
      </w:r>
      <w:r w:rsidR="00552B70" w:rsidRPr="00F84117">
        <w:rPr>
          <w:rFonts w:ascii="Arial" w:hAnsi="Arial" w:cs="Arial"/>
          <w:sz w:val="24"/>
          <w:szCs w:val="24"/>
        </w:rPr>
        <w:t xml:space="preserve"> however</w:t>
      </w:r>
      <w:r w:rsidR="00B63693" w:rsidRPr="00F84117">
        <w:rPr>
          <w:rFonts w:ascii="Arial" w:hAnsi="Arial" w:cs="Arial"/>
          <w:sz w:val="24"/>
          <w:szCs w:val="24"/>
        </w:rPr>
        <w:t>,</w:t>
      </w:r>
      <w:r w:rsidR="00552B70" w:rsidRPr="00F84117">
        <w:rPr>
          <w:rFonts w:ascii="Arial" w:hAnsi="Arial" w:cs="Arial"/>
          <w:sz w:val="24"/>
          <w:szCs w:val="24"/>
        </w:rPr>
        <w:t xml:space="preserve"> this is an attempt to use the principle of legality to rely directly on section</w:t>
      </w:r>
      <w:r w:rsidR="00B63693" w:rsidRPr="00F84117">
        <w:rPr>
          <w:rFonts w:ascii="Arial" w:hAnsi="Arial" w:cs="Arial"/>
          <w:sz w:val="24"/>
          <w:szCs w:val="24"/>
        </w:rPr>
        <w:t>s</w:t>
      </w:r>
      <w:r w:rsidR="00552B70" w:rsidRPr="00F84117">
        <w:rPr>
          <w:rFonts w:ascii="Arial" w:hAnsi="Arial" w:cs="Arial"/>
          <w:sz w:val="24"/>
          <w:szCs w:val="24"/>
        </w:rPr>
        <w:t xml:space="preserve"> 33 and 195 of the Constitution in circumstances where the </w:t>
      </w:r>
      <w:r w:rsidR="00B63693" w:rsidRPr="00F84117">
        <w:rPr>
          <w:rFonts w:ascii="Arial" w:hAnsi="Arial" w:cs="Arial"/>
          <w:sz w:val="24"/>
          <w:szCs w:val="24"/>
        </w:rPr>
        <w:t>C</w:t>
      </w:r>
      <w:r w:rsidR="00552B70" w:rsidRPr="00F84117">
        <w:rPr>
          <w:rFonts w:ascii="Arial" w:hAnsi="Arial" w:cs="Arial"/>
          <w:sz w:val="24"/>
          <w:szCs w:val="24"/>
        </w:rPr>
        <w:t xml:space="preserve">onstitutional </w:t>
      </w:r>
      <w:r w:rsidR="00B63693" w:rsidRPr="00F84117">
        <w:rPr>
          <w:rFonts w:ascii="Arial" w:hAnsi="Arial" w:cs="Arial"/>
          <w:sz w:val="24"/>
          <w:szCs w:val="24"/>
        </w:rPr>
        <w:t>C</w:t>
      </w:r>
      <w:r w:rsidR="00552B70" w:rsidRPr="00F84117">
        <w:rPr>
          <w:rFonts w:ascii="Arial" w:hAnsi="Arial" w:cs="Arial"/>
          <w:sz w:val="24"/>
          <w:szCs w:val="24"/>
        </w:rPr>
        <w:t xml:space="preserve">ourt </w:t>
      </w:r>
      <w:r w:rsidR="00B63693" w:rsidRPr="00F84117">
        <w:rPr>
          <w:rFonts w:ascii="Arial" w:hAnsi="Arial" w:cs="Arial"/>
          <w:sz w:val="24"/>
          <w:szCs w:val="24"/>
        </w:rPr>
        <w:t xml:space="preserve">(as discussed above) </w:t>
      </w:r>
      <w:r w:rsidR="00552B70" w:rsidRPr="00F84117">
        <w:rPr>
          <w:rFonts w:ascii="Arial" w:hAnsi="Arial" w:cs="Arial"/>
          <w:sz w:val="24"/>
          <w:szCs w:val="24"/>
        </w:rPr>
        <w:t>has made it clear that they may not do so.</w:t>
      </w:r>
    </w:p>
    <w:p w14:paraId="03128BB3" w14:textId="77777777" w:rsidR="008833FF" w:rsidRPr="00F84117" w:rsidRDefault="008833FF" w:rsidP="00F84117">
      <w:pPr>
        <w:pStyle w:val="ListParagraph"/>
        <w:widowControl w:val="0"/>
        <w:spacing w:after="0" w:line="360" w:lineRule="auto"/>
        <w:jc w:val="both"/>
        <w:rPr>
          <w:rFonts w:ascii="Arial" w:hAnsi="Arial" w:cs="Arial"/>
          <w:sz w:val="24"/>
          <w:szCs w:val="24"/>
        </w:rPr>
      </w:pPr>
    </w:p>
    <w:p w14:paraId="75BE60BC" w14:textId="77777777" w:rsidR="008833FF" w:rsidRPr="00F84117" w:rsidRDefault="00552B70" w:rsidP="00F84117">
      <w:pPr>
        <w:pStyle w:val="ListParagraph"/>
        <w:widowControl w:val="0"/>
        <w:numPr>
          <w:ilvl w:val="0"/>
          <w:numId w:val="3"/>
        </w:numPr>
        <w:spacing w:after="0" w:line="360" w:lineRule="auto"/>
        <w:ind w:left="540" w:hanging="540"/>
        <w:jc w:val="both"/>
        <w:rPr>
          <w:rFonts w:ascii="Arial" w:hAnsi="Arial" w:cs="Arial"/>
          <w:sz w:val="24"/>
          <w:szCs w:val="24"/>
        </w:rPr>
      </w:pPr>
      <w:r w:rsidRPr="00F84117">
        <w:rPr>
          <w:rFonts w:ascii="Arial" w:hAnsi="Arial" w:cs="Arial"/>
          <w:sz w:val="24"/>
          <w:szCs w:val="24"/>
        </w:rPr>
        <w:t xml:space="preserve">Recent authority, including </w:t>
      </w:r>
      <w:r w:rsidR="00B63693" w:rsidRPr="00F84117">
        <w:rPr>
          <w:rFonts w:ascii="Arial" w:hAnsi="Arial" w:cs="Arial"/>
          <w:i/>
          <w:iCs/>
          <w:sz w:val="24"/>
          <w:szCs w:val="24"/>
        </w:rPr>
        <w:t>C</w:t>
      </w:r>
      <w:r w:rsidRPr="00F84117">
        <w:rPr>
          <w:rFonts w:ascii="Arial" w:hAnsi="Arial" w:cs="Arial"/>
          <w:i/>
          <w:iCs/>
          <w:sz w:val="24"/>
          <w:szCs w:val="24"/>
        </w:rPr>
        <w:t xml:space="preserve">ompcare </w:t>
      </w:r>
      <w:r w:rsidR="00B63693" w:rsidRPr="00F84117">
        <w:rPr>
          <w:rFonts w:ascii="Arial" w:hAnsi="Arial" w:cs="Arial"/>
          <w:i/>
          <w:iCs/>
          <w:sz w:val="24"/>
          <w:szCs w:val="24"/>
        </w:rPr>
        <w:t>W</w:t>
      </w:r>
      <w:r w:rsidRPr="00F84117">
        <w:rPr>
          <w:rFonts w:ascii="Arial" w:hAnsi="Arial" w:cs="Arial"/>
          <w:i/>
          <w:iCs/>
          <w:sz w:val="24"/>
          <w:szCs w:val="24"/>
        </w:rPr>
        <w:t xml:space="preserve">ellness </w:t>
      </w:r>
      <w:r w:rsidR="00B63693" w:rsidRPr="00F84117">
        <w:rPr>
          <w:rFonts w:ascii="Arial" w:hAnsi="Arial" w:cs="Arial"/>
          <w:i/>
          <w:iCs/>
          <w:sz w:val="24"/>
          <w:szCs w:val="24"/>
        </w:rPr>
        <w:t>M</w:t>
      </w:r>
      <w:r w:rsidRPr="00F84117">
        <w:rPr>
          <w:rFonts w:ascii="Arial" w:hAnsi="Arial" w:cs="Arial"/>
          <w:i/>
          <w:iCs/>
          <w:sz w:val="24"/>
          <w:szCs w:val="24"/>
        </w:rPr>
        <w:t xml:space="preserve">edical </w:t>
      </w:r>
      <w:r w:rsidR="00B63693" w:rsidRPr="00F84117">
        <w:rPr>
          <w:rFonts w:ascii="Arial" w:hAnsi="Arial" w:cs="Arial"/>
          <w:i/>
          <w:iCs/>
          <w:sz w:val="24"/>
          <w:szCs w:val="24"/>
        </w:rPr>
        <w:t>S</w:t>
      </w:r>
      <w:r w:rsidRPr="00F84117">
        <w:rPr>
          <w:rFonts w:ascii="Arial" w:hAnsi="Arial" w:cs="Arial"/>
          <w:i/>
          <w:iCs/>
          <w:sz w:val="24"/>
          <w:szCs w:val="24"/>
        </w:rPr>
        <w:t xml:space="preserve">cheme v </w:t>
      </w:r>
      <w:r w:rsidR="00B63693" w:rsidRPr="00F84117">
        <w:rPr>
          <w:rFonts w:ascii="Arial" w:hAnsi="Arial" w:cs="Arial"/>
          <w:i/>
          <w:iCs/>
          <w:sz w:val="24"/>
          <w:szCs w:val="24"/>
        </w:rPr>
        <w:t>R</w:t>
      </w:r>
      <w:r w:rsidRPr="00F84117">
        <w:rPr>
          <w:rFonts w:ascii="Arial" w:hAnsi="Arial" w:cs="Arial"/>
          <w:i/>
          <w:iCs/>
          <w:sz w:val="24"/>
          <w:szCs w:val="24"/>
        </w:rPr>
        <w:t>egist</w:t>
      </w:r>
      <w:r w:rsidR="00B63693" w:rsidRPr="00F84117">
        <w:rPr>
          <w:rFonts w:ascii="Arial" w:hAnsi="Arial" w:cs="Arial"/>
          <w:i/>
          <w:iCs/>
          <w:sz w:val="24"/>
          <w:szCs w:val="24"/>
        </w:rPr>
        <w:t>rar</w:t>
      </w:r>
      <w:r w:rsidRPr="00F84117">
        <w:rPr>
          <w:rFonts w:ascii="Arial" w:hAnsi="Arial" w:cs="Arial"/>
          <w:i/>
          <w:iCs/>
          <w:sz w:val="24"/>
          <w:szCs w:val="24"/>
        </w:rPr>
        <w:t xml:space="preserve"> of </w:t>
      </w:r>
      <w:r w:rsidR="00B63693" w:rsidRPr="00F84117">
        <w:rPr>
          <w:rFonts w:ascii="Arial" w:hAnsi="Arial" w:cs="Arial"/>
          <w:i/>
          <w:iCs/>
          <w:sz w:val="24"/>
          <w:szCs w:val="24"/>
        </w:rPr>
        <w:t>M</w:t>
      </w:r>
      <w:r w:rsidRPr="00F84117">
        <w:rPr>
          <w:rFonts w:ascii="Arial" w:hAnsi="Arial" w:cs="Arial"/>
          <w:i/>
          <w:iCs/>
          <w:sz w:val="24"/>
          <w:szCs w:val="24"/>
        </w:rPr>
        <w:t xml:space="preserve">edical </w:t>
      </w:r>
      <w:r w:rsidR="00B63693" w:rsidRPr="00F84117">
        <w:rPr>
          <w:rFonts w:ascii="Arial" w:hAnsi="Arial" w:cs="Arial"/>
          <w:i/>
          <w:iCs/>
          <w:sz w:val="24"/>
          <w:szCs w:val="24"/>
        </w:rPr>
        <w:t>S</w:t>
      </w:r>
      <w:r w:rsidRPr="00F84117">
        <w:rPr>
          <w:rFonts w:ascii="Arial" w:hAnsi="Arial" w:cs="Arial"/>
          <w:i/>
          <w:iCs/>
          <w:sz w:val="24"/>
          <w:szCs w:val="24"/>
        </w:rPr>
        <w:t>chemes and others</w:t>
      </w:r>
      <w:r w:rsidRPr="00F84117">
        <w:rPr>
          <w:rFonts w:ascii="Arial" w:hAnsi="Arial" w:cs="Arial"/>
          <w:sz w:val="24"/>
          <w:szCs w:val="24"/>
        </w:rPr>
        <w:t xml:space="preserve"> </w:t>
      </w:r>
      <w:r w:rsidR="00B63693" w:rsidRPr="00F84117">
        <w:rPr>
          <w:rFonts w:ascii="Arial" w:hAnsi="Arial" w:cs="Arial"/>
          <w:sz w:val="24"/>
          <w:szCs w:val="24"/>
        </w:rPr>
        <w:t xml:space="preserve">2021 (1) SA 15 (SCA) at para [15], </w:t>
      </w:r>
      <w:r w:rsidRPr="00F84117">
        <w:rPr>
          <w:rFonts w:ascii="Arial" w:hAnsi="Arial" w:cs="Arial"/>
          <w:sz w:val="24"/>
          <w:szCs w:val="24"/>
        </w:rPr>
        <w:t xml:space="preserve">and </w:t>
      </w:r>
      <w:r w:rsidR="00B63693" w:rsidRPr="00F84117">
        <w:rPr>
          <w:rFonts w:ascii="Arial" w:hAnsi="Arial" w:cs="Arial"/>
          <w:i/>
          <w:iCs/>
          <w:sz w:val="24"/>
          <w:szCs w:val="24"/>
        </w:rPr>
        <w:t>S</w:t>
      </w:r>
      <w:r w:rsidRPr="00F84117">
        <w:rPr>
          <w:rFonts w:ascii="Arial" w:hAnsi="Arial" w:cs="Arial"/>
          <w:i/>
          <w:iCs/>
          <w:sz w:val="24"/>
          <w:szCs w:val="24"/>
        </w:rPr>
        <w:t xml:space="preserve">tate </w:t>
      </w:r>
      <w:r w:rsidR="00B63693" w:rsidRPr="00F84117">
        <w:rPr>
          <w:rFonts w:ascii="Arial" w:hAnsi="Arial" w:cs="Arial"/>
          <w:i/>
          <w:iCs/>
          <w:sz w:val="24"/>
          <w:szCs w:val="24"/>
        </w:rPr>
        <w:t>I</w:t>
      </w:r>
      <w:r w:rsidRPr="00F84117">
        <w:rPr>
          <w:rFonts w:ascii="Arial" w:hAnsi="Arial" w:cs="Arial"/>
          <w:i/>
          <w:iCs/>
          <w:sz w:val="24"/>
          <w:szCs w:val="24"/>
        </w:rPr>
        <w:t xml:space="preserve">nformation </w:t>
      </w:r>
      <w:r w:rsidR="00B63693" w:rsidRPr="00F84117">
        <w:rPr>
          <w:rFonts w:ascii="Arial" w:hAnsi="Arial" w:cs="Arial"/>
          <w:i/>
          <w:iCs/>
          <w:sz w:val="24"/>
          <w:szCs w:val="24"/>
        </w:rPr>
        <w:t>T</w:t>
      </w:r>
      <w:r w:rsidRPr="00F84117">
        <w:rPr>
          <w:rFonts w:ascii="Arial" w:hAnsi="Arial" w:cs="Arial"/>
          <w:i/>
          <w:iCs/>
          <w:sz w:val="24"/>
          <w:szCs w:val="24"/>
        </w:rPr>
        <w:t xml:space="preserve">echnology </w:t>
      </w:r>
      <w:r w:rsidR="00B63693" w:rsidRPr="00F84117">
        <w:rPr>
          <w:rFonts w:ascii="Arial" w:hAnsi="Arial" w:cs="Arial"/>
          <w:i/>
          <w:iCs/>
          <w:sz w:val="24"/>
          <w:szCs w:val="24"/>
        </w:rPr>
        <w:t>A</w:t>
      </w:r>
      <w:r w:rsidRPr="00F84117">
        <w:rPr>
          <w:rFonts w:ascii="Arial" w:hAnsi="Arial" w:cs="Arial"/>
          <w:i/>
          <w:iCs/>
          <w:sz w:val="24"/>
          <w:szCs w:val="24"/>
        </w:rPr>
        <w:t xml:space="preserve">gency </w:t>
      </w:r>
      <w:r w:rsidR="00B63693" w:rsidRPr="00F84117">
        <w:rPr>
          <w:rFonts w:ascii="Arial" w:hAnsi="Arial" w:cs="Arial"/>
          <w:i/>
          <w:iCs/>
          <w:sz w:val="24"/>
          <w:szCs w:val="24"/>
        </w:rPr>
        <w:t xml:space="preserve">SOC </w:t>
      </w:r>
      <w:r w:rsidRPr="00F84117">
        <w:rPr>
          <w:rFonts w:ascii="Arial" w:hAnsi="Arial" w:cs="Arial"/>
          <w:i/>
          <w:iCs/>
          <w:sz w:val="24"/>
          <w:szCs w:val="24"/>
        </w:rPr>
        <w:t xml:space="preserve">v </w:t>
      </w:r>
      <w:r w:rsidR="00B63693" w:rsidRPr="00F84117">
        <w:rPr>
          <w:rFonts w:ascii="Arial" w:hAnsi="Arial" w:cs="Arial"/>
          <w:i/>
          <w:iCs/>
          <w:sz w:val="24"/>
          <w:szCs w:val="24"/>
        </w:rPr>
        <w:t>Gijima</w:t>
      </w:r>
      <w:r w:rsidRPr="00F84117">
        <w:rPr>
          <w:rFonts w:ascii="Arial" w:hAnsi="Arial" w:cs="Arial"/>
          <w:i/>
          <w:iCs/>
          <w:sz w:val="24"/>
          <w:szCs w:val="24"/>
        </w:rPr>
        <w:t xml:space="preserve"> </w:t>
      </w:r>
      <w:r w:rsidR="00B63693" w:rsidRPr="00F84117">
        <w:rPr>
          <w:rFonts w:ascii="Arial" w:hAnsi="Arial" w:cs="Arial"/>
          <w:i/>
          <w:iCs/>
          <w:sz w:val="24"/>
          <w:szCs w:val="24"/>
        </w:rPr>
        <w:t>H</w:t>
      </w:r>
      <w:r w:rsidRPr="00F84117">
        <w:rPr>
          <w:rFonts w:ascii="Arial" w:hAnsi="Arial" w:cs="Arial"/>
          <w:i/>
          <w:iCs/>
          <w:sz w:val="24"/>
          <w:szCs w:val="24"/>
        </w:rPr>
        <w:t xml:space="preserve">oldings </w:t>
      </w:r>
      <w:r w:rsidR="00B63693" w:rsidRPr="00F84117">
        <w:rPr>
          <w:rFonts w:ascii="Arial" w:hAnsi="Arial" w:cs="Arial"/>
          <w:i/>
          <w:iCs/>
          <w:sz w:val="24"/>
          <w:szCs w:val="24"/>
        </w:rPr>
        <w:t>(</w:t>
      </w:r>
      <w:r w:rsidRPr="00F84117">
        <w:rPr>
          <w:rFonts w:ascii="Arial" w:hAnsi="Arial" w:cs="Arial"/>
          <w:i/>
          <w:iCs/>
          <w:sz w:val="24"/>
          <w:szCs w:val="24"/>
        </w:rPr>
        <w:t>Pty</w:t>
      </w:r>
      <w:r w:rsidR="00B63693" w:rsidRPr="00F84117">
        <w:rPr>
          <w:rFonts w:ascii="Arial" w:hAnsi="Arial" w:cs="Arial"/>
          <w:i/>
          <w:iCs/>
          <w:sz w:val="24"/>
          <w:szCs w:val="24"/>
        </w:rPr>
        <w:t>)</w:t>
      </w:r>
      <w:r w:rsidRPr="00F84117">
        <w:rPr>
          <w:rFonts w:ascii="Arial" w:hAnsi="Arial" w:cs="Arial"/>
          <w:i/>
          <w:iCs/>
          <w:sz w:val="24"/>
          <w:szCs w:val="24"/>
        </w:rPr>
        <w:t xml:space="preserve"> L</w:t>
      </w:r>
      <w:r w:rsidR="00B63693" w:rsidRPr="00F84117">
        <w:rPr>
          <w:rFonts w:ascii="Arial" w:hAnsi="Arial" w:cs="Arial"/>
          <w:i/>
          <w:iCs/>
          <w:sz w:val="24"/>
          <w:szCs w:val="24"/>
        </w:rPr>
        <w:t>td</w:t>
      </w:r>
      <w:r w:rsidR="00B63693" w:rsidRPr="00F84117">
        <w:rPr>
          <w:rFonts w:ascii="Arial" w:hAnsi="Arial" w:cs="Arial"/>
          <w:sz w:val="24"/>
          <w:szCs w:val="24"/>
        </w:rPr>
        <w:t xml:space="preserve"> 2017 (2) SA 63 (SCA) at paras [35] to [36],</w:t>
      </w:r>
      <w:r w:rsidRPr="00F84117">
        <w:rPr>
          <w:rFonts w:ascii="Arial" w:hAnsi="Arial" w:cs="Arial"/>
          <w:sz w:val="24"/>
          <w:szCs w:val="24"/>
        </w:rPr>
        <w:t xml:space="preserve"> hold</w:t>
      </w:r>
      <w:r w:rsidR="00B63693" w:rsidRPr="00F84117">
        <w:rPr>
          <w:rFonts w:ascii="Arial" w:hAnsi="Arial" w:cs="Arial"/>
          <w:sz w:val="24"/>
          <w:szCs w:val="24"/>
        </w:rPr>
        <w:t>s</w:t>
      </w:r>
      <w:r w:rsidRPr="00F84117">
        <w:rPr>
          <w:rFonts w:ascii="Arial" w:hAnsi="Arial" w:cs="Arial"/>
          <w:sz w:val="24"/>
          <w:szCs w:val="24"/>
        </w:rPr>
        <w:t xml:space="preserve"> that a court must determine whether the exercise of public power is governed by </w:t>
      </w:r>
      <w:r w:rsidR="00B63693" w:rsidRPr="00F84117">
        <w:rPr>
          <w:rFonts w:ascii="Arial" w:hAnsi="Arial" w:cs="Arial"/>
          <w:sz w:val="24"/>
          <w:szCs w:val="24"/>
        </w:rPr>
        <w:t>PAJA</w:t>
      </w:r>
      <w:r w:rsidRPr="00F84117">
        <w:rPr>
          <w:rFonts w:ascii="Arial" w:hAnsi="Arial" w:cs="Arial"/>
          <w:sz w:val="24"/>
          <w:szCs w:val="24"/>
        </w:rPr>
        <w:t xml:space="preserve"> or by legality. Once the pathway to review is </w:t>
      </w:r>
      <w:r w:rsidR="00B63693" w:rsidRPr="00F84117">
        <w:rPr>
          <w:rFonts w:ascii="Arial" w:hAnsi="Arial" w:cs="Arial"/>
          <w:sz w:val="24"/>
          <w:szCs w:val="24"/>
        </w:rPr>
        <w:t xml:space="preserve">established as being </w:t>
      </w:r>
      <w:r w:rsidRPr="00F84117">
        <w:rPr>
          <w:rFonts w:ascii="Arial" w:hAnsi="Arial" w:cs="Arial"/>
          <w:sz w:val="24"/>
          <w:szCs w:val="24"/>
        </w:rPr>
        <w:t xml:space="preserve">via </w:t>
      </w:r>
      <w:r w:rsidR="00B63693" w:rsidRPr="00F84117">
        <w:rPr>
          <w:rFonts w:ascii="Arial" w:hAnsi="Arial" w:cs="Arial"/>
          <w:sz w:val="24"/>
          <w:szCs w:val="24"/>
        </w:rPr>
        <w:t>PAJA (</w:t>
      </w:r>
      <w:r w:rsidRPr="00F84117">
        <w:rPr>
          <w:rFonts w:ascii="Arial" w:hAnsi="Arial" w:cs="Arial"/>
          <w:sz w:val="24"/>
          <w:szCs w:val="24"/>
        </w:rPr>
        <w:t>as it is in the present application</w:t>
      </w:r>
      <w:r w:rsidR="00B63693" w:rsidRPr="00F84117">
        <w:rPr>
          <w:rFonts w:ascii="Arial" w:hAnsi="Arial" w:cs="Arial"/>
          <w:sz w:val="24"/>
          <w:szCs w:val="24"/>
        </w:rPr>
        <w:t>)</w:t>
      </w:r>
      <w:r w:rsidRPr="00F84117">
        <w:rPr>
          <w:rFonts w:ascii="Arial" w:hAnsi="Arial" w:cs="Arial"/>
          <w:sz w:val="24"/>
          <w:szCs w:val="24"/>
        </w:rPr>
        <w:t xml:space="preserve"> legality is not available as a basis for relief.</w:t>
      </w:r>
    </w:p>
    <w:p w14:paraId="2391FF2A" w14:textId="77777777" w:rsidR="008833FF" w:rsidRPr="00F84117" w:rsidRDefault="008833FF" w:rsidP="00F84117">
      <w:pPr>
        <w:pStyle w:val="ListParagraph"/>
        <w:widowControl w:val="0"/>
        <w:spacing w:after="0" w:line="360" w:lineRule="auto"/>
        <w:jc w:val="both"/>
        <w:rPr>
          <w:rFonts w:ascii="Arial" w:hAnsi="Arial" w:cs="Arial"/>
          <w:sz w:val="24"/>
          <w:szCs w:val="24"/>
        </w:rPr>
      </w:pPr>
    </w:p>
    <w:p w14:paraId="0DE1C5A2" w14:textId="33A39B35" w:rsidR="008833FF" w:rsidRPr="00F84117" w:rsidRDefault="0084345F" w:rsidP="00F84117">
      <w:pPr>
        <w:pStyle w:val="ListParagraph"/>
        <w:widowControl w:val="0"/>
        <w:numPr>
          <w:ilvl w:val="0"/>
          <w:numId w:val="3"/>
        </w:numPr>
        <w:spacing w:after="0" w:line="360" w:lineRule="auto"/>
        <w:ind w:left="540" w:hanging="540"/>
        <w:jc w:val="both"/>
        <w:rPr>
          <w:rFonts w:ascii="Arial" w:hAnsi="Arial" w:cs="Arial"/>
          <w:sz w:val="24"/>
          <w:szCs w:val="24"/>
        </w:rPr>
      </w:pPr>
      <w:r>
        <w:rPr>
          <w:rFonts w:ascii="Arial" w:hAnsi="Arial" w:cs="Arial"/>
          <w:sz w:val="24"/>
          <w:szCs w:val="24"/>
        </w:rPr>
        <w:t>I</w:t>
      </w:r>
      <w:r w:rsidR="00552B70" w:rsidRPr="00F84117">
        <w:rPr>
          <w:rFonts w:ascii="Arial" w:hAnsi="Arial" w:cs="Arial"/>
          <w:sz w:val="24"/>
          <w:szCs w:val="24"/>
        </w:rPr>
        <w:t xml:space="preserve">n </w:t>
      </w:r>
      <w:r w:rsidR="008833FF" w:rsidRPr="00F84117">
        <w:rPr>
          <w:rFonts w:ascii="Arial" w:hAnsi="Arial" w:cs="Arial"/>
          <w:i/>
          <w:iCs/>
          <w:sz w:val="24"/>
          <w:szCs w:val="24"/>
        </w:rPr>
        <w:t>R</w:t>
      </w:r>
      <w:r w:rsidR="00552B70" w:rsidRPr="00F84117">
        <w:rPr>
          <w:rFonts w:ascii="Arial" w:hAnsi="Arial" w:cs="Arial"/>
          <w:i/>
          <w:iCs/>
          <w:sz w:val="24"/>
          <w:szCs w:val="24"/>
        </w:rPr>
        <w:t xml:space="preserve">hino </w:t>
      </w:r>
      <w:r w:rsidR="008833FF" w:rsidRPr="00F84117">
        <w:rPr>
          <w:rFonts w:ascii="Arial" w:hAnsi="Arial" w:cs="Arial"/>
          <w:i/>
          <w:iCs/>
          <w:sz w:val="24"/>
          <w:szCs w:val="24"/>
        </w:rPr>
        <w:t>O</w:t>
      </w:r>
      <w:r w:rsidR="00552B70" w:rsidRPr="00F84117">
        <w:rPr>
          <w:rFonts w:ascii="Arial" w:hAnsi="Arial" w:cs="Arial"/>
          <w:i/>
          <w:iCs/>
          <w:sz w:val="24"/>
          <w:szCs w:val="24"/>
        </w:rPr>
        <w:t xml:space="preserve">il and </w:t>
      </w:r>
      <w:r w:rsidR="008833FF" w:rsidRPr="00F84117">
        <w:rPr>
          <w:rFonts w:ascii="Arial" w:hAnsi="Arial" w:cs="Arial"/>
          <w:i/>
          <w:iCs/>
          <w:sz w:val="24"/>
          <w:szCs w:val="24"/>
        </w:rPr>
        <w:t>G</w:t>
      </w:r>
      <w:r w:rsidR="00552B70" w:rsidRPr="00F84117">
        <w:rPr>
          <w:rFonts w:ascii="Arial" w:hAnsi="Arial" w:cs="Arial"/>
          <w:i/>
          <w:iCs/>
          <w:sz w:val="24"/>
          <w:szCs w:val="24"/>
        </w:rPr>
        <w:t xml:space="preserve">as </w:t>
      </w:r>
      <w:r w:rsidR="008833FF" w:rsidRPr="00F84117">
        <w:rPr>
          <w:rFonts w:ascii="Arial" w:hAnsi="Arial" w:cs="Arial"/>
          <w:i/>
          <w:iCs/>
          <w:sz w:val="24"/>
          <w:szCs w:val="24"/>
        </w:rPr>
        <w:t>E</w:t>
      </w:r>
      <w:r w:rsidR="00552B70" w:rsidRPr="00F84117">
        <w:rPr>
          <w:rFonts w:ascii="Arial" w:hAnsi="Arial" w:cs="Arial"/>
          <w:i/>
          <w:iCs/>
          <w:sz w:val="24"/>
          <w:szCs w:val="24"/>
        </w:rPr>
        <w:t xml:space="preserve">xploration South Africa </w:t>
      </w:r>
      <w:r w:rsidR="008833FF" w:rsidRPr="00F84117">
        <w:rPr>
          <w:rFonts w:ascii="Arial" w:hAnsi="Arial" w:cs="Arial"/>
          <w:i/>
          <w:iCs/>
          <w:sz w:val="24"/>
          <w:szCs w:val="24"/>
        </w:rPr>
        <w:t>(Pty) Ltd v Normandien Farms (Pty) Ltd</w:t>
      </w:r>
      <w:r w:rsidR="008833FF" w:rsidRPr="00F84117">
        <w:rPr>
          <w:rFonts w:ascii="Arial" w:hAnsi="Arial" w:cs="Arial"/>
          <w:sz w:val="24"/>
          <w:szCs w:val="24"/>
        </w:rPr>
        <w:t xml:space="preserve"> 2019 (6) SA 400 (SCA) at paras [26]</w:t>
      </w:r>
      <w:r w:rsidR="00746257" w:rsidRPr="00F84117">
        <w:rPr>
          <w:rFonts w:ascii="Arial" w:hAnsi="Arial" w:cs="Arial"/>
          <w:sz w:val="24"/>
          <w:szCs w:val="24"/>
        </w:rPr>
        <w:t xml:space="preserve"> to</w:t>
      </w:r>
      <w:r w:rsidR="008833FF" w:rsidRPr="00F84117">
        <w:rPr>
          <w:rFonts w:ascii="Arial" w:hAnsi="Arial" w:cs="Arial"/>
          <w:sz w:val="24"/>
          <w:szCs w:val="24"/>
        </w:rPr>
        <w:t xml:space="preserve"> [3</w:t>
      </w:r>
      <w:r w:rsidR="00746257" w:rsidRPr="00F84117">
        <w:rPr>
          <w:rFonts w:ascii="Arial" w:hAnsi="Arial" w:cs="Arial"/>
          <w:sz w:val="24"/>
          <w:szCs w:val="24"/>
        </w:rPr>
        <w:t>5</w:t>
      </w:r>
      <w:r w:rsidR="008833FF" w:rsidRPr="00F84117">
        <w:rPr>
          <w:rFonts w:ascii="Arial" w:hAnsi="Arial" w:cs="Arial"/>
          <w:sz w:val="24"/>
          <w:szCs w:val="24"/>
        </w:rPr>
        <w:t xml:space="preserve">] </w:t>
      </w:r>
      <w:r w:rsidR="00552B70" w:rsidRPr="00F84117">
        <w:rPr>
          <w:rFonts w:ascii="Arial" w:hAnsi="Arial" w:cs="Arial"/>
          <w:sz w:val="24"/>
          <w:szCs w:val="24"/>
        </w:rPr>
        <w:t xml:space="preserve">the Supreme Court of </w:t>
      </w:r>
      <w:r w:rsidR="008833FF" w:rsidRPr="00F84117">
        <w:rPr>
          <w:rFonts w:ascii="Arial" w:hAnsi="Arial" w:cs="Arial"/>
          <w:sz w:val="24"/>
          <w:szCs w:val="24"/>
        </w:rPr>
        <w:t>A</w:t>
      </w:r>
      <w:r w:rsidR="00552B70" w:rsidRPr="00F84117">
        <w:rPr>
          <w:rFonts w:ascii="Arial" w:hAnsi="Arial" w:cs="Arial"/>
          <w:sz w:val="24"/>
          <w:szCs w:val="24"/>
        </w:rPr>
        <w:t xml:space="preserve">ppeal held that an applicant may not challenge the validity of an exercise of public power before it is final </w:t>
      </w:r>
      <w:r w:rsidR="008833FF" w:rsidRPr="00F84117">
        <w:rPr>
          <w:rFonts w:ascii="Arial" w:hAnsi="Arial" w:cs="Arial"/>
          <w:sz w:val="24"/>
          <w:szCs w:val="24"/>
        </w:rPr>
        <w:t>in</w:t>
      </w:r>
      <w:r w:rsidR="00552B70" w:rsidRPr="00F84117">
        <w:rPr>
          <w:rFonts w:ascii="Arial" w:hAnsi="Arial" w:cs="Arial"/>
          <w:sz w:val="24"/>
          <w:szCs w:val="24"/>
        </w:rPr>
        <w:t xml:space="preserve"> effect</w:t>
      </w:r>
      <w:r w:rsidR="008833FF" w:rsidRPr="00F84117">
        <w:rPr>
          <w:rFonts w:ascii="Arial" w:hAnsi="Arial" w:cs="Arial"/>
          <w:sz w:val="24"/>
          <w:szCs w:val="24"/>
        </w:rPr>
        <w:t>:</w:t>
      </w:r>
    </w:p>
    <w:p w14:paraId="29679B4A" w14:textId="01B6E82A" w:rsidR="008833FF" w:rsidRPr="00F84117" w:rsidRDefault="008833FF" w:rsidP="00F84117">
      <w:pPr>
        <w:pStyle w:val="ListParagraph"/>
        <w:widowControl w:val="0"/>
        <w:spacing w:after="0" w:line="360" w:lineRule="auto"/>
        <w:jc w:val="both"/>
        <w:rPr>
          <w:rFonts w:ascii="Arial" w:hAnsi="Arial" w:cs="Arial"/>
          <w:sz w:val="24"/>
          <w:szCs w:val="24"/>
        </w:rPr>
      </w:pPr>
    </w:p>
    <w:p w14:paraId="4CF67EE6" w14:textId="740CB4AA" w:rsidR="00E31C83" w:rsidRPr="00F84117" w:rsidRDefault="00E31C83" w:rsidP="00F84117">
      <w:pPr>
        <w:pStyle w:val="lrpara"/>
        <w:widowControl w:val="0"/>
        <w:shd w:val="clear" w:color="auto" w:fill="FFFFFF"/>
        <w:spacing w:before="0" w:beforeAutospacing="0" w:after="0" w:afterAutospacing="0" w:line="360" w:lineRule="auto"/>
        <w:ind w:left="540"/>
        <w:jc w:val="both"/>
        <w:rPr>
          <w:rFonts w:ascii="Arial" w:hAnsi="Arial" w:cs="Arial"/>
          <w:i/>
          <w:iCs/>
        </w:rPr>
      </w:pPr>
      <w:r w:rsidRPr="00F84117">
        <w:rPr>
          <w:rFonts w:ascii="Arial" w:hAnsi="Arial" w:cs="Arial"/>
          <w:i/>
          <w:iCs/>
        </w:rPr>
        <w:t xml:space="preserve">“[26] Normandien's case was that a series of misdirections of a clerical, mechanical, nature had occurred in the process, that could not be cured. These included the acceptance by PASA of Rhino's application despite it not being lodged in the prescribed manner and being out of time in the giving of notice in terms of s 10, with the result that these steps in the process were nullities. The acceptance of the scoping report pursuant to the flawed notice was also a nullity; and, for the same reason, the further step of lodging the EIA and EMP would </w:t>
      </w:r>
      <w:r w:rsidRPr="00F84117">
        <w:rPr>
          <w:rFonts w:ascii="Arial" w:hAnsi="Arial" w:cs="Arial"/>
          <w:i/>
          <w:iCs/>
        </w:rPr>
        <w:lastRenderedPageBreak/>
        <w:t>have been unlawful. The relief sought by Normandien, and granted by Dlodlo J, had the effect of setting aside every step in the process that had been taken to that point, and interdicting the taking of the next step.</w:t>
      </w:r>
    </w:p>
    <w:p w14:paraId="3F031911" w14:textId="35D8524C" w:rsidR="00E31C83" w:rsidRPr="00F84117" w:rsidRDefault="00E31C83" w:rsidP="00F84117">
      <w:pPr>
        <w:pStyle w:val="lrpara"/>
        <w:widowControl w:val="0"/>
        <w:shd w:val="clear" w:color="auto" w:fill="FFFFFF"/>
        <w:spacing w:before="0" w:beforeAutospacing="0" w:after="0" w:afterAutospacing="0" w:line="360" w:lineRule="auto"/>
        <w:ind w:left="540"/>
        <w:jc w:val="both"/>
        <w:rPr>
          <w:rFonts w:ascii="Arial" w:hAnsi="Arial" w:cs="Arial"/>
          <w:i/>
          <w:iCs/>
        </w:rPr>
      </w:pPr>
      <w:r w:rsidRPr="00F84117">
        <w:rPr>
          <w:rFonts w:ascii="Arial" w:hAnsi="Arial" w:cs="Arial"/>
          <w:i/>
          <w:iCs/>
        </w:rPr>
        <w:t>…</w:t>
      </w:r>
    </w:p>
    <w:p w14:paraId="6BCE5053" w14:textId="7ECCB2A7" w:rsidR="00E31C83" w:rsidRPr="00F84117" w:rsidRDefault="00E31C83" w:rsidP="00F84117">
      <w:pPr>
        <w:pStyle w:val="lrpara"/>
        <w:widowControl w:val="0"/>
        <w:shd w:val="clear" w:color="auto" w:fill="FFFFFF"/>
        <w:spacing w:before="0" w:beforeAutospacing="0" w:after="0" w:afterAutospacing="0" w:line="360" w:lineRule="auto"/>
        <w:ind w:left="540"/>
        <w:jc w:val="both"/>
        <w:rPr>
          <w:rFonts w:ascii="Arial" w:hAnsi="Arial" w:cs="Arial"/>
          <w:i/>
          <w:iCs/>
        </w:rPr>
      </w:pPr>
      <w:r w:rsidRPr="00F84117">
        <w:rPr>
          <w:rFonts w:ascii="Arial" w:hAnsi="Arial" w:cs="Arial"/>
          <w:i/>
          <w:iCs/>
        </w:rPr>
        <w:t>[33] As a general rule, a challenge to the validity of an exercise of public power that is not final in effect is premature. An application to review the action will not be ripe, and cannot succeed on that account. Hoexter explains the concept thus: </w:t>
      </w:r>
      <w:r w:rsidR="00746257" w:rsidRPr="00F84117">
        <w:rPr>
          <w:rFonts w:ascii="Arial" w:hAnsi="Arial" w:cs="Arial"/>
          <w:i/>
          <w:iCs/>
        </w:rPr>
        <w:t xml:space="preserve"> </w:t>
      </w:r>
    </w:p>
    <w:p w14:paraId="64EC7869" w14:textId="726F3CF1" w:rsidR="00E31C83" w:rsidRPr="00F84117" w:rsidRDefault="00E31C83" w:rsidP="00F84117">
      <w:pPr>
        <w:pStyle w:val="lrquote"/>
        <w:widowControl w:val="0"/>
        <w:shd w:val="clear" w:color="auto" w:fill="FFFFFF"/>
        <w:spacing w:before="0" w:beforeAutospacing="0" w:after="0" w:afterAutospacing="0" w:line="360" w:lineRule="auto"/>
        <w:ind w:left="675"/>
        <w:jc w:val="both"/>
        <w:rPr>
          <w:rFonts w:ascii="Arial" w:hAnsi="Arial" w:cs="Arial"/>
        </w:rPr>
      </w:pPr>
      <w:r w:rsidRPr="00F84117">
        <w:rPr>
          <w:rFonts w:ascii="Arial" w:hAnsi="Arial" w:cs="Arial"/>
          <w:i/>
          <w:iCs/>
        </w:rPr>
        <w:t>'The idea behind the requirement of ripeness is that a complainant should not go to court before the offending action or decision is final, or at least ripe for adjudication. It is the opposite of the doctrine of mootness, which prevents a court from deciding an issue when it is too late. The doctrine of ripeness holds that there is no point in wasting the courts' time with half-formed decisions whose shape may yet change, or indeed decisions that have not yet been made.'</w:t>
      </w:r>
      <w:r w:rsidR="00746257" w:rsidRPr="00F84117">
        <w:rPr>
          <w:rFonts w:ascii="Arial" w:hAnsi="Arial" w:cs="Arial"/>
          <w:i/>
          <w:iCs/>
        </w:rPr>
        <w:t>”</w:t>
      </w:r>
    </w:p>
    <w:p w14:paraId="2C3D5EB4" w14:textId="77777777" w:rsidR="00746257" w:rsidRPr="00F84117" w:rsidRDefault="00746257" w:rsidP="00F84117">
      <w:pPr>
        <w:pStyle w:val="ListParagraph"/>
        <w:widowControl w:val="0"/>
        <w:spacing w:after="0" w:line="360" w:lineRule="auto"/>
        <w:jc w:val="both"/>
        <w:rPr>
          <w:rFonts w:ascii="Arial" w:hAnsi="Arial" w:cs="Arial"/>
          <w:sz w:val="24"/>
          <w:szCs w:val="24"/>
        </w:rPr>
      </w:pPr>
    </w:p>
    <w:p w14:paraId="7A21D574" w14:textId="694159CF" w:rsidR="00552B70" w:rsidRPr="00F84117" w:rsidRDefault="00552B70" w:rsidP="00F84117">
      <w:pPr>
        <w:pStyle w:val="ListParagraph"/>
        <w:widowControl w:val="0"/>
        <w:numPr>
          <w:ilvl w:val="0"/>
          <w:numId w:val="3"/>
        </w:numPr>
        <w:spacing w:after="0" w:line="360" w:lineRule="auto"/>
        <w:ind w:left="540" w:hanging="540"/>
        <w:jc w:val="both"/>
        <w:rPr>
          <w:rFonts w:ascii="Arial" w:hAnsi="Arial" w:cs="Arial"/>
          <w:sz w:val="24"/>
          <w:szCs w:val="24"/>
        </w:rPr>
      </w:pPr>
      <w:r w:rsidRPr="00F84117">
        <w:rPr>
          <w:rFonts w:ascii="Arial" w:hAnsi="Arial" w:cs="Arial"/>
          <w:sz w:val="24"/>
          <w:szCs w:val="24"/>
        </w:rPr>
        <w:t>It follows that the applicants</w:t>
      </w:r>
      <w:r w:rsidR="008833FF" w:rsidRPr="00F84117">
        <w:rPr>
          <w:rFonts w:ascii="Arial" w:hAnsi="Arial" w:cs="Arial"/>
          <w:sz w:val="24"/>
          <w:szCs w:val="24"/>
        </w:rPr>
        <w:t>’</w:t>
      </w:r>
      <w:r w:rsidRPr="00F84117">
        <w:rPr>
          <w:rFonts w:ascii="Arial" w:hAnsi="Arial" w:cs="Arial"/>
          <w:sz w:val="24"/>
          <w:szCs w:val="24"/>
        </w:rPr>
        <w:t xml:space="preserve"> application is impermissible because it is premature and not ri</w:t>
      </w:r>
      <w:r w:rsidR="008833FF" w:rsidRPr="00F84117">
        <w:rPr>
          <w:rFonts w:ascii="Arial" w:hAnsi="Arial" w:cs="Arial"/>
          <w:sz w:val="24"/>
          <w:szCs w:val="24"/>
        </w:rPr>
        <w:t>pe</w:t>
      </w:r>
      <w:r w:rsidRPr="00F84117">
        <w:rPr>
          <w:rFonts w:ascii="Arial" w:hAnsi="Arial" w:cs="Arial"/>
          <w:sz w:val="24"/>
          <w:szCs w:val="24"/>
        </w:rPr>
        <w:t xml:space="preserve"> for hearing</w:t>
      </w:r>
      <w:r w:rsidR="008833FF" w:rsidRPr="00F84117">
        <w:rPr>
          <w:rFonts w:ascii="Arial" w:hAnsi="Arial" w:cs="Arial"/>
          <w:sz w:val="24"/>
          <w:szCs w:val="24"/>
        </w:rPr>
        <w:t>.  In any event, a</w:t>
      </w:r>
      <w:r w:rsidRPr="00F84117">
        <w:rPr>
          <w:rFonts w:ascii="Arial" w:hAnsi="Arial" w:cs="Arial"/>
          <w:sz w:val="24"/>
          <w:szCs w:val="24"/>
        </w:rPr>
        <w:t xml:space="preserve">s mentioned </w:t>
      </w:r>
      <w:r w:rsidR="00A51F27" w:rsidRPr="00F84117">
        <w:rPr>
          <w:rFonts w:ascii="Arial" w:hAnsi="Arial" w:cs="Arial"/>
          <w:sz w:val="24"/>
          <w:szCs w:val="24"/>
        </w:rPr>
        <w:t>below,</w:t>
      </w:r>
      <w:r w:rsidRPr="00F84117">
        <w:rPr>
          <w:rFonts w:ascii="Arial" w:hAnsi="Arial" w:cs="Arial"/>
          <w:sz w:val="24"/>
          <w:szCs w:val="24"/>
        </w:rPr>
        <w:t xml:space="preserve"> the </w:t>
      </w:r>
      <w:r w:rsidR="008833FF" w:rsidRPr="00F84117">
        <w:rPr>
          <w:rFonts w:ascii="Arial" w:hAnsi="Arial" w:cs="Arial"/>
          <w:sz w:val="24"/>
          <w:szCs w:val="24"/>
        </w:rPr>
        <w:t>C</w:t>
      </w:r>
      <w:r w:rsidRPr="00F84117">
        <w:rPr>
          <w:rFonts w:ascii="Arial" w:hAnsi="Arial" w:cs="Arial"/>
          <w:sz w:val="24"/>
          <w:szCs w:val="24"/>
        </w:rPr>
        <w:t xml:space="preserve">onstitutional </w:t>
      </w:r>
      <w:r w:rsidR="008833FF" w:rsidRPr="00F84117">
        <w:rPr>
          <w:rFonts w:ascii="Arial" w:hAnsi="Arial" w:cs="Arial"/>
          <w:sz w:val="24"/>
          <w:szCs w:val="24"/>
        </w:rPr>
        <w:t>C</w:t>
      </w:r>
      <w:r w:rsidRPr="00F84117">
        <w:rPr>
          <w:rFonts w:ascii="Arial" w:hAnsi="Arial" w:cs="Arial"/>
          <w:sz w:val="24"/>
          <w:szCs w:val="24"/>
        </w:rPr>
        <w:t xml:space="preserve">ourt </w:t>
      </w:r>
      <w:r w:rsidR="00A51F27" w:rsidRPr="00F84117">
        <w:rPr>
          <w:rFonts w:ascii="Arial" w:hAnsi="Arial" w:cs="Arial"/>
          <w:sz w:val="24"/>
          <w:szCs w:val="24"/>
        </w:rPr>
        <w:t xml:space="preserve">in </w:t>
      </w:r>
      <w:r w:rsidR="00A51F27" w:rsidRPr="00F84117">
        <w:rPr>
          <w:rFonts w:ascii="Arial" w:hAnsi="Arial" w:cs="Arial"/>
          <w:i/>
          <w:iCs/>
          <w:sz w:val="24"/>
          <w:szCs w:val="24"/>
        </w:rPr>
        <w:t>National Treasury and others v Opposition to Urban Tolling Alliance</w:t>
      </w:r>
      <w:r w:rsidR="00A51F27" w:rsidRPr="00F84117">
        <w:rPr>
          <w:rFonts w:ascii="Arial" w:hAnsi="Arial" w:cs="Arial"/>
          <w:sz w:val="24"/>
          <w:szCs w:val="24"/>
        </w:rPr>
        <w:t xml:space="preserve"> 2012 (6) SA 223 (CC) </w:t>
      </w:r>
      <w:r w:rsidRPr="00F84117">
        <w:rPr>
          <w:rFonts w:ascii="Arial" w:hAnsi="Arial" w:cs="Arial"/>
          <w:sz w:val="24"/>
          <w:szCs w:val="24"/>
        </w:rPr>
        <w:t xml:space="preserve">has established the principle that a court will restrain the exercise of statutory power only in the </w:t>
      </w:r>
      <w:r w:rsidR="008833FF" w:rsidRPr="00F84117">
        <w:rPr>
          <w:rFonts w:ascii="Arial" w:hAnsi="Arial" w:cs="Arial"/>
          <w:sz w:val="24"/>
          <w:szCs w:val="24"/>
        </w:rPr>
        <w:t xml:space="preserve">clearest </w:t>
      </w:r>
      <w:r w:rsidRPr="00F84117">
        <w:rPr>
          <w:rFonts w:ascii="Arial" w:hAnsi="Arial" w:cs="Arial"/>
          <w:sz w:val="24"/>
          <w:szCs w:val="24"/>
        </w:rPr>
        <w:t>of cases</w:t>
      </w:r>
      <w:r w:rsidR="00A51F27" w:rsidRPr="00F84117">
        <w:rPr>
          <w:rFonts w:ascii="Arial" w:hAnsi="Arial" w:cs="Arial"/>
          <w:sz w:val="24"/>
          <w:szCs w:val="24"/>
        </w:rPr>
        <w:t>.</w:t>
      </w:r>
      <w:r w:rsidRPr="00F84117">
        <w:rPr>
          <w:rFonts w:ascii="Arial" w:hAnsi="Arial" w:cs="Arial"/>
          <w:sz w:val="24"/>
          <w:szCs w:val="24"/>
        </w:rPr>
        <w:t xml:space="preserve"> </w:t>
      </w:r>
      <w:r w:rsidR="00A51F27" w:rsidRPr="00F84117">
        <w:rPr>
          <w:rFonts w:ascii="Arial" w:hAnsi="Arial" w:cs="Arial"/>
          <w:sz w:val="24"/>
          <w:szCs w:val="24"/>
        </w:rPr>
        <w:t>T</w:t>
      </w:r>
      <w:r w:rsidRPr="00F84117">
        <w:rPr>
          <w:rFonts w:ascii="Arial" w:hAnsi="Arial" w:cs="Arial"/>
          <w:sz w:val="24"/>
          <w:szCs w:val="24"/>
        </w:rPr>
        <w:t xml:space="preserve">he present case is not </w:t>
      </w:r>
      <w:r w:rsidR="00A51F27" w:rsidRPr="00F84117">
        <w:rPr>
          <w:rFonts w:ascii="Arial" w:hAnsi="Arial" w:cs="Arial"/>
          <w:sz w:val="24"/>
          <w:szCs w:val="24"/>
        </w:rPr>
        <w:t xml:space="preserve">such </w:t>
      </w:r>
      <w:r w:rsidRPr="00F84117">
        <w:rPr>
          <w:rFonts w:ascii="Arial" w:hAnsi="Arial" w:cs="Arial"/>
          <w:sz w:val="24"/>
          <w:szCs w:val="24"/>
        </w:rPr>
        <w:t>an exceptional one.</w:t>
      </w:r>
    </w:p>
    <w:p w14:paraId="43A6258F" w14:textId="77777777" w:rsidR="009225DF" w:rsidRPr="00F84117" w:rsidRDefault="009225DF" w:rsidP="00F84117">
      <w:pPr>
        <w:widowControl w:val="0"/>
        <w:spacing w:after="0" w:line="360" w:lineRule="auto"/>
        <w:jc w:val="both"/>
        <w:rPr>
          <w:rFonts w:ascii="Arial" w:hAnsi="Arial" w:cs="Arial"/>
          <w:sz w:val="24"/>
          <w:szCs w:val="24"/>
        </w:rPr>
      </w:pPr>
    </w:p>
    <w:p w14:paraId="611DDBD2" w14:textId="3CED4378" w:rsidR="00EF62F5" w:rsidRPr="00F84117" w:rsidRDefault="00EF62F5" w:rsidP="00F84117">
      <w:pPr>
        <w:widowControl w:val="0"/>
        <w:spacing w:after="0" w:line="360" w:lineRule="auto"/>
        <w:jc w:val="both"/>
        <w:rPr>
          <w:rFonts w:ascii="Arial" w:hAnsi="Arial" w:cs="Arial"/>
          <w:sz w:val="24"/>
          <w:szCs w:val="24"/>
          <w:u w:val="single"/>
        </w:rPr>
      </w:pPr>
      <w:r w:rsidRPr="00F84117">
        <w:rPr>
          <w:rFonts w:ascii="Arial" w:hAnsi="Arial" w:cs="Arial"/>
          <w:sz w:val="24"/>
          <w:szCs w:val="24"/>
          <w:u w:val="single"/>
        </w:rPr>
        <w:t>Is it inequitable for the applicants to have to follow the prescribed routes available to them under the MPBL and PAJA?</w:t>
      </w:r>
    </w:p>
    <w:p w14:paraId="41BEDAE6" w14:textId="77777777" w:rsidR="00EF62F5" w:rsidRPr="00F84117" w:rsidRDefault="00EF62F5" w:rsidP="00F84117">
      <w:pPr>
        <w:widowControl w:val="0"/>
        <w:spacing w:after="0" w:line="360" w:lineRule="auto"/>
        <w:jc w:val="both"/>
        <w:rPr>
          <w:rFonts w:ascii="Arial" w:hAnsi="Arial" w:cs="Arial"/>
          <w:sz w:val="24"/>
          <w:szCs w:val="24"/>
        </w:rPr>
      </w:pPr>
    </w:p>
    <w:p w14:paraId="283376E9" w14:textId="3CF539DE" w:rsidR="00BB0FD5" w:rsidRPr="00F84117" w:rsidRDefault="00596661"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w:t>
      </w:r>
      <w:r w:rsidR="00BB0FD5" w:rsidRPr="00F84117">
        <w:rPr>
          <w:rFonts w:ascii="Arial" w:hAnsi="Arial" w:cs="Arial"/>
          <w:sz w:val="24"/>
          <w:szCs w:val="24"/>
        </w:rPr>
        <w:t xml:space="preserve">t is undisputed on the papers that The Blue Café had in fact launched a </w:t>
      </w:r>
      <w:r w:rsidR="00F620E1" w:rsidRPr="00F84117">
        <w:rPr>
          <w:rFonts w:ascii="Arial" w:hAnsi="Arial" w:cs="Arial"/>
          <w:sz w:val="24"/>
          <w:szCs w:val="24"/>
        </w:rPr>
        <w:t xml:space="preserve">first </w:t>
      </w:r>
      <w:r w:rsidR="00BB0FD5" w:rsidRPr="00F84117">
        <w:rPr>
          <w:rFonts w:ascii="Arial" w:hAnsi="Arial" w:cs="Arial"/>
          <w:sz w:val="24"/>
          <w:szCs w:val="24"/>
        </w:rPr>
        <w:t>rezoning application in Ma</w:t>
      </w:r>
      <w:r w:rsidR="00F620E1" w:rsidRPr="00F84117">
        <w:rPr>
          <w:rFonts w:ascii="Arial" w:hAnsi="Arial" w:cs="Arial"/>
          <w:sz w:val="24"/>
          <w:szCs w:val="24"/>
        </w:rPr>
        <w:t>y</w:t>
      </w:r>
      <w:r w:rsidR="00BB0FD5" w:rsidRPr="00F84117">
        <w:rPr>
          <w:rFonts w:ascii="Arial" w:hAnsi="Arial" w:cs="Arial"/>
          <w:sz w:val="24"/>
          <w:szCs w:val="24"/>
        </w:rPr>
        <w:t xml:space="preserve"> 2021 already, many months before the institution of the 21 November 2021 application</w:t>
      </w:r>
      <w:r w:rsidR="00544B1F" w:rsidRPr="00F84117">
        <w:rPr>
          <w:rFonts w:ascii="Arial" w:hAnsi="Arial" w:cs="Arial"/>
          <w:sz w:val="24"/>
          <w:szCs w:val="24"/>
        </w:rPr>
        <w:t xml:space="preserve"> (which was brought on a semi-urgent basis</w:t>
      </w:r>
      <w:r w:rsidR="00E94244" w:rsidRPr="00F84117">
        <w:rPr>
          <w:rFonts w:ascii="Arial" w:hAnsi="Arial" w:cs="Arial"/>
          <w:sz w:val="24"/>
          <w:szCs w:val="24"/>
        </w:rPr>
        <w:t xml:space="preserve"> and subsequently postponed</w:t>
      </w:r>
      <w:r w:rsidR="00544B1F" w:rsidRPr="00F84117">
        <w:rPr>
          <w:rFonts w:ascii="Arial" w:hAnsi="Arial" w:cs="Arial"/>
          <w:sz w:val="24"/>
          <w:szCs w:val="24"/>
        </w:rPr>
        <w:t>) and, indeed, the present application</w:t>
      </w:r>
      <w:r w:rsidR="00BB0FD5" w:rsidRPr="00F84117">
        <w:rPr>
          <w:rFonts w:ascii="Arial" w:hAnsi="Arial" w:cs="Arial"/>
          <w:sz w:val="24"/>
          <w:szCs w:val="24"/>
        </w:rPr>
        <w:t>.  The applicants were well aware of that application</w:t>
      </w:r>
      <w:r w:rsidR="00544B1F" w:rsidRPr="00F84117">
        <w:rPr>
          <w:rFonts w:ascii="Arial" w:hAnsi="Arial" w:cs="Arial"/>
          <w:sz w:val="24"/>
          <w:szCs w:val="24"/>
        </w:rPr>
        <w:t xml:space="preserve">.  This casts serious doubt upon the allegations of urgency, and the reasons proffered therefor, said to be inherent in the present application because of the noise and nuisance complaints levelled at The Blue Café.  </w:t>
      </w:r>
      <w:r w:rsidR="00E94244" w:rsidRPr="00F84117">
        <w:rPr>
          <w:rFonts w:ascii="Arial" w:hAnsi="Arial" w:cs="Arial"/>
          <w:sz w:val="24"/>
          <w:szCs w:val="24"/>
        </w:rPr>
        <w:t>More importantly, t</w:t>
      </w:r>
      <w:r w:rsidR="00730BC8" w:rsidRPr="00F84117">
        <w:rPr>
          <w:rFonts w:ascii="Arial" w:hAnsi="Arial" w:cs="Arial"/>
          <w:sz w:val="24"/>
          <w:szCs w:val="24"/>
        </w:rPr>
        <w:t xml:space="preserve">his has an impact upon the applicants’ argument that it would be inequitable to let them await the outcome of the </w:t>
      </w:r>
      <w:r w:rsidR="00730BC8" w:rsidRPr="00F84117">
        <w:rPr>
          <w:rFonts w:ascii="Arial" w:hAnsi="Arial" w:cs="Arial"/>
          <w:sz w:val="24"/>
          <w:szCs w:val="24"/>
        </w:rPr>
        <w:lastRenderedPageBreak/>
        <w:t>rezoning process by the City prior to taking the further steps available to them under the MPBL and, if necessary, PAJA, all of which will take time to complete.</w:t>
      </w:r>
    </w:p>
    <w:p w14:paraId="6E5B3C54" w14:textId="30EE45A7" w:rsidR="00BD2403" w:rsidRPr="00F84117" w:rsidRDefault="00BD2403" w:rsidP="00F84117">
      <w:pPr>
        <w:pStyle w:val="ListParagraph"/>
        <w:widowControl w:val="0"/>
        <w:spacing w:after="0" w:line="360" w:lineRule="auto"/>
        <w:jc w:val="both"/>
        <w:rPr>
          <w:rFonts w:ascii="Arial" w:hAnsi="Arial" w:cs="Arial"/>
          <w:sz w:val="24"/>
          <w:szCs w:val="24"/>
        </w:rPr>
      </w:pPr>
    </w:p>
    <w:p w14:paraId="3FF2EE23" w14:textId="73B64594" w:rsidR="00EF62F5" w:rsidRPr="00F84117" w:rsidRDefault="00EF62F5" w:rsidP="00F84117">
      <w:pPr>
        <w:widowControl w:val="0"/>
        <w:spacing w:after="0" w:line="360" w:lineRule="auto"/>
        <w:jc w:val="both"/>
        <w:rPr>
          <w:rFonts w:ascii="Arial" w:hAnsi="Arial" w:cs="Arial"/>
          <w:sz w:val="24"/>
          <w:szCs w:val="24"/>
          <w:u w:val="single"/>
        </w:rPr>
      </w:pPr>
      <w:r w:rsidRPr="00F84117">
        <w:rPr>
          <w:rFonts w:ascii="Arial" w:hAnsi="Arial" w:cs="Arial"/>
          <w:sz w:val="24"/>
          <w:szCs w:val="24"/>
          <w:u w:val="single"/>
        </w:rPr>
        <w:t>Intrusion by the Court on the executive terrain of the City</w:t>
      </w:r>
    </w:p>
    <w:p w14:paraId="3F7E88DD" w14:textId="77777777" w:rsidR="00EF62F5" w:rsidRPr="00F84117" w:rsidRDefault="00EF62F5" w:rsidP="00F84117">
      <w:pPr>
        <w:pStyle w:val="ListParagraph"/>
        <w:widowControl w:val="0"/>
        <w:spacing w:after="0" w:line="360" w:lineRule="auto"/>
        <w:jc w:val="both"/>
        <w:rPr>
          <w:rFonts w:ascii="Arial" w:hAnsi="Arial" w:cs="Arial"/>
          <w:sz w:val="24"/>
          <w:szCs w:val="24"/>
        </w:rPr>
      </w:pPr>
    </w:p>
    <w:p w14:paraId="4B41A019" w14:textId="7EA86415" w:rsidR="00F620E1" w:rsidRPr="00F84117" w:rsidRDefault="00363575"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T</w:t>
      </w:r>
      <w:r w:rsidR="00BD2403" w:rsidRPr="00F84117">
        <w:rPr>
          <w:rFonts w:ascii="Arial" w:hAnsi="Arial" w:cs="Arial"/>
          <w:sz w:val="24"/>
          <w:szCs w:val="24"/>
        </w:rPr>
        <w:t xml:space="preserve">he nature of the relief sought by the applicants will effectively cut off the lawful means by which The Blue Café seeks to resolve its unsatisfactory position in respect of its zoning and the uncertainty concerning its NCU rights.  It </w:t>
      </w:r>
      <w:r w:rsidR="00FD0954" w:rsidRPr="00F84117">
        <w:rPr>
          <w:rFonts w:ascii="Arial" w:hAnsi="Arial" w:cs="Arial"/>
          <w:sz w:val="24"/>
          <w:szCs w:val="24"/>
        </w:rPr>
        <w:t>is clear from the paper t</w:t>
      </w:r>
      <w:r w:rsidR="00BD2403" w:rsidRPr="00F84117">
        <w:rPr>
          <w:rFonts w:ascii="Arial" w:hAnsi="Arial" w:cs="Arial"/>
          <w:sz w:val="24"/>
          <w:szCs w:val="24"/>
        </w:rPr>
        <w:t xml:space="preserve">hat the applicants advance their case merely to prevent the City from determining the rezoning application on an interim basis because of its alleged bias.  Instead, they </w:t>
      </w:r>
      <w:r w:rsidR="00596661" w:rsidRPr="00F84117">
        <w:rPr>
          <w:rFonts w:ascii="Arial" w:hAnsi="Arial" w:cs="Arial"/>
          <w:sz w:val="24"/>
          <w:szCs w:val="24"/>
        </w:rPr>
        <w:t xml:space="preserve">ultimately </w:t>
      </w:r>
      <w:r w:rsidR="00BD2403" w:rsidRPr="00F84117">
        <w:rPr>
          <w:rFonts w:ascii="Arial" w:hAnsi="Arial" w:cs="Arial"/>
          <w:sz w:val="24"/>
          <w:szCs w:val="24"/>
        </w:rPr>
        <w:t>seek to prevent (in the absence of a</w:t>
      </w:r>
      <w:r w:rsidR="00596661" w:rsidRPr="00F84117">
        <w:rPr>
          <w:rFonts w:ascii="Arial" w:hAnsi="Arial" w:cs="Arial"/>
          <w:sz w:val="24"/>
          <w:szCs w:val="24"/>
        </w:rPr>
        <w:t xml:space="preserve">ny </w:t>
      </w:r>
      <w:r w:rsidR="00BD2403" w:rsidRPr="00F84117">
        <w:rPr>
          <w:rFonts w:ascii="Arial" w:hAnsi="Arial" w:cs="Arial"/>
          <w:sz w:val="24"/>
          <w:szCs w:val="24"/>
        </w:rPr>
        <w:t xml:space="preserve">decision by the City) any rezoning of the property that would enable </w:t>
      </w:r>
      <w:r w:rsidR="003E48D1" w:rsidRPr="00F84117">
        <w:rPr>
          <w:rFonts w:ascii="Arial" w:hAnsi="Arial" w:cs="Arial"/>
          <w:sz w:val="24"/>
          <w:szCs w:val="24"/>
        </w:rPr>
        <w:t>the Café’s business to continue.</w:t>
      </w:r>
      <w:r w:rsidR="00101E14" w:rsidRPr="00F84117">
        <w:rPr>
          <w:rFonts w:ascii="Arial" w:hAnsi="Arial" w:cs="Arial"/>
          <w:sz w:val="24"/>
          <w:szCs w:val="24"/>
        </w:rPr>
        <w:t xml:space="preserve">  The focus of the application is to prevent the Café from trading by removing the latter’s right to have its rezoning application adjudicated upon by the City.</w:t>
      </w:r>
    </w:p>
    <w:p w14:paraId="2FA7CA02" w14:textId="77777777" w:rsidR="00F620E1" w:rsidRPr="00F84117" w:rsidRDefault="00F620E1" w:rsidP="00F84117">
      <w:pPr>
        <w:pStyle w:val="ListParagraph"/>
        <w:widowControl w:val="0"/>
        <w:spacing w:after="0" w:line="360" w:lineRule="auto"/>
        <w:jc w:val="both"/>
        <w:rPr>
          <w:rFonts w:ascii="Arial" w:hAnsi="Arial" w:cs="Arial"/>
          <w:sz w:val="24"/>
          <w:szCs w:val="24"/>
        </w:rPr>
      </w:pPr>
    </w:p>
    <w:p w14:paraId="071CA56B" w14:textId="0ADFAC46" w:rsidR="0003525F" w:rsidRPr="00F84117" w:rsidRDefault="00F620E1"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The interdictory relief sought in this application requires the Court to overstep the bounds of its constitutional powers. The applicants are not entitled to an order that would prevent the City indefinitely from exercising its constitutional</w:t>
      </w:r>
      <w:r w:rsidR="00893B3A" w:rsidRPr="00F84117">
        <w:rPr>
          <w:rFonts w:ascii="Arial" w:hAnsi="Arial" w:cs="Arial"/>
          <w:sz w:val="24"/>
          <w:szCs w:val="24"/>
        </w:rPr>
        <w:t>ly</w:t>
      </w:r>
      <w:r w:rsidRPr="00F84117">
        <w:rPr>
          <w:rFonts w:ascii="Arial" w:hAnsi="Arial" w:cs="Arial"/>
          <w:sz w:val="24"/>
          <w:szCs w:val="24"/>
        </w:rPr>
        <w:t xml:space="preserve"> mandate</w:t>
      </w:r>
      <w:r w:rsidR="00893B3A" w:rsidRPr="00F84117">
        <w:rPr>
          <w:rFonts w:ascii="Arial" w:hAnsi="Arial" w:cs="Arial"/>
          <w:sz w:val="24"/>
          <w:szCs w:val="24"/>
        </w:rPr>
        <w:t>d</w:t>
      </w:r>
      <w:r w:rsidRPr="00F84117">
        <w:rPr>
          <w:rFonts w:ascii="Arial" w:hAnsi="Arial" w:cs="Arial"/>
          <w:sz w:val="24"/>
          <w:szCs w:val="24"/>
        </w:rPr>
        <w:t xml:space="preserve"> powers. Section 156(1) of the Constitution, read with part B of Schedule 4, provides that municipalities such as the City have executive authority and the right to administer </w:t>
      </w:r>
      <w:r w:rsidR="0003525F" w:rsidRPr="00F84117">
        <w:rPr>
          <w:rFonts w:ascii="Arial" w:hAnsi="Arial" w:cs="Arial"/>
          <w:sz w:val="24"/>
          <w:szCs w:val="24"/>
        </w:rPr>
        <w:t xml:space="preserve">matters </w:t>
      </w:r>
      <w:r w:rsidRPr="00F84117">
        <w:rPr>
          <w:rFonts w:ascii="Arial" w:hAnsi="Arial" w:cs="Arial"/>
          <w:sz w:val="24"/>
          <w:szCs w:val="24"/>
        </w:rPr>
        <w:t xml:space="preserve">concerning municipal planning. The </w:t>
      </w:r>
      <w:r w:rsidR="0003525F" w:rsidRPr="00F84117">
        <w:rPr>
          <w:rFonts w:ascii="Arial" w:hAnsi="Arial" w:cs="Arial"/>
          <w:sz w:val="24"/>
          <w:szCs w:val="24"/>
        </w:rPr>
        <w:t>C</w:t>
      </w:r>
      <w:r w:rsidRPr="00F84117">
        <w:rPr>
          <w:rFonts w:ascii="Arial" w:hAnsi="Arial" w:cs="Arial"/>
          <w:sz w:val="24"/>
          <w:szCs w:val="24"/>
        </w:rPr>
        <w:t xml:space="preserve">ity consequently has the </w:t>
      </w:r>
      <w:r w:rsidR="0003525F" w:rsidRPr="00F84117">
        <w:rPr>
          <w:rFonts w:ascii="Arial" w:hAnsi="Arial" w:cs="Arial"/>
          <w:sz w:val="24"/>
          <w:szCs w:val="24"/>
        </w:rPr>
        <w:t>constitutional</w:t>
      </w:r>
      <w:r w:rsidRPr="00F84117">
        <w:rPr>
          <w:rFonts w:ascii="Arial" w:hAnsi="Arial" w:cs="Arial"/>
          <w:sz w:val="24"/>
          <w:szCs w:val="24"/>
        </w:rPr>
        <w:t xml:space="preserve"> entitlement to exercise its powers regarding municipal planning matters such as re-zoning applications.</w:t>
      </w:r>
    </w:p>
    <w:p w14:paraId="7102C027" w14:textId="77777777" w:rsidR="0003525F" w:rsidRPr="00F84117" w:rsidRDefault="0003525F" w:rsidP="00F84117">
      <w:pPr>
        <w:pStyle w:val="ListParagraph"/>
        <w:widowControl w:val="0"/>
        <w:spacing w:after="0" w:line="360" w:lineRule="auto"/>
        <w:jc w:val="both"/>
        <w:rPr>
          <w:rFonts w:ascii="Arial" w:hAnsi="Arial" w:cs="Arial"/>
          <w:sz w:val="24"/>
          <w:szCs w:val="24"/>
        </w:rPr>
      </w:pPr>
    </w:p>
    <w:p w14:paraId="193B5F5E" w14:textId="61523D77" w:rsidR="0003525F" w:rsidRPr="00F84117" w:rsidRDefault="00596661"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I agree with the respondents that t</w:t>
      </w:r>
      <w:r w:rsidR="00F620E1" w:rsidRPr="00F84117">
        <w:rPr>
          <w:rFonts w:ascii="Arial" w:hAnsi="Arial" w:cs="Arial"/>
          <w:sz w:val="24"/>
          <w:szCs w:val="24"/>
        </w:rPr>
        <w:t>he relief sought by the applicant</w:t>
      </w:r>
      <w:r w:rsidR="0003525F" w:rsidRPr="00F84117">
        <w:rPr>
          <w:rFonts w:ascii="Arial" w:hAnsi="Arial" w:cs="Arial"/>
          <w:sz w:val="24"/>
          <w:szCs w:val="24"/>
        </w:rPr>
        <w:t>s</w:t>
      </w:r>
      <w:r w:rsidR="00F620E1" w:rsidRPr="00F84117">
        <w:rPr>
          <w:rFonts w:ascii="Arial" w:hAnsi="Arial" w:cs="Arial"/>
          <w:sz w:val="24"/>
          <w:szCs w:val="24"/>
        </w:rPr>
        <w:t xml:space="preserve"> would preclude the </w:t>
      </w:r>
      <w:r w:rsidR="0003525F" w:rsidRPr="00F84117">
        <w:rPr>
          <w:rFonts w:ascii="Arial" w:hAnsi="Arial" w:cs="Arial"/>
          <w:sz w:val="24"/>
          <w:szCs w:val="24"/>
        </w:rPr>
        <w:t>C</w:t>
      </w:r>
      <w:r w:rsidR="00F620E1" w:rsidRPr="00F84117">
        <w:rPr>
          <w:rFonts w:ascii="Arial" w:hAnsi="Arial" w:cs="Arial"/>
          <w:sz w:val="24"/>
          <w:szCs w:val="24"/>
        </w:rPr>
        <w:t xml:space="preserve">ity from exercising this power and entitlement by requiring the </w:t>
      </w:r>
      <w:r w:rsidR="0003525F" w:rsidRPr="00F84117">
        <w:rPr>
          <w:rFonts w:ascii="Arial" w:hAnsi="Arial" w:cs="Arial"/>
          <w:sz w:val="24"/>
          <w:szCs w:val="24"/>
        </w:rPr>
        <w:t>C</w:t>
      </w:r>
      <w:r w:rsidR="00F620E1" w:rsidRPr="00F84117">
        <w:rPr>
          <w:rFonts w:ascii="Arial" w:hAnsi="Arial" w:cs="Arial"/>
          <w:sz w:val="24"/>
          <w:szCs w:val="24"/>
        </w:rPr>
        <w:t>ourt to intrud</w:t>
      </w:r>
      <w:r w:rsidR="0003525F" w:rsidRPr="00F84117">
        <w:rPr>
          <w:rFonts w:ascii="Arial" w:hAnsi="Arial" w:cs="Arial"/>
          <w:sz w:val="24"/>
          <w:szCs w:val="24"/>
        </w:rPr>
        <w:t>e</w:t>
      </w:r>
      <w:r w:rsidR="00F620E1" w:rsidRPr="00F84117">
        <w:rPr>
          <w:rFonts w:ascii="Arial" w:hAnsi="Arial" w:cs="Arial"/>
          <w:sz w:val="24"/>
          <w:szCs w:val="24"/>
        </w:rPr>
        <w:t xml:space="preserve"> upon the executive </w:t>
      </w:r>
      <w:r w:rsidR="0003525F" w:rsidRPr="00F84117">
        <w:rPr>
          <w:rFonts w:ascii="Arial" w:hAnsi="Arial" w:cs="Arial"/>
          <w:sz w:val="24"/>
          <w:szCs w:val="24"/>
        </w:rPr>
        <w:t>terrain</w:t>
      </w:r>
      <w:r w:rsidR="00F620E1" w:rsidRPr="00F84117">
        <w:rPr>
          <w:rFonts w:ascii="Arial" w:hAnsi="Arial" w:cs="Arial"/>
          <w:sz w:val="24"/>
          <w:szCs w:val="24"/>
        </w:rPr>
        <w:t xml:space="preserve"> of the </w:t>
      </w:r>
      <w:r w:rsidR="0003525F" w:rsidRPr="00F84117">
        <w:rPr>
          <w:rFonts w:ascii="Arial" w:hAnsi="Arial" w:cs="Arial"/>
          <w:sz w:val="24"/>
          <w:szCs w:val="24"/>
        </w:rPr>
        <w:t>C</w:t>
      </w:r>
      <w:r w:rsidR="00F620E1" w:rsidRPr="00F84117">
        <w:rPr>
          <w:rFonts w:ascii="Arial" w:hAnsi="Arial" w:cs="Arial"/>
          <w:sz w:val="24"/>
          <w:szCs w:val="24"/>
        </w:rPr>
        <w:t>ity</w:t>
      </w:r>
      <w:r w:rsidR="0003525F" w:rsidRPr="00F84117">
        <w:rPr>
          <w:rFonts w:ascii="Arial" w:hAnsi="Arial" w:cs="Arial"/>
          <w:sz w:val="24"/>
          <w:szCs w:val="24"/>
        </w:rPr>
        <w:t xml:space="preserve"> in</w:t>
      </w:r>
      <w:r w:rsidR="00F620E1" w:rsidRPr="00F84117">
        <w:rPr>
          <w:rFonts w:ascii="Arial" w:hAnsi="Arial" w:cs="Arial"/>
          <w:sz w:val="24"/>
          <w:szCs w:val="24"/>
        </w:rPr>
        <w:t xml:space="preserve"> breach the doctrine of separation of powers. It is one thing for the </w:t>
      </w:r>
      <w:r w:rsidR="0003525F" w:rsidRPr="00F84117">
        <w:rPr>
          <w:rFonts w:ascii="Arial" w:hAnsi="Arial" w:cs="Arial"/>
          <w:sz w:val="24"/>
          <w:szCs w:val="24"/>
        </w:rPr>
        <w:t>Court</w:t>
      </w:r>
      <w:r w:rsidR="00F620E1" w:rsidRPr="00F84117">
        <w:rPr>
          <w:rFonts w:ascii="Arial" w:hAnsi="Arial" w:cs="Arial"/>
          <w:sz w:val="24"/>
          <w:szCs w:val="24"/>
        </w:rPr>
        <w:t xml:space="preserve"> to review the exercise of a statutory power to determine whether it has been constitutionally and lawfully exercised, or to restrain the exercise of a statutory power on a temporary basis pending</w:t>
      </w:r>
      <w:r w:rsidR="0003525F" w:rsidRPr="00F84117">
        <w:rPr>
          <w:rFonts w:ascii="Arial" w:hAnsi="Arial" w:cs="Arial"/>
          <w:sz w:val="24"/>
          <w:szCs w:val="24"/>
        </w:rPr>
        <w:t>,</w:t>
      </w:r>
      <w:r w:rsidR="00F620E1" w:rsidRPr="00F84117">
        <w:rPr>
          <w:rFonts w:ascii="Arial" w:hAnsi="Arial" w:cs="Arial"/>
          <w:sz w:val="24"/>
          <w:szCs w:val="24"/>
        </w:rPr>
        <w:t xml:space="preserve"> for example</w:t>
      </w:r>
      <w:r w:rsidR="0003525F" w:rsidRPr="00F84117">
        <w:rPr>
          <w:rFonts w:ascii="Arial" w:hAnsi="Arial" w:cs="Arial"/>
          <w:sz w:val="24"/>
          <w:szCs w:val="24"/>
        </w:rPr>
        <w:t>,</w:t>
      </w:r>
      <w:r w:rsidR="00F620E1" w:rsidRPr="00F84117">
        <w:rPr>
          <w:rFonts w:ascii="Arial" w:hAnsi="Arial" w:cs="Arial"/>
          <w:sz w:val="24"/>
          <w:szCs w:val="24"/>
        </w:rPr>
        <w:t xml:space="preserve"> a subsequent review application. It is quite another thing to preclude </w:t>
      </w:r>
      <w:r w:rsidR="0003525F" w:rsidRPr="00F84117">
        <w:rPr>
          <w:rFonts w:ascii="Arial" w:hAnsi="Arial" w:cs="Arial"/>
          <w:sz w:val="24"/>
          <w:szCs w:val="24"/>
        </w:rPr>
        <w:t>a</w:t>
      </w:r>
      <w:r w:rsidR="00F620E1" w:rsidRPr="00F84117">
        <w:rPr>
          <w:rFonts w:ascii="Arial" w:hAnsi="Arial" w:cs="Arial"/>
          <w:sz w:val="24"/>
          <w:szCs w:val="24"/>
        </w:rPr>
        <w:t xml:space="preserve">n </w:t>
      </w:r>
      <w:r w:rsidR="0003525F" w:rsidRPr="00F84117">
        <w:rPr>
          <w:rFonts w:ascii="Arial" w:hAnsi="Arial" w:cs="Arial"/>
          <w:sz w:val="24"/>
          <w:szCs w:val="24"/>
        </w:rPr>
        <w:t xml:space="preserve">administrative </w:t>
      </w:r>
      <w:r w:rsidR="00F620E1" w:rsidRPr="00F84117">
        <w:rPr>
          <w:rFonts w:ascii="Arial" w:hAnsi="Arial" w:cs="Arial"/>
          <w:sz w:val="24"/>
          <w:szCs w:val="24"/>
        </w:rPr>
        <w:t>authority from exercising the power at all.</w:t>
      </w:r>
    </w:p>
    <w:p w14:paraId="3A8D5C5A" w14:textId="77777777" w:rsidR="0003525F" w:rsidRPr="00F84117" w:rsidRDefault="0003525F" w:rsidP="00F84117">
      <w:pPr>
        <w:pStyle w:val="ListParagraph"/>
        <w:widowControl w:val="0"/>
        <w:spacing w:after="0" w:line="360" w:lineRule="auto"/>
        <w:jc w:val="both"/>
        <w:rPr>
          <w:rFonts w:ascii="Arial" w:hAnsi="Arial" w:cs="Arial"/>
          <w:sz w:val="24"/>
          <w:szCs w:val="24"/>
        </w:rPr>
      </w:pPr>
    </w:p>
    <w:p w14:paraId="563B09FA" w14:textId="5CD7CC1C" w:rsidR="00812FF7" w:rsidRPr="00F84117" w:rsidRDefault="0003525F"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lastRenderedPageBreak/>
        <w:t>The applicants have not established that this is an exceptional case warrant</w:t>
      </w:r>
      <w:r w:rsidR="00363575" w:rsidRPr="00F84117">
        <w:rPr>
          <w:rFonts w:ascii="Arial" w:hAnsi="Arial" w:cs="Arial"/>
          <w:sz w:val="24"/>
          <w:szCs w:val="24"/>
        </w:rPr>
        <w:t>ing</w:t>
      </w:r>
      <w:r w:rsidRPr="00F84117">
        <w:rPr>
          <w:rFonts w:ascii="Arial" w:hAnsi="Arial" w:cs="Arial"/>
          <w:sz w:val="24"/>
          <w:szCs w:val="24"/>
        </w:rPr>
        <w:t xml:space="preserve"> an order restricting the City from exercising its powers even on a temporary basis. </w:t>
      </w:r>
      <w:r w:rsidR="00363575" w:rsidRPr="00F84117">
        <w:rPr>
          <w:rFonts w:ascii="Arial" w:hAnsi="Arial" w:cs="Arial"/>
          <w:sz w:val="24"/>
          <w:szCs w:val="24"/>
        </w:rPr>
        <w:t>T</w:t>
      </w:r>
      <w:r w:rsidRPr="00F84117">
        <w:rPr>
          <w:rFonts w:ascii="Arial" w:hAnsi="Arial" w:cs="Arial"/>
          <w:sz w:val="24"/>
          <w:szCs w:val="24"/>
        </w:rPr>
        <w:t xml:space="preserve">he Constitutional Court in </w:t>
      </w:r>
      <w:r w:rsidRPr="00F84117">
        <w:rPr>
          <w:rFonts w:ascii="Arial" w:hAnsi="Arial" w:cs="Arial"/>
          <w:i/>
          <w:iCs/>
          <w:sz w:val="24"/>
          <w:szCs w:val="24"/>
        </w:rPr>
        <w:t>National Treasury</w:t>
      </w:r>
      <w:r w:rsidR="00893B3A" w:rsidRPr="00F84117">
        <w:rPr>
          <w:rFonts w:ascii="Arial" w:hAnsi="Arial" w:cs="Arial"/>
          <w:i/>
          <w:iCs/>
          <w:sz w:val="24"/>
          <w:szCs w:val="24"/>
        </w:rPr>
        <w:t xml:space="preserve"> and others v Opposition to Urban Tolling Alliance</w:t>
      </w:r>
      <w:r w:rsidR="00893B3A" w:rsidRPr="00F84117">
        <w:rPr>
          <w:rFonts w:ascii="Arial" w:hAnsi="Arial" w:cs="Arial"/>
          <w:sz w:val="24"/>
          <w:szCs w:val="24"/>
        </w:rPr>
        <w:t xml:space="preserve"> 2012 (6) SA 223 (CC) at paras [44]-[45]</w:t>
      </w:r>
      <w:r w:rsidRPr="00F84117">
        <w:rPr>
          <w:rFonts w:ascii="Arial" w:hAnsi="Arial" w:cs="Arial"/>
          <w:sz w:val="24"/>
          <w:szCs w:val="24"/>
        </w:rPr>
        <w:t xml:space="preserve"> set down the test applicable in in</w:t>
      </w:r>
      <w:r w:rsidR="00893B3A" w:rsidRPr="00F84117">
        <w:rPr>
          <w:rFonts w:ascii="Arial" w:hAnsi="Arial" w:cs="Arial"/>
          <w:sz w:val="24"/>
          <w:szCs w:val="24"/>
        </w:rPr>
        <w:t>t</w:t>
      </w:r>
      <w:r w:rsidRPr="00F84117">
        <w:rPr>
          <w:rFonts w:ascii="Arial" w:hAnsi="Arial" w:cs="Arial"/>
          <w:sz w:val="24"/>
          <w:szCs w:val="24"/>
        </w:rPr>
        <w:t>erim interdict proceedings to restrain the exercise of a statutory power</w:t>
      </w:r>
      <w:r w:rsidR="00893B3A" w:rsidRPr="00F84117">
        <w:rPr>
          <w:rFonts w:ascii="Arial" w:hAnsi="Arial" w:cs="Arial"/>
          <w:sz w:val="24"/>
          <w:szCs w:val="24"/>
        </w:rPr>
        <w:t>:</w:t>
      </w:r>
    </w:p>
    <w:p w14:paraId="31FA9A02" w14:textId="75B2280F" w:rsidR="00812FF7" w:rsidRPr="00F84117" w:rsidRDefault="00812FF7" w:rsidP="00F84117">
      <w:pPr>
        <w:pStyle w:val="ListParagraph"/>
        <w:widowControl w:val="0"/>
        <w:spacing w:after="0" w:line="360" w:lineRule="auto"/>
        <w:jc w:val="both"/>
        <w:rPr>
          <w:rFonts w:ascii="Arial" w:hAnsi="Arial" w:cs="Arial"/>
          <w:sz w:val="24"/>
          <w:szCs w:val="24"/>
        </w:rPr>
      </w:pPr>
    </w:p>
    <w:p w14:paraId="6367C627" w14:textId="10C97905" w:rsidR="00C05BE8" w:rsidRPr="00F84117" w:rsidRDefault="00363575" w:rsidP="00F84117">
      <w:pPr>
        <w:pStyle w:val="lrpara"/>
        <w:widowControl w:val="0"/>
        <w:shd w:val="clear" w:color="auto" w:fill="FFFFFF"/>
        <w:spacing w:before="0" w:beforeAutospacing="0" w:after="0" w:afterAutospacing="0" w:line="360" w:lineRule="auto"/>
        <w:ind w:left="567"/>
        <w:jc w:val="both"/>
        <w:rPr>
          <w:rFonts w:ascii="Arial" w:hAnsi="Arial" w:cs="Arial"/>
          <w:i/>
          <w:iCs/>
        </w:rPr>
      </w:pPr>
      <w:r w:rsidRPr="00F84117">
        <w:rPr>
          <w:rFonts w:ascii="Arial" w:hAnsi="Arial" w:cs="Arial"/>
          <w:i/>
          <w:iCs/>
        </w:rPr>
        <w:t>“</w:t>
      </w:r>
      <w:r w:rsidR="00C05BE8" w:rsidRPr="00F84117">
        <w:rPr>
          <w:rFonts w:ascii="Arial" w:hAnsi="Arial" w:cs="Arial"/>
          <w:i/>
          <w:iCs/>
        </w:rPr>
        <w:t>[44] The common-law annotation to the Setlogelo test is that courts grant temporary restraining orders against the exercise of statutory power only in exceptional cases and when a strong case for that relief has been made out. Beyond the common law, separation of powers is an even more vital tenet of our constitutional democracy. This means that the Constitution requires courts to ensure that all branches of government act within the law. However, courts in turn must refrain from entering the exclusive terrain of the executive and the legislative branches of government unless the intrusion is mandated by the Constitution itself.</w:t>
      </w:r>
    </w:p>
    <w:p w14:paraId="1F29AD32" w14:textId="1BD86CF6" w:rsidR="00C05BE8" w:rsidRPr="00F84117" w:rsidRDefault="00C05BE8" w:rsidP="00F84117">
      <w:pPr>
        <w:pStyle w:val="lrpara"/>
        <w:widowControl w:val="0"/>
        <w:shd w:val="clear" w:color="auto" w:fill="FFFFFF"/>
        <w:spacing w:before="0" w:beforeAutospacing="0" w:after="0" w:afterAutospacing="0" w:line="360" w:lineRule="auto"/>
        <w:ind w:left="567" w:firstLine="75"/>
        <w:jc w:val="both"/>
        <w:rPr>
          <w:rFonts w:ascii="Arial" w:hAnsi="Arial" w:cs="Arial"/>
          <w:i/>
          <w:iCs/>
        </w:rPr>
      </w:pPr>
      <w:r w:rsidRPr="00F84117">
        <w:rPr>
          <w:rFonts w:ascii="Arial" w:hAnsi="Arial" w:cs="Arial"/>
          <w:i/>
          <w:iCs/>
        </w:rPr>
        <w:t>[45] It seems to me that it is unnecessary to fashion a new test for the grant of an interim interdict. The Setlogelo test, as adapted by case law, continues to be a handy and ready guide to the bench and practitioners alike in the grant of interdicts in busy magistrates' courts and high courts. However, now the test must be applied cognisant of the normative scheme and democratic principles that underpin our Constitution. This means that when a court considers whether to grant an interim interdict it must do so in a way that promotes the objects, spirit and purport of the Constitution.</w:t>
      </w:r>
      <w:r w:rsidR="00363575" w:rsidRPr="00F84117">
        <w:rPr>
          <w:rFonts w:ascii="Arial" w:hAnsi="Arial" w:cs="Arial"/>
          <w:i/>
          <w:iCs/>
        </w:rPr>
        <w:t>”</w:t>
      </w:r>
    </w:p>
    <w:p w14:paraId="4EB7ADBA" w14:textId="77909029" w:rsidR="00E90DA5" w:rsidRPr="00F84117" w:rsidRDefault="00E90DA5" w:rsidP="00F84117">
      <w:pPr>
        <w:widowControl w:val="0"/>
        <w:spacing w:after="0" w:line="360" w:lineRule="auto"/>
        <w:ind w:left="567"/>
        <w:jc w:val="both"/>
        <w:rPr>
          <w:rFonts w:ascii="Arial" w:hAnsi="Arial" w:cs="Arial"/>
          <w:sz w:val="24"/>
          <w:szCs w:val="24"/>
        </w:rPr>
      </w:pPr>
    </w:p>
    <w:p w14:paraId="5CBC241A" w14:textId="0293E700" w:rsidR="00812FF7" w:rsidRPr="00F84117" w:rsidRDefault="00C05BE8"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That t</w:t>
      </w:r>
      <w:r w:rsidR="00812FF7" w:rsidRPr="00F84117">
        <w:rPr>
          <w:rFonts w:ascii="Arial" w:hAnsi="Arial" w:cs="Arial"/>
          <w:sz w:val="24"/>
          <w:szCs w:val="24"/>
        </w:rPr>
        <w:t>his is not a new concept</w:t>
      </w:r>
      <w:r w:rsidR="00EF4C59" w:rsidRPr="00F84117">
        <w:rPr>
          <w:rFonts w:ascii="Arial" w:hAnsi="Arial" w:cs="Arial"/>
          <w:sz w:val="24"/>
          <w:szCs w:val="24"/>
        </w:rPr>
        <w:t>, but is an established test,</w:t>
      </w:r>
      <w:r w:rsidRPr="00F84117">
        <w:rPr>
          <w:rFonts w:ascii="Arial" w:hAnsi="Arial" w:cs="Arial"/>
          <w:sz w:val="24"/>
          <w:szCs w:val="24"/>
        </w:rPr>
        <w:t xml:space="preserve"> was pointed out by the Constitutional Court in para [43] of its judgment:</w:t>
      </w:r>
      <w:r w:rsidR="00812FF7" w:rsidRPr="00F84117">
        <w:rPr>
          <w:rFonts w:ascii="Arial" w:hAnsi="Arial" w:cs="Arial"/>
          <w:sz w:val="24"/>
          <w:szCs w:val="24"/>
        </w:rPr>
        <w:t xml:space="preserve">  </w:t>
      </w:r>
      <w:r w:rsidRPr="00F84117">
        <w:rPr>
          <w:rFonts w:ascii="Arial" w:hAnsi="Arial" w:cs="Arial"/>
          <w:sz w:val="24"/>
          <w:szCs w:val="24"/>
        </w:rPr>
        <w:t>i</w:t>
      </w:r>
      <w:r w:rsidR="00812FF7" w:rsidRPr="00F84117">
        <w:rPr>
          <w:rFonts w:ascii="Arial" w:hAnsi="Arial" w:cs="Arial"/>
          <w:sz w:val="24"/>
          <w:szCs w:val="24"/>
        </w:rPr>
        <w:t xml:space="preserve">n </w:t>
      </w:r>
      <w:r w:rsidR="00812FF7" w:rsidRPr="00F84117">
        <w:rPr>
          <w:rFonts w:ascii="Arial" w:hAnsi="Arial" w:cs="Arial"/>
          <w:i/>
          <w:iCs/>
          <w:sz w:val="24"/>
          <w:szCs w:val="24"/>
        </w:rPr>
        <w:t xml:space="preserve">Gool v Minister of Justice and another </w:t>
      </w:r>
      <w:r w:rsidR="00812FF7" w:rsidRPr="00F84117">
        <w:rPr>
          <w:rFonts w:ascii="Arial" w:hAnsi="Arial" w:cs="Arial"/>
          <w:sz w:val="24"/>
          <w:szCs w:val="24"/>
        </w:rPr>
        <w:t xml:space="preserve">1955 (2) SA 682 (C) a full bench of this Division was called upon to grant an interdict restraining the minister </w:t>
      </w:r>
      <w:r w:rsidR="00812FF7" w:rsidRPr="00F84117">
        <w:rPr>
          <w:rFonts w:ascii="Arial" w:hAnsi="Arial" w:cs="Arial"/>
          <w:i/>
          <w:iCs/>
          <w:sz w:val="24"/>
          <w:szCs w:val="24"/>
        </w:rPr>
        <w:t>pendente lite</w:t>
      </w:r>
      <w:r w:rsidR="00812FF7" w:rsidRPr="00F84117">
        <w:rPr>
          <w:rFonts w:ascii="Arial" w:hAnsi="Arial" w:cs="Arial"/>
          <w:sz w:val="24"/>
          <w:szCs w:val="24"/>
        </w:rPr>
        <w:t xml:space="preserve"> from exercising certain powers vested in him by a statute. </w:t>
      </w:r>
      <w:r w:rsidR="006E331C" w:rsidRPr="00F84117">
        <w:rPr>
          <w:rFonts w:ascii="Arial" w:hAnsi="Arial" w:cs="Arial"/>
          <w:sz w:val="24"/>
          <w:szCs w:val="24"/>
        </w:rPr>
        <w:t xml:space="preserve">The Honourable Justice </w:t>
      </w:r>
      <w:r w:rsidR="00812FF7" w:rsidRPr="00F84117">
        <w:rPr>
          <w:rFonts w:ascii="Arial" w:hAnsi="Arial" w:cs="Arial"/>
          <w:sz w:val="24"/>
          <w:szCs w:val="24"/>
        </w:rPr>
        <w:t xml:space="preserve">Ogilvie-Thompson, </w:t>
      </w:r>
      <w:r w:rsidR="00363575" w:rsidRPr="00F84117">
        <w:rPr>
          <w:rFonts w:ascii="Arial" w:hAnsi="Arial" w:cs="Arial"/>
          <w:sz w:val="24"/>
          <w:szCs w:val="24"/>
        </w:rPr>
        <w:t>on behalf of</w:t>
      </w:r>
      <w:r w:rsidR="00812FF7" w:rsidRPr="00F84117">
        <w:rPr>
          <w:rFonts w:ascii="Arial" w:hAnsi="Arial" w:cs="Arial"/>
          <w:sz w:val="24"/>
          <w:szCs w:val="24"/>
        </w:rPr>
        <w:t xml:space="preserve"> a unanimous court, considered the requirements for an interim restraining order as set out in </w:t>
      </w:r>
      <w:r w:rsidR="00812FF7" w:rsidRPr="00F84117">
        <w:rPr>
          <w:rFonts w:ascii="Arial" w:hAnsi="Arial" w:cs="Arial"/>
          <w:i/>
          <w:iCs/>
          <w:sz w:val="24"/>
          <w:szCs w:val="24"/>
        </w:rPr>
        <w:t>Setlogelo</w:t>
      </w:r>
      <w:r w:rsidR="00812FF7" w:rsidRPr="00F84117">
        <w:rPr>
          <w:rFonts w:ascii="Arial" w:hAnsi="Arial" w:cs="Arial"/>
          <w:sz w:val="24"/>
          <w:szCs w:val="24"/>
        </w:rPr>
        <w:t>, and said the following</w:t>
      </w:r>
      <w:r w:rsidR="00E90DA5" w:rsidRPr="00F84117">
        <w:rPr>
          <w:rFonts w:ascii="Arial" w:hAnsi="Arial" w:cs="Arial"/>
          <w:sz w:val="24"/>
          <w:szCs w:val="24"/>
        </w:rPr>
        <w:t xml:space="preserve"> (see 688F-689C)</w:t>
      </w:r>
      <w:r w:rsidR="00812FF7" w:rsidRPr="00F84117">
        <w:rPr>
          <w:rFonts w:ascii="Arial" w:hAnsi="Arial" w:cs="Arial"/>
          <w:sz w:val="24"/>
          <w:szCs w:val="24"/>
        </w:rPr>
        <w:t>:</w:t>
      </w:r>
    </w:p>
    <w:p w14:paraId="39D91BBD" w14:textId="77777777" w:rsidR="00812FF7" w:rsidRPr="00F84117" w:rsidRDefault="00812FF7" w:rsidP="00F84117">
      <w:pPr>
        <w:pStyle w:val="lrquote"/>
        <w:widowControl w:val="0"/>
        <w:shd w:val="clear" w:color="auto" w:fill="FFFFFF"/>
        <w:spacing w:before="0" w:beforeAutospacing="0" w:after="0" w:afterAutospacing="0" w:line="360" w:lineRule="auto"/>
        <w:ind w:left="675"/>
        <w:jc w:val="both"/>
        <w:rPr>
          <w:rFonts w:ascii="Arial" w:hAnsi="Arial" w:cs="Arial"/>
        </w:rPr>
      </w:pPr>
    </w:p>
    <w:p w14:paraId="14EDC82C" w14:textId="59788253" w:rsidR="00812FF7" w:rsidRPr="00F84117" w:rsidRDefault="00812FF7" w:rsidP="00F84117">
      <w:pPr>
        <w:pStyle w:val="lrquote"/>
        <w:widowControl w:val="0"/>
        <w:shd w:val="clear" w:color="auto" w:fill="FFFFFF"/>
        <w:spacing w:before="0" w:beforeAutospacing="0" w:after="0" w:afterAutospacing="0" w:line="360" w:lineRule="auto"/>
        <w:ind w:left="567"/>
        <w:jc w:val="both"/>
        <w:rPr>
          <w:rFonts w:ascii="Arial" w:hAnsi="Arial" w:cs="Arial"/>
        </w:rPr>
      </w:pPr>
      <w:r w:rsidRPr="00F84117">
        <w:rPr>
          <w:rFonts w:ascii="Arial" w:hAnsi="Arial" w:cs="Arial"/>
        </w:rPr>
        <w:t>“</w:t>
      </w:r>
      <w:r w:rsidRPr="00F84117">
        <w:rPr>
          <w:rFonts w:ascii="Arial" w:hAnsi="Arial" w:cs="Arial"/>
          <w:i/>
          <w:iCs/>
        </w:rPr>
        <w:t xml:space="preserve">The present is however not an ordinary application for an interdict. In the first </w:t>
      </w:r>
      <w:r w:rsidRPr="00F84117">
        <w:rPr>
          <w:rFonts w:ascii="Arial" w:hAnsi="Arial" w:cs="Arial"/>
          <w:i/>
          <w:iCs/>
        </w:rPr>
        <w:lastRenderedPageBreak/>
        <w:t>place, we are in the present case concerned with an application for an interdict restraining the exercise of statutory powers. In the absence of any allegation of mala fides, the court does not readily grant such an interdict. …. The various considerations which I have mentioned lead, in my opinion, irresistibly to the conclusion that the Court should only grant an interdict such as that sought by the applicant in the present instance upon a strong case being made out for that relief. I have already held that the Court has jurisdiction to entertain an application such as the present, but in my judgment that jurisdiction will, for the reasons I have indicated, only be exercised in exceptional circumstances and when a strong case is made out for relief.</w:t>
      </w:r>
      <w:r w:rsidRPr="00F84117">
        <w:rPr>
          <w:rFonts w:ascii="Arial" w:hAnsi="Arial" w:cs="Arial"/>
        </w:rPr>
        <w:t>”</w:t>
      </w:r>
    </w:p>
    <w:p w14:paraId="0D9CD1AC" w14:textId="0124F44A" w:rsidR="00812FF7" w:rsidRPr="00F84117" w:rsidRDefault="00812FF7" w:rsidP="00F84117">
      <w:pPr>
        <w:widowControl w:val="0"/>
        <w:spacing w:after="0" w:line="360" w:lineRule="auto"/>
        <w:ind w:left="567"/>
        <w:contextualSpacing/>
        <w:jc w:val="both"/>
        <w:rPr>
          <w:rFonts w:ascii="Arial" w:hAnsi="Arial" w:cs="Arial"/>
          <w:sz w:val="24"/>
          <w:szCs w:val="24"/>
        </w:rPr>
      </w:pPr>
    </w:p>
    <w:p w14:paraId="11FD3956" w14:textId="179F9BBA" w:rsidR="0003525F" w:rsidRPr="00F84117" w:rsidRDefault="0003525F"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 xml:space="preserve">Even in interim proceedings, the test for interference is </w:t>
      </w:r>
      <w:r w:rsidR="007A15A4" w:rsidRPr="00F84117">
        <w:rPr>
          <w:rFonts w:ascii="Arial" w:hAnsi="Arial" w:cs="Arial"/>
          <w:sz w:val="24"/>
          <w:szCs w:val="24"/>
        </w:rPr>
        <w:t xml:space="preserve">therefore </w:t>
      </w:r>
      <w:r w:rsidRPr="00F84117">
        <w:rPr>
          <w:rFonts w:ascii="Arial" w:hAnsi="Arial" w:cs="Arial"/>
          <w:sz w:val="24"/>
          <w:szCs w:val="24"/>
        </w:rPr>
        <w:t>a</w:t>
      </w:r>
      <w:r w:rsidR="0038275D" w:rsidRPr="00F84117">
        <w:rPr>
          <w:rFonts w:ascii="Arial" w:hAnsi="Arial" w:cs="Arial"/>
          <w:sz w:val="24"/>
          <w:szCs w:val="24"/>
        </w:rPr>
        <w:t xml:space="preserve"> </w:t>
      </w:r>
      <w:r w:rsidRPr="00F84117">
        <w:rPr>
          <w:rFonts w:ascii="Arial" w:hAnsi="Arial" w:cs="Arial"/>
          <w:sz w:val="24"/>
          <w:szCs w:val="24"/>
        </w:rPr>
        <w:t>strict one</w:t>
      </w:r>
      <w:r w:rsidR="00893B3A" w:rsidRPr="00F84117">
        <w:rPr>
          <w:rFonts w:ascii="Arial" w:hAnsi="Arial" w:cs="Arial"/>
          <w:sz w:val="24"/>
          <w:szCs w:val="24"/>
        </w:rPr>
        <w:t xml:space="preserve">. </w:t>
      </w:r>
      <w:r w:rsidRPr="00F84117">
        <w:rPr>
          <w:rFonts w:ascii="Arial" w:hAnsi="Arial" w:cs="Arial"/>
          <w:sz w:val="24"/>
          <w:szCs w:val="24"/>
        </w:rPr>
        <w:t xml:space="preserve"> </w:t>
      </w:r>
      <w:r w:rsidR="00893B3A" w:rsidRPr="00F84117">
        <w:rPr>
          <w:rFonts w:ascii="Arial" w:hAnsi="Arial" w:cs="Arial"/>
          <w:sz w:val="24"/>
          <w:szCs w:val="24"/>
        </w:rPr>
        <w:t>T</w:t>
      </w:r>
      <w:r w:rsidRPr="00F84117">
        <w:rPr>
          <w:rFonts w:ascii="Arial" w:hAnsi="Arial" w:cs="Arial"/>
          <w:sz w:val="24"/>
          <w:szCs w:val="24"/>
        </w:rPr>
        <w:t xml:space="preserve">here is no authority for the proposition that the court may intervene and prohibit </w:t>
      </w:r>
      <w:r w:rsidR="007A15A4" w:rsidRPr="00F84117">
        <w:rPr>
          <w:rFonts w:ascii="Arial" w:hAnsi="Arial" w:cs="Arial"/>
          <w:sz w:val="24"/>
          <w:szCs w:val="24"/>
        </w:rPr>
        <w:t xml:space="preserve">a </w:t>
      </w:r>
      <w:r w:rsidRPr="00F84117">
        <w:rPr>
          <w:rFonts w:ascii="Arial" w:hAnsi="Arial" w:cs="Arial"/>
          <w:sz w:val="24"/>
          <w:szCs w:val="24"/>
        </w:rPr>
        <w:t>statutory power from ever being exercised.</w:t>
      </w:r>
      <w:r w:rsidR="00893B3A" w:rsidRPr="00F84117">
        <w:rPr>
          <w:rFonts w:ascii="Arial" w:hAnsi="Arial" w:cs="Arial"/>
          <w:sz w:val="24"/>
          <w:szCs w:val="24"/>
        </w:rPr>
        <w:t xml:space="preserve">  </w:t>
      </w:r>
      <w:r w:rsidR="00893B3A" w:rsidRPr="00F84117">
        <w:rPr>
          <w:rFonts w:ascii="Arial" w:hAnsi="Arial" w:cs="Arial"/>
          <w:i/>
          <w:iCs/>
          <w:sz w:val="24"/>
          <w:szCs w:val="24"/>
        </w:rPr>
        <w:t>Eso</w:t>
      </w:r>
      <w:r w:rsidR="007A15A4" w:rsidRPr="00F84117">
        <w:rPr>
          <w:rFonts w:ascii="Arial" w:hAnsi="Arial" w:cs="Arial"/>
          <w:i/>
          <w:iCs/>
          <w:sz w:val="24"/>
          <w:szCs w:val="24"/>
        </w:rPr>
        <w:t>r</w:t>
      </w:r>
      <w:r w:rsidR="00893B3A" w:rsidRPr="00F84117">
        <w:rPr>
          <w:rFonts w:ascii="Arial" w:hAnsi="Arial" w:cs="Arial"/>
          <w:i/>
          <w:iCs/>
          <w:sz w:val="24"/>
          <w:szCs w:val="24"/>
        </w:rPr>
        <w:t>franki</w:t>
      </w:r>
      <w:r w:rsidR="00893B3A" w:rsidRPr="00F84117">
        <w:rPr>
          <w:rFonts w:ascii="Arial" w:hAnsi="Arial" w:cs="Arial"/>
          <w:sz w:val="24"/>
          <w:szCs w:val="24"/>
        </w:rPr>
        <w:t>, upon which the applicants rely, is not such authority.</w:t>
      </w:r>
      <w:r w:rsidR="00BD3E8E" w:rsidRPr="00F84117">
        <w:rPr>
          <w:rFonts w:ascii="Arial" w:hAnsi="Arial" w:cs="Arial"/>
          <w:sz w:val="24"/>
          <w:szCs w:val="24"/>
        </w:rPr>
        <w:t xml:space="preserve">  As indicated earlier, and with reference to </w:t>
      </w:r>
      <w:r w:rsidR="00BD3E8E" w:rsidRPr="00F84117">
        <w:rPr>
          <w:rFonts w:ascii="Arial" w:hAnsi="Arial" w:cs="Arial"/>
          <w:i/>
          <w:iCs/>
          <w:sz w:val="24"/>
          <w:szCs w:val="24"/>
        </w:rPr>
        <w:t>Gool</w:t>
      </w:r>
      <w:r w:rsidR="00BD3E8E" w:rsidRPr="00F84117">
        <w:rPr>
          <w:rFonts w:ascii="Arial" w:hAnsi="Arial" w:cs="Arial"/>
          <w:sz w:val="24"/>
          <w:szCs w:val="24"/>
        </w:rPr>
        <w:t>, I do not think that the applicants have established</w:t>
      </w:r>
      <w:r w:rsidR="00BD3E8E" w:rsidRPr="00F84117">
        <w:rPr>
          <w:rFonts w:ascii="Arial" w:hAnsi="Arial" w:cs="Arial"/>
          <w:i/>
          <w:iCs/>
          <w:sz w:val="24"/>
          <w:szCs w:val="24"/>
        </w:rPr>
        <w:t xml:space="preserve"> mala fides</w:t>
      </w:r>
      <w:r w:rsidR="00BD3E8E" w:rsidRPr="00F84117">
        <w:rPr>
          <w:rFonts w:ascii="Arial" w:hAnsi="Arial" w:cs="Arial"/>
          <w:sz w:val="24"/>
          <w:szCs w:val="24"/>
        </w:rPr>
        <w:t xml:space="preserve"> on the part of the City.</w:t>
      </w:r>
    </w:p>
    <w:p w14:paraId="15C64E0D" w14:textId="77777777" w:rsidR="0003525F" w:rsidRPr="00F84117" w:rsidRDefault="0003525F" w:rsidP="00F84117">
      <w:pPr>
        <w:pStyle w:val="ListParagraph"/>
        <w:widowControl w:val="0"/>
        <w:spacing w:after="0" w:line="360" w:lineRule="auto"/>
        <w:jc w:val="both"/>
        <w:rPr>
          <w:rFonts w:ascii="Arial" w:hAnsi="Arial" w:cs="Arial"/>
          <w:sz w:val="24"/>
          <w:szCs w:val="24"/>
        </w:rPr>
      </w:pPr>
    </w:p>
    <w:p w14:paraId="43CC1F4C" w14:textId="5CCDE64B" w:rsidR="00F620E1" w:rsidRPr="00F84117" w:rsidRDefault="00F620E1"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 xml:space="preserve">Preventing the </w:t>
      </w:r>
      <w:r w:rsidR="00596661" w:rsidRPr="00F84117">
        <w:rPr>
          <w:rFonts w:ascii="Arial" w:hAnsi="Arial" w:cs="Arial"/>
          <w:sz w:val="24"/>
          <w:szCs w:val="24"/>
        </w:rPr>
        <w:t>C</w:t>
      </w:r>
      <w:r w:rsidRPr="00F84117">
        <w:rPr>
          <w:rFonts w:ascii="Arial" w:hAnsi="Arial" w:cs="Arial"/>
          <w:sz w:val="24"/>
          <w:szCs w:val="24"/>
        </w:rPr>
        <w:t>ity from determining the rezoning application would</w:t>
      </w:r>
      <w:r w:rsidR="00596661" w:rsidRPr="00F84117">
        <w:rPr>
          <w:rFonts w:ascii="Arial" w:hAnsi="Arial" w:cs="Arial"/>
          <w:sz w:val="24"/>
          <w:szCs w:val="24"/>
        </w:rPr>
        <w:t>, of course,</w:t>
      </w:r>
      <w:r w:rsidRPr="00F84117">
        <w:rPr>
          <w:rFonts w:ascii="Arial" w:hAnsi="Arial" w:cs="Arial"/>
          <w:sz w:val="24"/>
          <w:szCs w:val="24"/>
        </w:rPr>
        <w:t xml:space="preserve"> infringe </w:t>
      </w:r>
      <w:r w:rsidR="00596661" w:rsidRPr="00F84117">
        <w:rPr>
          <w:rFonts w:ascii="Arial" w:hAnsi="Arial" w:cs="Arial"/>
          <w:sz w:val="24"/>
          <w:szCs w:val="24"/>
        </w:rPr>
        <w:t>T</w:t>
      </w:r>
      <w:r w:rsidRPr="00F84117">
        <w:rPr>
          <w:rFonts w:ascii="Arial" w:hAnsi="Arial" w:cs="Arial"/>
          <w:sz w:val="24"/>
          <w:szCs w:val="24"/>
        </w:rPr>
        <w:t xml:space="preserve">he </w:t>
      </w:r>
      <w:r w:rsidR="00596661" w:rsidRPr="00F84117">
        <w:rPr>
          <w:rFonts w:ascii="Arial" w:hAnsi="Arial" w:cs="Arial"/>
          <w:sz w:val="24"/>
          <w:szCs w:val="24"/>
        </w:rPr>
        <w:t>B</w:t>
      </w:r>
      <w:r w:rsidRPr="00F84117">
        <w:rPr>
          <w:rFonts w:ascii="Arial" w:hAnsi="Arial" w:cs="Arial"/>
          <w:sz w:val="24"/>
          <w:szCs w:val="24"/>
        </w:rPr>
        <w:t>lue</w:t>
      </w:r>
      <w:r w:rsidR="00596661" w:rsidRPr="00F84117">
        <w:rPr>
          <w:rFonts w:ascii="Arial" w:hAnsi="Arial" w:cs="Arial"/>
          <w:sz w:val="24"/>
          <w:szCs w:val="24"/>
        </w:rPr>
        <w:t xml:space="preserve"> C</w:t>
      </w:r>
      <w:r w:rsidRPr="00F84117">
        <w:rPr>
          <w:rFonts w:ascii="Arial" w:hAnsi="Arial" w:cs="Arial"/>
          <w:sz w:val="24"/>
          <w:szCs w:val="24"/>
        </w:rPr>
        <w:t>af</w:t>
      </w:r>
      <w:r w:rsidR="00596661" w:rsidRPr="00F84117">
        <w:rPr>
          <w:rFonts w:ascii="Arial" w:hAnsi="Arial" w:cs="Arial"/>
          <w:sz w:val="24"/>
          <w:szCs w:val="24"/>
        </w:rPr>
        <w:t>é’</w:t>
      </w:r>
      <w:r w:rsidRPr="00F84117">
        <w:rPr>
          <w:rFonts w:ascii="Arial" w:hAnsi="Arial" w:cs="Arial"/>
          <w:sz w:val="24"/>
          <w:szCs w:val="24"/>
        </w:rPr>
        <w:t xml:space="preserve">s constitutional right </w:t>
      </w:r>
      <w:r w:rsidR="00596661" w:rsidRPr="00F84117">
        <w:rPr>
          <w:rFonts w:ascii="Arial" w:hAnsi="Arial" w:cs="Arial"/>
          <w:sz w:val="24"/>
          <w:szCs w:val="24"/>
        </w:rPr>
        <w:t xml:space="preserve">to </w:t>
      </w:r>
      <w:r w:rsidRPr="00F84117">
        <w:rPr>
          <w:rFonts w:ascii="Arial" w:hAnsi="Arial" w:cs="Arial"/>
          <w:sz w:val="24"/>
          <w:szCs w:val="24"/>
        </w:rPr>
        <w:t xml:space="preserve">just administrative action guaranteed by section 33 of the Constitution. It is </w:t>
      </w:r>
      <w:r w:rsidR="00596661" w:rsidRPr="00F84117">
        <w:rPr>
          <w:rFonts w:ascii="Arial" w:hAnsi="Arial" w:cs="Arial"/>
          <w:sz w:val="24"/>
          <w:szCs w:val="24"/>
        </w:rPr>
        <w:t>en</w:t>
      </w:r>
      <w:r w:rsidRPr="00F84117">
        <w:rPr>
          <w:rFonts w:ascii="Arial" w:hAnsi="Arial" w:cs="Arial"/>
          <w:sz w:val="24"/>
          <w:szCs w:val="24"/>
        </w:rPr>
        <w:t>titled to bring a re</w:t>
      </w:r>
      <w:r w:rsidR="00596661" w:rsidRPr="00F84117">
        <w:rPr>
          <w:rFonts w:ascii="Arial" w:hAnsi="Arial" w:cs="Arial"/>
          <w:sz w:val="24"/>
          <w:szCs w:val="24"/>
        </w:rPr>
        <w:t>zoning</w:t>
      </w:r>
      <w:r w:rsidRPr="00F84117">
        <w:rPr>
          <w:rFonts w:ascii="Arial" w:hAnsi="Arial" w:cs="Arial"/>
          <w:sz w:val="24"/>
          <w:szCs w:val="24"/>
        </w:rPr>
        <w:t xml:space="preserve"> application and it is guaranteed the right to have the application determined in a lawful, reasonable and procedurally fair manner</w:t>
      </w:r>
      <w:r w:rsidR="00BD3E8E" w:rsidRPr="00F84117">
        <w:rPr>
          <w:rFonts w:ascii="Arial" w:hAnsi="Arial" w:cs="Arial"/>
          <w:sz w:val="24"/>
          <w:szCs w:val="24"/>
        </w:rPr>
        <w:t xml:space="preserve"> in accordance with the prescripts of, </w:t>
      </w:r>
      <w:r w:rsidR="00BD3E8E" w:rsidRPr="00F84117">
        <w:rPr>
          <w:rFonts w:ascii="Arial" w:hAnsi="Arial" w:cs="Arial"/>
          <w:i/>
          <w:iCs/>
          <w:sz w:val="24"/>
          <w:szCs w:val="24"/>
        </w:rPr>
        <w:t>inter alia</w:t>
      </w:r>
      <w:r w:rsidR="00BD3E8E" w:rsidRPr="00F84117">
        <w:rPr>
          <w:rFonts w:ascii="Arial" w:hAnsi="Arial" w:cs="Arial"/>
          <w:sz w:val="24"/>
          <w:szCs w:val="24"/>
        </w:rPr>
        <w:t>, the MPBL</w:t>
      </w:r>
      <w:r w:rsidRPr="00F84117">
        <w:rPr>
          <w:rFonts w:ascii="Arial" w:hAnsi="Arial" w:cs="Arial"/>
          <w:sz w:val="24"/>
          <w:szCs w:val="24"/>
        </w:rPr>
        <w:t xml:space="preserve">. Precluding the </w:t>
      </w:r>
      <w:r w:rsidR="00BD3E8E" w:rsidRPr="00F84117">
        <w:rPr>
          <w:rFonts w:ascii="Arial" w:hAnsi="Arial" w:cs="Arial"/>
          <w:sz w:val="24"/>
          <w:szCs w:val="24"/>
        </w:rPr>
        <w:t>C</w:t>
      </w:r>
      <w:r w:rsidRPr="00F84117">
        <w:rPr>
          <w:rFonts w:ascii="Arial" w:hAnsi="Arial" w:cs="Arial"/>
          <w:sz w:val="24"/>
          <w:szCs w:val="24"/>
        </w:rPr>
        <w:t xml:space="preserve">ity from determining the rezoning application would deprive </w:t>
      </w:r>
      <w:r w:rsidR="00BD3E8E" w:rsidRPr="00F84117">
        <w:rPr>
          <w:rFonts w:ascii="Arial" w:hAnsi="Arial" w:cs="Arial"/>
          <w:sz w:val="24"/>
          <w:szCs w:val="24"/>
        </w:rPr>
        <w:t>The Blue Café</w:t>
      </w:r>
      <w:r w:rsidRPr="00F84117">
        <w:rPr>
          <w:rFonts w:ascii="Arial" w:hAnsi="Arial" w:cs="Arial"/>
          <w:sz w:val="24"/>
          <w:szCs w:val="24"/>
        </w:rPr>
        <w:t xml:space="preserve"> of that right. </w:t>
      </w:r>
      <w:r w:rsidR="00BD3E8E" w:rsidRPr="00F84117">
        <w:rPr>
          <w:rFonts w:ascii="Arial" w:hAnsi="Arial" w:cs="Arial"/>
          <w:sz w:val="24"/>
          <w:szCs w:val="24"/>
        </w:rPr>
        <w:t xml:space="preserve"> Thus, to</w:t>
      </w:r>
      <w:r w:rsidRPr="00F84117">
        <w:rPr>
          <w:rFonts w:ascii="Arial" w:hAnsi="Arial" w:cs="Arial"/>
          <w:sz w:val="24"/>
          <w:szCs w:val="24"/>
        </w:rPr>
        <w:t xml:space="preserve"> the extent that the applicant</w:t>
      </w:r>
      <w:r w:rsidR="00BD3E8E" w:rsidRPr="00F84117">
        <w:rPr>
          <w:rFonts w:ascii="Arial" w:hAnsi="Arial" w:cs="Arial"/>
          <w:sz w:val="24"/>
          <w:szCs w:val="24"/>
        </w:rPr>
        <w:t>s</w:t>
      </w:r>
      <w:r w:rsidRPr="00F84117">
        <w:rPr>
          <w:rFonts w:ascii="Arial" w:hAnsi="Arial" w:cs="Arial"/>
          <w:sz w:val="24"/>
          <w:szCs w:val="24"/>
        </w:rPr>
        <w:t xml:space="preserve"> </w:t>
      </w:r>
      <w:r w:rsidR="00BD3E8E" w:rsidRPr="00F84117">
        <w:rPr>
          <w:rFonts w:ascii="Arial" w:hAnsi="Arial" w:cs="Arial"/>
          <w:sz w:val="24"/>
          <w:szCs w:val="24"/>
        </w:rPr>
        <w:t>intend</w:t>
      </w:r>
      <w:r w:rsidRPr="00F84117">
        <w:rPr>
          <w:rFonts w:ascii="Arial" w:hAnsi="Arial" w:cs="Arial"/>
          <w:sz w:val="24"/>
          <w:szCs w:val="24"/>
        </w:rPr>
        <w:t xml:space="preserve"> ultimately </w:t>
      </w:r>
      <w:r w:rsidR="00BD3E8E" w:rsidRPr="00F84117">
        <w:rPr>
          <w:rFonts w:ascii="Arial" w:hAnsi="Arial" w:cs="Arial"/>
          <w:sz w:val="24"/>
          <w:szCs w:val="24"/>
        </w:rPr>
        <w:t xml:space="preserve">to </w:t>
      </w:r>
      <w:r w:rsidRPr="00F84117">
        <w:rPr>
          <w:rFonts w:ascii="Arial" w:hAnsi="Arial" w:cs="Arial"/>
          <w:sz w:val="24"/>
          <w:szCs w:val="24"/>
        </w:rPr>
        <w:t xml:space="preserve">seek a final order preventing the </w:t>
      </w:r>
      <w:r w:rsidR="00BD3E8E" w:rsidRPr="00F84117">
        <w:rPr>
          <w:rFonts w:ascii="Arial" w:hAnsi="Arial" w:cs="Arial"/>
          <w:sz w:val="24"/>
          <w:szCs w:val="24"/>
        </w:rPr>
        <w:t>C</w:t>
      </w:r>
      <w:r w:rsidRPr="00F84117">
        <w:rPr>
          <w:rFonts w:ascii="Arial" w:hAnsi="Arial" w:cs="Arial"/>
          <w:sz w:val="24"/>
          <w:szCs w:val="24"/>
        </w:rPr>
        <w:t xml:space="preserve">ity from ever considering and determining the rezoning application, </w:t>
      </w:r>
      <w:r w:rsidR="00B53302" w:rsidRPr="00F84117">
        <w:rPr>
          <w:rFonts w:ascii="Arial" w:hAnsi="Arial" w:cs="Arial"/>
          <w:sz w:val="24"/>
          <w:szCs w:val="24"/>
        </w:rPr>
        <w:t>I agree with the respondent</w:t>
      </w:r>
      <w:r w:rsidR="00F84117" w:rsidRPr="00F84117">
        <w:rPr>
          <w:rFonts w:ascii="Arial" w:hAnsi="Arial" w:cs="Arial"/>
          <w:sz w:val="24"/>
          <w:szCs w:val="24"/>
        </w:rPr>
        <w:t>s</w:t>
      </w:r>
      <w:r w:rsidR="00B53302" w:rsidRPr="00F84117">
        <w:rPr>
          <w:rFonts w:ascii="Arial" w:hAnsi="Arial" w:cs="Arial"/>
          <w:sz w:val="24"/>
          <w:szCs w:val="24"/>
        </w:rPr>
        <w:t xml:space="preserve"> that such relief </w:t>
      </w:r>
      <w:r w:rsidRPr="00F84117">
        <w:rPr>
          <w:rFonts w:ascii="Arial" w:hAnsi="Arial" w:cs="Arial"/>
          <w:sz w:val="24"/>
          <w:szCs w:val="24"/>
        </w:rPr>
        <w:t xml:space="preserve">may not lawfully </w:t>
      </w:r>
      <w:r w:rsidR="00B53302" w:rsidRPr="00F84117">
        <w:rPr>
          <w:rFonts w:ascii="Arial" w:hAnsi="Arial" w:cs="Arial"/>
          <w:sz w:val="24"/>
          <w:szCs w:val="24"/>
        </w:rPr>
        <w:t>b</w:t>
      </w:r>
      <w:r w:rsidRPr="00F84117">
        <w:rPr>
          <w:rFonts w:ascii="Arial" w:hAnsi="Arial" w:cs="Arial"/>
          <w:sz w:val="24"/>
          <w:szCs w:val="24"/>
        </w:rPr>
        <w:t>e granted</w:t>
      </w:r>
      <w:r w:rsidR="00B53302" w:rsidRPr="00F84117">
        <w:rPr>
          <w:rFonts w:ascii="Arial" w:hAnsi="Arial" w:cs="Arial"/>
          <w:sz w:val="24"/>
          <w:szCs w:val="24"/>
        </w:rPr>
        <w:t>, at least not on the facts of the present matter</w:t>
      </w:r>
      <w:r w:rsidRPr="00F84117">
        <w:rPr>
          <w:rFonts w:ascii="Arial" w:hAnsi="Arial" w:cs="Arial"/>
          <w:sz w:val="24"/>
          <w:szCs w:val="24"/>
        </w:rPr>
        <w:t>. And because the final relief that the applicants seek would be incompetent</w:t>
      </w:r>
      <w:r w:rsidR="00B53302" w:rsidRPr="00F84117">
        <w:rPr>
          <w:rFonts w:ascii="Arial" w:hAnsi="Arial" w:cs="Arial"/>
          <w:sz w:val="24"/>
          <w:szCs w:val="24"/>
        </w:rPr>
        <w:t>,</w:t>
      </w:r>
      <w:r w:rsidRPr="00F84117">
        <w:rPr>
          <w:rFonts w:ascii="Arial" w:hAnsi="Arial" w:cs="Arial"/>
          <w:sz w:val="24"/>
          <w:szCs w:val="24"/>
        </w:rPr>
        <w:t xml:space="preserve"> so t</w:t>
      </w:r>
      <w:r w:rsidR="00B53302" w:rsidRPr="00F84117">
        <w:rPr>
          <w:rFonts w:ascii="Arial" w:hAnsi="Arial" w:cs="Arial"/>
          <w:sz w:val="24"/>
          <w:szCs w:val="24"/>
        </w:rPr>
        <w:t>o</w:t>
      </w:r>
      <w:r w:rsidRPr="00F84117">
        <w:rPr>
          <w:rFonts w:ascii="Arial" w:hAnsi="Arial" w:cs="Arial"/>
          <w:sz w:val="24"/>
          <w:szCs w:val="24"/>
        </w:rPr>
        <w:t xml:space="preserve">o is the interim relief they claim. They cannot be granted an interim order preventing the </w:t>
      </w:r>
      <w:r w:rsidR="00B53302" w:rsidRPr="00F84117">
        <w:rPr>
          <w:rFonts w:ascii="Arial" w:hAnsi="Arial" w:cs="Arial"/>
          <w:sz w:val="24"/>
          <w:szCs w:val="24"/>
        </w:rPr>
        <w:t>C</w:t>
      </w:r>
      <w:r w:rsidRPr="00F84117">
        <w:rPr>
          <w:rFonts w:ascii="Arial" w:hAnsi="Arial" w:cs="Arial"/>
          <w:sz w:val="24"/>
          <w:szCs w:val="24"/>
        </w:rPr>
        <w:t>ity from determining the rezoning application in circumstances where they are not entitled to a final order in substantially the same terms.</w:t>
      </w:r>
    </w:p>
    <w:p w14:paraId="7F69C460" w14:textId="77777777" w:rsidR="00B53302" w:rsidRPr="00F84117" w:rsidRDefault="00B53302" w:rsidP="00F84117">
      <w:pPr>
        <w:widowControl w:val="0"/>
        <w:spacing w:after="0" w:line="360" w:lineRule="auto"/>
        <w:ind w:left="567"/>
        <w:contextualSpacing/>
        <w:jc w:val="both"/>
        <w:rPr>
          <w:rFonts w:ascii="Arial" w:hAnsi="Arial" w:cs="Arial"/>
          <w:sz w:val="24"/>
          <w:szCs w:val="24"/>
        </w:rPr>
      </w:pPr>
    </w:p>
    <w:p w14:paraId="404FAB36" w14:textId="4FFAC72F" w:rsidR="004740A3" w:rsidRPr="00F84117" w:rsidRDefault="00B53302"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lastRenderedPageBreak/>
        <w:t>I am mindful of the authorities to which the applicants have referred me in relation to the determination of complex issues at interim stage.</w:t>
      </w:r>
      <w:r w:rsidR="00FD0954" w:rsidRPr="00F84117">
        <w:rPr>
          <w:rFonts w:ascii="Arial" w:hAnsi="Arial" w:cs="Arial"/>
          <w:sz w:val="24"/>
          <w:szCs w:val="24"/>
        </w:rPr>
        <w:t xml:space="preserve">  </w:t>
      </w:r>
      <w:r w:rsidR="004740A3" w:rsidRPr="00F84117">
        <w:rPr>
          <w:rFonts w:ascii="Arial" w:hAnsi="Arial" w:cs="Arial"/>
          <w:sz w:val="24"/>
          <w:szCs w:val="24"/>
        </w:rPr>
        <w:t xml:space="preserve">Where the existence of the right is a legal issue, our Courts have inclined towards the view that complicated, substantial legal issues and constitutional issues should not be considered and adjudicated upon at the interlocutory phase of the proceedings, but should be left for determination simultaneously with the determination of the final relief sought by the applicant. </w:t>
      </w:r>
    </w:p>
    <w:p w14:paraId="4B68031E" w14:textId="77777777" w:rsidR="004740A3" w:rsidRPr="00F84117" w:rsidRDefault="004740A3" w:rsidP="00F84117">
      <w:pPr>
        <w:pStyle w:val="ListParagraph"/>
        <w:widowControl w:val="0"/>
        <w:spacing w:after="0" w:line="360" w:lineRule="auto"/>
        <w:jc w:val="both"/>
        <w:rPr>
          <w:rFonts w:ascii="Arial" w:hAnsi="Arial" w:cs="Arial"/>
          <w:sz w:val="24"/>
          <w:szCs w:val="24"/>
        </w:rPr>
      </w:pPr>
    </w:p>
    <w:p w14:paraId="704C8131" w14:textId="0A55F821" w:rsidR="004740A3" w:rsidRPr="00F84117" w:rsidRDefault="004740A3"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In</w:t>
      </w:r>
      <w:r w:rsidRPr="00F84117">
        <w:rPr>
          <w:rFonts w:ascii="Arial" w:hAnsi="Arial" w:cs="Arial"/>
          <w:i/>
          <w:iCs/>
          <w:sz w:val="24"/>
          <w:szCs w:val="24"/>
        </w:rPr>
        <w:t xml:space="preserve"> </w:t>
      </w:r>
      <w:r w:rsidRPr="00F84117">
        <w:rPr>
          <w:rFonts w:ascii="Arial" w:hAnsi="Arial" w:cs="Arial"/>
          <w:bCs/>
          <w:i/>
          <w:iCs/>
          <w:sz w:val="24"/>
          <w:szCs w:val="24"/>
        </w:rPr>
        <w:t xml:space="preserve">Johannesburg Municipal Pension Fund and </w:t>
      </w:r>
      <w:r w:rsidR="00890DED" w:rsidRPr="00F84117">
        <w:rPr>
          <w:rFonts w:ascii="Arial" w:hAnsi="Arial" w:cs="Arial"/>
          <w:bCs/>
          <w:i/>
          <w:iCs/>
          <w:sz w:val="24"/>
          <w:szCs w:val="24"/>
        </w:rPr>
        <w:t>o</w:t>
      </w:r>
      <w:r w:rsidRPr="00F84117">
        <w:rPr>
          <w:rFonts w:ascii="Arial" w:hAnsi="Arial" w:cs="Arial"/>
          <w:bCs/>
          <w:i/>
          <w:iCs/>
          <w:sz w:val="24"/>
          <w:szCs w:val="24"/>
        </w:rPr>
        <w:t xml:space="preserve">thers v City of Johannesburg and </w:t>
      </w:r>
      <w:r w:rsidR="00890DED" w:rsidRPr="00F84117">
        <w:rPr>
          <w:rFonts w:ascii="Arial" w:hAnsi="Arial" w:cs="Arial"/>
          <w:bCs/>
          <w:i/>
          <w:iCs/>
          <w:sz w:val="24"/>
          <w:szCs w:val="24"/>
        </w:rPr>
        <w:t>o</w:t>
      </w:r>
      <w:r w:rsidRPr="00F84117">
        <w:rPr>
          <w:rFonts w:ascii="Arial" w:hAnsi="Arial" w:cs="Arial"/>
          <w:bCs/>
          <w:i/>
          <w:iCs/>
          <w:sz w:val="24"/>
          <w:szCs w:val="24"/>
        </w:rPr>
        <w:t>thers</w:t>
      </w:r>
      <w:r w:rsidR="004C4C57" w:rsidRPr="00F84117">
        <w:rPr>
          <w:rFonts w:ascii="Arial" w:hAnsi="Arial" w:cs="Arial"/>
          <w:bCs/>
          <w:sz w:val="24"/>
          <w:szCs w:val="24"/>
        </w:rPr>
        <w:t xml:space="preserve"> 2005 (6) SA 273 (W) at 218B-E it was held as follows</w:t>
      </w:r>
      <w:r w:rsidRPr="00F84117">
        <w:rPr>
          <w:rFonts w:ascii="Arial" w:hAnsi="Arial" w:cs="Arial"/>
          <w:sz w:val="24"/>
          <w:szCs w:val="24"/>
        </w:rPr>
        <w:t xml:space="preserve">:  </w:t>
      </w:r>
    </w:p>
    <w:p w14:paraId="42053933" w14:textId="77777777" w:rsidR="004740A3" w:rsidRPr="00F84117" w:rsidRDefault="004740A3" w:rsidP="00F84117">
      <w:pPr>
        <w:pStyle w:val="ListParagraph"/>
        <w:widowControl w:val="0"/>
        <w:spacing w:after="0" w:line="360" w:lineRule="auto"/>
        <w:jc w:val="both"/>
        <w:rPr>
          <w:rFonts w:ascii="Arial" w:hAnsi="Arial" w:cs="Arial"/>
          <w:i/>
          <w:sz w:val="24"/>
          <w:szCs w:val="24"/>
        </w:rPr>
      </w:pPr>
    </w:p>
    <w:p w14:paraId="5D7031DE" w14:textId="3FF3EA76" w:rsidR="004740A3" w:rsidRPr="00F84117" w:rsidRDefault="004740A3" w:rsidP="00F84117">
      <w:pPr>
        <w:widowControl w:val="0"/>
        <w:spacing w:after="0" w:line="360" w:lineRule="auto"/>
        <w:ind w:left="567"/>
        <w:jc w:val="both"/>
        <w:rPr>
          <w:rFonts w:ascii="Arial" w:hAnsi="Arial" w:cs="Arial"/>
          <w:sz w:val="24"/>
          <w:szCs w:val="24"/>
        </w:rPr>
      </w:pPr>
      <w:r w:rsidRPr="00F84117">
        <w:rPr>
          <w:rFonts w:ascii="Arial" w:hAnsi="Arial" w:cs="Arial"/>
          <w:i/>
          <w:sz w:val="24"/>
          <w:szCs w:val="24"/>
        </w:rPr>
        <w:t xml:space="preserve">“In Mariam v Minister of the Interior and Another 1959 (1) SA 213 (T) Roper AJ (as he then was) accepted the traditional approach as set out in Webster v Mitchell 1948 (1) SA 1186 (W) … </w:t>
      </w:r>
      <w:r w:rsidRPr="00F84117">
        <w:rPr>
          <w:rFonts w:ascii="Arial" w:hAnsi="Arial" w:cs="Arial"/>
          <w:i/>
          <w:sz w:val="24"/>
          <w:szCs w:val="24"/>
          <w:u w:val="single"/>
        </w:rPr>
        <w:t>and said, while dealing with the construction of the word ‘hold’ as used in specific legislation , that he did not have to make a final decision on the meaning of the word</w:t>
      </w:r>
      <w:r w:rsidRPr="00F84117">
        <w:rPr>
          <w:rFonts w:ascii="Arial" w:hAnsi="Arial" w:cs="Arial"/>
          <w:i/>
          <w:sz w:val="24"/>
          <w:szCs w:val="24"/>
        </w:rPr>
        <w:t xml:space="preserve">:  ‘I </w:t>
      </w:r>
      <w:r w:rsidRPr="00F84117">
        <w:rPr>
          <w:rFonts w:ascii="Arial" w:hAnsi="Arial" w:cs="Arial"/>
          <w:i/>
          <w:sz w:val="24"/>
          <w:szCs w:val="24"/>
          <w:u w:val="single"/>
        </w:rPr>
        <w:t>have merely to consider whether the application has made out a case sufficiently strong to apply the rule in the case of Webster v Mitchell</w:t>
      </w:r>
      <w:r w:rsidRPr="00F84117">
        <w:rPr>
          <w:rFonts w:ascii="Arial" w:hAnsi="Arial" w:cs="Arial"/>
          <w:i/>
          <w:sz w:val="24"/>
          <w:szCs w:val="24"/>
        </w:rPr>
        <w:t xml:space="preserve">; therefore when I express a view in regard to the interpretation in part of the statute, </w:t>
      </w:r>
      <w:r w:rsidRPr="00F84117">
        <w:rPr>
          <w:rFonts w:ascii="Arial" w:hAnsi="Arial" w:cs="Arial"/>
          <w:i/>
          <w:sz w:val="24"/>
          <w:szCs w:val="24"/>
          <w:u w:val="single"/>
        </w:rPr>
        <w:t>I am expressing a prima facie view; it would be impossible to express anything else</w:t>
      </w:r>
      <w:r w:rsidRPr="00F84117">
        <w:rPr>
          <w:rFonts w:ascii="Arial" w:hAnsi="Arial" w:cs="Arial"/>
          <w:i/>
          <w:sz w:val="24"/>
          <w:szCs w:val="24"/>
        </w:rPr>
        <w:t xml:space="preserve">.  In view of the fact that this case will come to trial at some time, when the Court which tries the case will have to make a final decision as to the meaning of the phrase as set out by the legislature, if I were to purport to give a final decision as to the meaning of any part of the Act, I would be </w:t>
      </w:r>
      <w:r w:rsidRPr="00F84117">
        <w:rPr>
          <w:rFonts w:ascii="Arial" w:hAnsi="Arial" w:cs="Arial"/>
          <w:i/>
          <w:sz w:val="24"/>
          <w:szCs w:val="24"/>
          <w:u w:val="single"/>
        </w:rPr>
        <w:t>taking upon myself to prejudge the trial, and I certainly have no intention of doing so.  It is sufficient to say that I have expressed my view upon the legal argument put before me … namely, that prima facie there is substance in the argument</w:t>
      </w:r>
      <w:r w:rsidRPr="00F84117">
        <w:rPr>
          <w:rFonts w:ascii="Arial" w:hAnsi="Arial" w:cs="Arial"/>
          <w:i/>
          <w:sz w:val="24"/>
          <w:szCs w:val="24"/>
        </w:rPr>
        <w:t>.</w:t>
      </w:r>
      <w:r w:rsidR="004C4C57" w:rsidRPr="00F84117">
        <w:rPr>
          <w:rFonts w:ascii="Arial" w:hAnsi="Arial" w:cs="Arial"/>
          <w:sz w:val="24"/>
          <w:szCs w:val="24"/>
        </w:rPr>
        <w:t>”</w:t>
      </w:r>
      <w:r w:rsidR="00890DED" w:rsidRPr="00F84117">
        <w:rPr>
          <w:rFonts w:ascii="Arial" w:hAnsi="Arial" w:cs="Arial"/>
          <w:sz w:val="24"/>
          <w:szCs w:val="24"/>
        </w:rPr>
        <w:t xml:space="preserve"> (Emphasis supplied.)</w:t>
      </w:r>
    </w:p>
    <w:p w14:paraId="265E3CD5" w14:textId="77777777" w:rsidR="004740A3" w:rsidRPr="00F84117" w:rsidRDefault="004740A3" w:rsidP="00F84117">
      <w:pPr>
        <w:widowControl w:val="0"/>
        <w:spacing w:after="0" w:line="360" w:lineRule="auto"/>
        <w:ind w:left="567"/>
        <w:jc w:val="both"/>
        <w:rPr>
          <w:rFonts w:ascii="Arial" w:hAnsi="Arial" w:cs="Arial"/>
          <w:i/>
          <w:sz w:val="24"/>
          <w:szCs w:val="24"/>
        </w:rPr>
      </w:pPr>
    </w:p>
    <w:p w14:paraId="08507952" w14:textId="4B2D226C" w:rsidR="004740A3" w:rsidRPr="00F84117" w:rsidRDefault="004740A3"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In </w:t>
      </w:r>
      <w:r w:rsidRPr="00F84117">
        <w:rPr>
          <w:rFonts w:ascii="Arial" w:hAnsi="Arial" w:cs="Arial"/>
          <w:i/>
          <w:iCs/>
          <w:sz w:val="24"/>
          <w:szCs w:val="24"/>
        </w:rPr>
        <w:t>Ward v Cape Peninsula Ice Skating Club</w:t>
      </w:r>
      <w:r w:rsidR="00FA7E77" w:rsidRPr="00F84117">
        <w:rPr>
          <w:rFonts w:ascii="Arial" w:hAnsi="Arial" w:cs="Arial"/>
          <w:sz w:val="24"/>
          <w:szCs w:val="24"/>
        </w:rPr>
        <w:t xml:space="preserve"> 1998 (2) SA 487 (C) at 498G</w:t>
      </w:r>
      <w:r w:rsidRPr="00F84117">
        <w:rPr>
          <w:rFonts w:ascii="Arial" w:hAnsi="Arial" w:cs="Arial"/>
          <w:sz w:val="24"/>
          <w:szCs w:val="24"/>
        </w:rPr>
        <w:t xml:space="preserve">, </w:t>
      </w:r>
      <w:r w:rsidR="00FA7E77" w:rsidRPr="00F84117">
        <w:rPr>
          <w:rFonts w:ascii="Arial" w:hAnsi="Arial" w:cs="Arial"/>
          <w:sz w:val="24"/>
          <w:szCs w:val="24"/>
        </w:rPr>
        <w:t xml:space="preserve">the Honourable Justice </w:t>
      </w:r>
      <w:r w:rsidRPr="00F84117">
        <w:rPr>
          <w:rFonts w:ascii="Arial" w:hAnsi="Arial" w:cs="Arial"/>
          <w:sz w:val="24"/>
          <w:szCs w:val="24"/>
        </w:rPr>
        <w:t xml:space="preserve">Blignaut stated the following:  </w:t>
      </w:r>
    </w:p>
    <w:p w14:paraId="124AEC46" w14:textId="77777777" w:rsidR="004740A3" w:rsidRPr="00F84117" w:rsidRDefault="004740A3" w:rsidP="00F84117">
      <w:pPr>
        <w:widowControl w:val="0"/>
        <w:spacing w:after="0" w:line="360" w:lineRule="auto"/>
        <w:ind w:left="567"/>
        <w:jc w:val="both"/>
        <w:rPr>
          <w:rFonts w:ascii="Arial" w:hAnsi="Arial" w:cs="Arial"/>
          <w:sz w:val="24"/>
          <w:szCs w:val="24"/>
        </w:rPr>
      </w:pPr>
    </w:p>
    <w:p w14:paraId="5F56F6B8" w14:textId="79F1A7C7" w:rsidR="004740A3" w:rsidRPr="00F84117" w:rsidRDefault="004740A3" w:rsidP="00F84117">
      <w:pPr>
        <w:widowControl w:val="0"/>
        <w:spacing w:after="0" w:line="360" w:lineRule="auto"/>
        <w:ind w:left="567"/>
        <w:jc w:val="both"/>
        <w:rPr>
          <w:rFonts w:ascii="Arial" w:hAnsi="Arial" w:cs="Arial"/>
          <w:sz w:val="24"/>
          <w:szCs w:val="24"/>
        </w:rPr>
      </w:pPr>
      <w:r w:rsidRPr="00F84117">
        <w:rPr>
          <w:rFonts w:ascii="Arial" w:hAnsi="Arial" w:cs="Arial"/>
          <w:i/>
          <w:sz w:val="24"/>
          <w:szCs w:val="24"/>
        </w:rPr>
        <w:t xml:space="preserve">“How are ordinary questions of law to be distinguished from ‘difficult questions of law’?  I would venture to suggest that a basis for such a distinction can be found in the remarks made in the American Cyanamid case </w:t>
      </w:r>
      <w:r w:rsidRPr="00F84117">
        <w:rPr>
          <w:rFonts w:ascii="Arial" w:hAnsi="Arial" w:cs="Arial"/>
          <w:i/>
          <w:sz w:val="24"/>
          <w:szCs w:val="24"/>
          <w:u w:val="single"/>
        </w:rPr>
        <w:t xml:space="preserve">supra to the effect that </w:t>
      </w:r>
      <w:r w:rsidRPr="00F84117">
        <w:rPr>
          <w:rFonts w:ascii="Arial" w:hAnsi="Arial" w:cs="Arial"/>
          <w:i/>
          <w:sz w:val="24"/>
          <w:szCs w:val="24"/>
          <w:u w:val="single"/>
        </w:rPr>
        <w:lastRenderedPageBreak/>
        <w:t>difficult questions of law are those which require ‘detailed argument and mature considerations’.</w:t>
      </w:r>
      <w:r w:rsidRPr="00F84117">
        <w:rPr>
          <w:rFonts w:ascii="Arial" w:hAnsi="Arial" w:cs="Arial"/>
          <w:i/>
          <w:sz w:val="24"/>
          <w:szCs w:val="24"/>
        </w:rPr>
        <w:t xml:space="preserve">  Whether or not a question of law is to be described as difficult for purposes of this test would obviously depend on the nature of the question concerned and the circumstances in which it is required to be decided at the interlocutory stage.</w:t>
      </w:r>
      <w:r w:rsidRPr="00F84117">
        <w:rPr>
          <w:rFonts w:ascii="Arial" w:hAnsi="Arial" w:cs="Arial"/>
          <w:sz w:val="24"/>
          <w:szCs w:val="24"/>
        </w:rPr>
        <w:t>” (</w:t>
      </w:r>
      <w:r w:rsidR="00FA7E77" w:rsidRPr="00F84117">
        <w:rPr>
          <w:rFonts w:ascii="Arial" w:hAnsi="Arial" w:cs="Arial"/>
          <w:sz w:val="24"/>
          <w:szCs w:val="24"/>
        </w:rPr>
        <w:t>E</w:t>
      </w:r>
      <w:r w:rsidRPr="00F84117">
        <w:rPr>
          <w:rFonts w:ascii="Arial" w:hAnsi="Arial" w:cs="Arial"/>
          <w:sz w:val="24"/>
          <w:szCs w:val="24"/>
        </w:rPr>
        <w:t>mphasis supplied</w:t>
      </w:r>
      <w:r w:rsidR="00FA7E77" w:rsidRPr="00F84117">
        <w:rPr>
          <w:rFonts w:ascii="Arial" w:hAnsi="Arial" w:cs="Arial"/>
          <w:sz w:val="24"/>
          <w:szCs w:val="24"/>
        </w:rPr>
        <w:t>.</w:t>
      </w:r>
      <w:r w:rsidRPr="00F84117">
        <w:rPr>
          <w:rFonts w:ascii="Arial" w:hAnsi="Arial" w:cs="Arial"/>
          <w:sz w:val="24"/>
          <w:szCs w:val="24"/>
        </w:rPr>
        <w:t>)</w:t>
      </w:r>
    </w:p>
    <w:p w14:paraId="2643E103" w14:textId="77777777" w:rsidR="004740A3" w:rsidRPr="00F84117" w:rsidRDefault="004740A3" w:rsidP="00F84117">
      <w:pPr>
        <w:widowControl w:val="0"/>
        <w:spacing w:after="0" w:line="360" w:lineRule="auto"/>
        <w:ind w:left="567"/>
        <w:jc w:val="both"/>
        <w:rPr>
          <w:rFonts w:ascii="Arial" w:hAnsi="Arial" w:cs="Arial"/>
          <w:sz w:val="24"/>
          <w:szCs w:val="24"/>
        </w:rPr>
      </w:pPr>
    </w:p>
    <w:p w14:paraId="24EB4572" w14:textId="63B1750B" w:rsidR="004740A3" w:rsidRPr="00F84117" w:rsidRDefault="00FA7E77"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contend that t</w:t>
      </w:r>
      <w:r w:rsidR="004740A3" w:rsidRPr="00F84117">
        <w:rPr>
          <w:rFonts w:ascii="Arial" w:hAnsi="Arial" w:cs="Arial"/>
          <w:sz w:val="24"/>
          <w:szCs w:val="24"/>
        </w:rPr>
        <w:t>he current matter is a constitutional matter</w:t>
      </w:r>
      <w:r w:rsidRPr="00F84117">
        <w:rPr>
          <w:rFonts w:ascii="Arial" w:hAnsi="Arial" w:cs="Arial"/>
          <w:sz w:val="24"/>
          <w:szCs w:val="24"/>
        </w:rPr>
        <w:t xml:space="preserve"> which </w:t>
      </w:r>
      <w:r w:rsidR="004740A3" w:rsidRPr="00F84117">
        <w:rPr>
          <w:rFonts w:ascii="Arial" w:hAnsi="Arial" w:cs="Arial"/>
          <w:sz w:val="24"/>
          <w:szCs w:val="24"/>
        </w:rPr>
        <w:t xml:space="preserve">involves the determination of a number of complicated issues with substantial legal nuances.  </w:t>
      </w:r>
      <w:r w:rsidRPr="00F84117">
        <w:rPr>
          <w:rFonts w:ascii="Arial" w:hAnsi="Arial" w:cs="Arial"/>
          <w:sz w:val="24"/>
          <w:szCs w:val="24"/>
        </w:rPr>
        <w:t>They submit that it</w:t>
      </w:r>
      <w:r w:rsidR="004740A3" w:rsidRPr="00F84117">
        <w:rPr>
          <w:rFonts w:ascii="Arial" w:hAnsi="Arial" w:cs="Arial"/>
          <w:sz w:val="24"/>
          <w:szCs w:val="24"/>
        </w:rPr>
        <w:t xml:space="preserve"> would be inappropriate to attempt to </w:t>
      </w:r>
      <w:r w:rsidR="0084345F">
        <w:rPr>
          <w:rFonts w:ascii="Arial" w:hAnsi="Arial" w:cs="Arial"/>
          <w:sz w:val="24"/>
          <w:szCs w:val="24"/>
        </w:rPr>
        <w:t>make</w:t>
      </w:r>
      <w:r w:rsidR="004740A3" w:rsidRPr="00F84117">
        <w:rPr>
          <w:rFonts w:ascii="Arial" w:hAnsi="Arial" w:cs="Arial"/>
          <w:sz w:val="24"/>
          <w:szCs w:val="24"/>
        </w:rPr>
        <w:t xml:space="preserve"> a final finding - in the current interlocutory proceedings - on the viability, from a legal perspective, of the relief sought by the applicants. </w:t>
      </w:r>
    </w:p>
    <w:p w14:paraId="6DA9A05A" w14:textId="77777777" w:rsidR="007E20F7" w:rsidRPr="00F84117" w:rsidRDefault="007E20F7" w:rsidP="00F84117">
      <w:pPr>
        <w:widowControl w:val="0"/>
        <w:spacing w:after="0" w:line="360" w:lineRule="auto"/>
        <w:ind w:left="567"/>
        <w:contextualSpacing/>
        <w:jc w:val="both"/>
        <w:rPr>
          <w:rFonts w:ascii="Arial" w:hAnsi="Arial" w:cs="Arial"/>
          <w:sz w:val="24"/>
          <w:szCs w:val="24"/>
        </w:rPr>
      </w:pPr>
    </w:p>
    <w:p w14:paraId="11F2E907" w14:textId="725F655D" w:rsidR="004740A3" w:rsidRPr="00F84117" w:rsidRDefault="00FA7E77"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 xml:space="preserve">In the present matter, however, the principles relating to direct reliance upon constitutional </w:t>
      </w:r>
      <w:r w:rsidR="004C4C57" w:rsidRPr="00F84117">
        <w:rPr>
          <w:rFonts w:ascii="Arial" w:hAnsi="Arial" w:cs="Arial"/>
          <w:sz w:val="24"/>
          <w:szCs w:val="24"/>
        </w:rPr>
        <w:t>rights</w:t>
      </w:r>
      <w:r w:rsidRPr="00F84117">
        <w:rPr>
          <w:rFonts w:ascii="Arial" w:hAnsi="Arial" w:cs="Arial"/>
          <w:sz w:val="24"/>
          <w:szCs w:val="24"/>
        </w:rPr>
        <w:t xml:space="preserve"> in circumstances where specific legislation exists which gives effect to </w:t>
      </w:r>
      <w:r w:rsidR="004C4C57" w:rsidRPr="00F84117">
        <w:rPr>
          <w:rFonts w:ascii="Arial" w:hAnsi="Arial" w:cs="Arial"/>
          <w:sz w:val="24"/>
          <w:szCs w:val="24"/>
        </w:rPr>
        <w:t>and regulate</w:t>
      </w:r>
      <w:r w:rsidR="0084345F">
        <w:rPr>
          <w:rFonts w:ascii="Arial" w:hAnsi="Arial" w:cs="Arial"/>
          <w:sz w:val="24"/>
          <w:szCs w:val="24"/>
        </w:rPr>
        <w:t>s</w:t>
      </w:r>
      <w:r w:rsidR="004C4C57" w:rsidRPr="00F84117">
        <w:rPr>
          <w:rFonts w:ascii="Arial" w:hAnsi="Arial" w:cs="Arial"/>
          <w:sz w:val="24"/>
          <w:szCs w:val="24"/>
        </w:rPr>
        <w:t xml:space="preserve"> the consideration and protection of such rights are fairly crystallised.  The arguments may well be “detailed and mature” but the</w:t>
      </w:r>
      <w:r w:rsidR="0084345F">
        <w:rPr>
          <w:rFonts w:ascii="Arial" w:hAnsi="Arial" w:cs="Arial"/>
          <w:sz w:val="24"/>
          <w:szCs w:val="24"/>
        </w:rPr>
        <w:t>ir foundations</w:t>
      </w:r>
      <w:r w:rsidR="004C4C57" w:rsidRPr="00F84117">
        <w:rPr>
          <w:rFonts w:ascii="Arial" w:hAnsi="Arial" w:cs="Arial"/>
          <w:sz w:val="24"/>
          <w:szCs w:val="24"/>
        </w:rPr>
        <w:t xml:space="preserve"> are well-established.  There is no reason why they cannot be considered in the context of an application for interim interlocutory relief</w:t>
      </w:r>
      <w:r w:rsidR="00890DED" w:rsidRPr="00F84117">
        <w:rPr>
          <w:rFonts w:ascii="Arial" w:hAnsi="Arial" w:cs="Arial"/>
          <w:sz w:val="24"/>
          <w:szCs w:val="24"/>
        </w:rPr>
        <w:t xml:space="preserve">, and I do not have to “prejudge” the final relief sought, as was the case in </w:t>
      </w:r>
      <w:r w:rsidR="00F77045" w:rsidRPr="00F84117">
        <w:rPr>
          <w:rFonts w:ascii="Arial" w:hAnsi="Arial" w:cs="Arial"/>
          <w:i/>
          <w:iCs/>
          <w:sz w:val="24"/>
          <w:szCs w:val="24"/>
        </w:rPr>
        <w:t>Johannesburg Municipal Pension Fund</w:t>
      </w:r>
      <w:r w:rsidR="00F77045" w:rsidRPr="00F84117">
        <w:rPr>
          <w:rFonts w:ascii="Arial" w:hAnsi="Arial" w:cs="Arial"/>
          <w:sz w:val="24"/>
          <w:szCs w:val="24"/>
        </w:rPr>
        <w:t>.</w:t>
      </w:r>
    </w:p>
    <w:p w14:paraId="4552F4B3" w14:textId="77777777" w:rsidR="00616AA0" w:rsidRPr="00F84117" w:rsidRDefault="00616AA0" w:rsidP="00F84117">
      <w:pPr>
        <w:pStyle w:val="ListParagraph"/>
        <w:widowControl w:val="0"/>
        <w:spacing w:after="0" w:line="360" w:lineRule="auto"/>
        <w:jc w:val="both"/>
        <w:rPr>
          <w:rFonts w:ascii="Arial" w:hAnsi="Arial" w:cs="Arial"/>
          <w:sz w:val="24"/>
          <w:szCs w:val="24"/>
        </w:rPr>
      </w:pPr>
    </w:p>
    <w:p w14:paraId="746D6051" w14:textId="77777777" w:rsidR="00B45C85" w:rsidRPr="00F84117" w:rsidRDefault="00B45C85" w:rsidP="00F84117">
      <w:pPr>
        <w:widowControl w:val="0"/>
        <w:spacing w:after="0" w:line="360" w:lineRule="auto"/>
        <w:contextualSpacing/>
        <w:jc w:val="both"/>
        <w:rPr>
          <w:rFonts w:ascii="Arial" w:hAnsi="Arial" w:cs="Arial"/>
          <w:sz w:val="24"/>
          <w:szCs w:val="24"/>
          <w:u w:val="single"/>
        </w:rPr>
      </w:pPr>
      <w:r w:rsidRPr="00F84117">
        <w:rPr>
          <w:rFonts w:ascii="Arial" w:hAnsi="Arial" w:cs="Arial"/>
          <w:sz w:val="24"/>
          <w:szCs w:val="24"/>
          <w:u w:val="single"/>
        </w:rPr>
        <w:t>The role of the provincial authorities</w:t>
      </w:r>
    </w:p>
    <w:p w14:paraId="2314F193" w14:textId="77777777" w:rsidR="00B45C85" w:rsidRPr="00F84117" w:rsidRDefault="00B45C85" w:rsidP="00F84117">
      <w:pPr>
        <w:pStyle w:val="ListParagraph"/>
        <w:widowControl w:val="0"/>
        <w:spacing w:after="0" w:line="360" w:lineRule="auto"/>
        <w:jc w:val="both"/>
        <w:rPr>
          <w:rFonts w:ascii="Arial" w:hAnsi="Arial" w:cs="Arial"/>
          <w:sz w:val="24"/>
          <w:szCs w:val="24"/>
        </w:rPr>
      </w:pPr>
    </w:p>
    <w:p w14:paraId="29E11A56" w14:textId="2C85C5DA" w:rsidR="004F27EB" w:rsidRPr="00F84117" w:rsidRDefault="00B45C85"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 xml:space="preserve">The applicants suggest that the provincial authorities could take over the rezoning process, as the provincial government could intervene.  </w:t>
      </w:r>
      <w:r w:rsidR="004F27EB" w:rsidRPr="00F84117">
        <w:rPr>
          <w:rFonts w:ascii="Arial" w:hAnsi="Arial" w:cs="Arial"/>
          <w:sz w:val="24"/>
          <w:szCs w:val="24"/>
        </w:rPr>
        <w:t>The Constitution itself</w:t>
      </w:r>
      <w:r w:rsidR="000F60DC" w:rsidRPr="00F84117">
        <w:rPr>
          <w:rFonts w:ascii="Arial" w:hAnsi="Arial" w:cs="Arial"/>
          <w:sz w:val="24"/>
          <w:szCs w:val="24"/>
        </w:rPr>
        <w:t>, in section 139,</w:t>
      </w:r>
      <w:r w:rsidR="004F27EB" w:rsidRPr="00F84117">
        <w:rPr>
          <w:rFonts w:ascii="Arial" w:hAnsi="Arial" w:cs="Arial"/>
          <w:sz w:val="24"/>
          <w:szCs w:val="24"/>
        </w:rPr>
        <w:t xml:space="preserve"> provides a “</w:t>
      </w:r>
      <w:r w:rsidR="004F27EB" w:rsidRPr="00F84117">
        <w:rPr>
          <w:rFonts w:ascii="Arial" w:hAnsi="Arial" w:cs="Arial"/>
          <w:i/>
          <w:sz w:val="24"/>
          <w:szCs w:val="24"/>
        </w:rPr>
        <w:t>just and equitable remedy</w:t>
      </w:r>
      <w:r w:rsidR="004F27EB" w:rsidRPr="00F84117">
        <w:rPr>
          <w:rFonts w:ascii="Arial" w:hAnsi="Arial" w:cs="Arial"/>
          <w:sz w:val="24"/>
          <w:szCs w:val="24"/>
        </w:rPr>
        <w:t xml:space="preserve">” as contemplated by </w:t>
      </w:r>
      <w:r w:rsidR="004F27EB" w:rsidRPr="00F84117">
        <w:rPr>
          <w:rFonts w:ascii="Arial" w:hAnsi="Arial" w:cs="Arial"/>
          <w:i/>
          <w:iCs/>
          <w:sz w:val="24"/>
          <w:szCs w:val="24"/>
        </w:rPr>
        <w:t>Allpay</w:t>
      </w:r>
      <w:r w:rsidR="004F27EB" w:rsidRPr="00F84117">
        <w:rPr>
          <w:rFonts w:ascii="Arial" w:hAnsi="Arial" w:cs="Arial"/>
          <w:sz w:val="24"/>
          <w:szCs w:val="24"/>
        </w:rPr>
        <w:t>,</w:t>
      </w:r>
      <w:r w:rsidR="00600B38" w:rsidRPr="00F84117">
        <w:rPr>
          <w:rFonts w:ascii="Arial" w:hAnsi="Arial" w:cs="Arial"/>
          <w:sz w:val="24"/>
          <w:szCs w:val="24"/>
        </w:rPr>
        <w:t xml:space="preserve"> </w:t>
      </w:r>
      <w:r w:rsidR="004F27EB" w:rsidRPr="00F84117">
        <w:rPr>
          <w:rFonts w:ascii="Arial" w:hAnsi="Arial" w:cs="Arial"/>
          <w:sz w:val="24"/>
          <w:szCs w:val="24"/>
        </w:rPr>
        <w:t xml:space="preserve">in the event of a </w:t>
      </w:r>
      <w:r w:rsidR="00600B38" w:rsidRPr="00F84117">
        <w:rPr>
          <w:rFonts w:ascii="Arial" w:hAnsi="Arial" w:cs="Arial"/>
          <w:sz w:val="24"/>
          <w:szCs w:val="24"/>
        </w:rPr>
        <w:t>m</w:t>
      </w:r>
      <w:r w:rsidR="004F27EB" w:rsidRPr="00F84117">
        <w:rPr>
          <w:rFonts w:ascii="Arial" w:hAnsi="Arial" w:cs="Arial"/>
          <w:sz w:val="24"/>
          <w:szCs w:val="24"/>
        </w:rPr>
        <w:t xml:space="preserve">unicipality becoming incapable of fulfilling an executive obligation.  Such incapability may arise from any relevant consideration, such as the fact that a court order was made, (as was done in </w:t>
      </w:r>
      <w:r w:rsidR="004F27EB" w:rsidRPr="00F84117">
        <w:rPr>
          <w:rFonts w:ascii="Arial" w:hAnsi="Arial" w:cs="Arial"/>
          <w:i/>
          <w:iCs/>
          <w:sz w:val="24"/>
          <w:szCs w:val="24"/>
        </w:rPr>
        <w:t>Esorfranki</w:t>
      </w:r>
      <w:r w:rsidR="004F27EB" w:rsidRPr="00F84117">
        <w:rPr>
          <w:rFonts w:ascii="Arial" w:hAnsi="Arial" w:cs="Arial"/>
          <w:sz w:val="24"/>
          <w:szCs w:val="24"/>
        </w:rPr>
        <w:t xml:space="preserve">), disqualifying the </w:t>
      </w:r>
      <w:r w:rsidR="00600B38" w:rsidRPr="00F84117">
        <w:rPr>
          <w:rFonts w:ascii="Arial" w:hAnsi="Arial" w:cs="Arial"/>
          <w:sz w:val="24"/>
          <w:szCs w:val="24"/>
        </w:rPr>
        <w:t>m</w:t>
      </w:r>
      <w:r w:rsidR="004F27EB" w:rsidRPr="00F84117">
        <w:rPr>
          <w:rFonts w:ascii="Arial" w:hAnsi="Arial" w:cs="Arial"/>
          <w:sz w:val="24"/>
          <w:szCs w:val="24"/>
        </w:rPr>
        <w:t xml:space="preserve">unicipality from fulfilling such function. </w:t>
      </w:r>
    </w:p>
    <w:p w14:paraId="3FDB8FEF" w14:textId="77777777" w:rsidR="004F27EB" w:rsidRPr="00F84117" w:rsidRDefault="004F27EB" w:rsidP="00F84117">
      <w:pPr>
        <w:pStyle w:val="ListParagraph"/>
        <w:widowControl w:val="0"/>
        <w:spacing w:after="0" w:line="360" w:lineRule="auto"/>
        <w:jc w:val="both"/>
        <w:rPr>
          <w:rFonts w:ascii="Arial" w:hAnsi="Arial" w:cs="Arial"/>
          <w:sz w:val="24"/>
          <w:szCs w:val="24"/>
        </w:rPr>
      </w:pPr>
    </w:p>
    <w:p w14:paraId="75844879" w14:textId="142D8517" w:rsidR="00B45C85" w:rsidRPr="00F84117" w:rsidRDefault="00B45C85"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 xml:space="preserve">Section 139(1) and (2) reads as follows: </w:t>
      </w:r>
    </w:p>
    <w:p w14:paraId="6EDD535F" w14:textId="77777777" w:rsidR="00B45C85" w:rsidRPr="00F84117" w:rsidRDefault="00B45C85" w:rsidP="00F84117">
      <w:pPr>
        <w:widowControl w:val="0"/>
        <w:spacing w:after="0" w:line="360" w:lineRule="auto"/>
        <w:jc w:val="both"/>
        <w:rPr>
          <w:rFonts w:ascii="Arial" w:hAnsi="Arial" w:cs="Arial"/>
          <w:sz w:val="24"/>
          <w:szCs w:val="24"/>
        </w:rPr>
      </w:pPr>
    </w:p>
    <w:p w14:paraId="3BD468CF" w14:textId="77777777" w:rsidR="00B45C85" w:rsidRPr="00F84117" w:rsidRDefault="00B45C85" w:rsidP="00F84117">
      <w:pPr>
        <w:widowControl w:val="0"/>
        <w:shd w:val="clear" w:color="auto" w:fill="FFFFFF"/>
        <w:spacing w:after="0" w:line="360" w:lineRule="auto"/>
        <w:ind w:firstLine="567"/>
        <w:jc w:val="both"/>
        <w:rPr>
          <w:rFonts w:ascii="Arial" w:eastAsia="Times New Roman" w:hAnsi="Arial" w:cs="Arial"/>
          <w:b/>
          <w:bCs/>
          <w:i/>
          <w:iCs/>
          <w:sz w:val="24"/>
          <w:szCs w:val="24"/>
          <w:lang w:eastAsia="en-ZA"/>
        </w:rPr>
      </w:pPr>
      <w:r w:rsidRPr="00F84117">
        <w:rPr>
          <w:rFonts w:ascii="Arial" w:eastAsia="Times New Roman" w:hAnsi="Arial" w:cs="Arial"/>
          <w:b/>
          <w:bCs/>
          <w:i/>
          <w:iCs/>
          <w:sz w:val="24"/>
          <w:szCs w:val="24"/>
          <w:lang w:eastAsia="en-ZA"/>
        </w:rPr>
        <w:t>139 </w:t>
      </w:r>
      <w:r w:rsidRPr="00F84117">
        <w:rPr>
          <w:rFonts w:ascii="Arial" w:eastAsia="Times New Roman" w:hAnsi="Arial" w:cs="Arial"/>
          <w:b/>
          <w:bCs/>
          <w:i/>
          <w:iCs/>
          <w:sz w:val="24"/>
          <w:szCs w:val="24"/>
          <w:lang w:eastAsia="en-ZA"/>
        </w:rPr>
        <w:tab/>
        <w:t>Provincial intervention in local government</w:t>
      </w:r>
    </w:p>
    <w:p w14:paraId="5EC5AC6E" w14:textId="77777777" w:rsidR="00B45C85" w:rsidRPr="00F84117" w:rsidRDefault="00B45C85" w:rsidP="00F84117">
      <w:pPr>
        <w:pStyle w:val="ListParagraph"/>
        <w:widowControl w:val="0"/>
        <w:numPr>
          <w:ilvl w:val="0"/>
          <w:numId w:val="15"/>
        </w:numPr>
        <w:shd w:val="clear" w:color="auto" w:fill="FFFFFF"/>
        <w:spacing w:after="0" w:line="360" w:lineRule="auto"/>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lastRenderedPageBreak/>
        <w:t>When a municipality cannot or does not fulfil an executive obligation in terms of the Constitution or legislation, the relevant provincial executive may intervene by taking any appropriate steps to ensure fulfilment of that obligation, including-</w:t>
      </w:r>
    </w:p>
    <w:p w14:paraId="6074F2FE" w14:textId="77777777" w:rsidR="00B45C85" w:rsidRPr="00F84117" w:rsidRDefault="00B45C85" w:rsidP="00F84117">
      <w:pPr>
        <w:pStyle w:val="ListParagraph"/>
        <w:widowControl w:val="0"/>
        <w:numPr>
          <w:ilvl w:val="0"/>
          <w:numId w:val="16"/>
        </w:numPr>
        <w:shd w:val="clear" w:color="auto" w:fill="FFFFFF"/>
        <w:spacing w:after="0" w:line="360" w:lineRule="auto"/>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issuing a directive to the Municipal Council, describing the extent of the failure to fulfil its obligations and stating any steps required to meet its obligations;</w:t>
      </w:r>
    </w:p>
    <w:p w14:paraId="019ADDDB" w14:textId="77777777" w:rsidR="00B45C85" w:rsidRPr="00F84117" w:rsidRDefault="00B45C85" w:rsidP="00F84117">
      <w:pPr>
        <w:pStyle w:val="ListParagraph"/>
        <w:widowControl w:val="0"/>
        <w:numPr>
          <w:ilvl w:val="0"/>
          <w:numId w:val="16"/>
        </w:numPr>
        <w:shd w:val="clear" w:color="auto" w:fill="FFFFFF"/>
        <w:spacing w:after="0" w:line="360" w:lineRule="auto"/>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assuming responsibility for the relevant obligation in that municipality to the extent necessary to-</w:t>
      </w:r>
    </w:p>
    <w:p w14:paraId="2D3DDD65" w14:textId="77777777" w:rsidR="00B45C85" w:rsidRPr="00F84117" w:rsidRDefault="00B45C85" w:rsidP="00F84117">
      <w:pPr>
        <w:pStyle w:val="ListParagraph"/>
        <w:widowControl w:val="0"/>
        <w:numPr>
          <w:ilvl w:val="0"/>
          <w:numId w:val="17"/>
        </w:numPr>
        <w:shd w:val="clear" w:color="auto" w:fill="FFFFFF"/>
        <w:spacing w:after="0" w:line="360" w:lineRule="auto"/>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maintain essential national standards or meet established minimum standards for the rendering of a service;</w:t>
      </w:r>
    </w:p>
    <w:p w14:paraId="3963466E" w14:textId="77777777" w:rsidR="00B45C85" w:rsidRPr="00F84117" w:rsidRDefault="00B45C85" w:rsidP="00F84117">
      <w:pPr>
        <w:pStyle w:val="ListParagraph"/>
        <w:widowControl w:val="0"/>
        <w:numPr>
          <w:ilvl w:val="0"/>
          <w:numId w:val="17"/>
        </w:numPr>
        <w:shd w:val="clear" w:color="auto" w:fill="FFFFFF"/>
        <w:spacing w:after="0" w:line="360" w:lineRule="auto"/>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prevent that Municipal Council from taking unreasonable action that is prejudicial to the interests of another municipality or to the province as a whole; or</w:t>
      </w:r>
    </w:p>
    <w:p w14:paraId="3091CE07" w14:textId="77777777" w:rsidR="00B45C85" w:rsidRPr="00F84117" w:rsidRDefault="00B45C85" w:rsidP="00F84117">
      <w:pPr>
        <w:pStyle w:val="ListParagraph"/>
        <w:widowControl w:val="0"/>
        <w:numPr>
          <w:ilvl w:val="0"/>
          <w:numId w:val="17"/>
        </w:numPr>
        <w:shd w:val="clear" w:color="auto" w:fill="FFFFFF"/>
        <w:spacing w:after="0" w:line="360" w:lineRule="auto"/>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maintain economic unity; or</w:t>
      </w:r>
    </w:p>
    <w:p w14:paraId="6499BF74" w14:textId="77777777" w:rsidR="00B45C85" w:rsidRPr="00F84117" w:rsidRDefault="00B45C85" w:rsidP="00F84117">
      <w:pPr>
        <w:widowControl w:val="0"/>
        <w:shd w:val="clear" w:color="auto" w:fill="FFFFFF"/>
        <w:spacing w:after="0" w:line="360" w:lineRule="auto"/>
        <w:ind w:left="1800" w:hanging="36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(c)</w:t>
      </w:r>
      <w:r w:rsidRPr="00F84117">
        <w:rPr>
          <w:rFonts w:ascii="Arial" w:eastAsia="Times New Roman" w:hAnsi="Arial" w:cs="Arial"/>
          <w:i/>
          <w:iCs/>
          <w:sz w:val="24"/>
          <w:szCs w:val="24"/>
          <w:lang w:eastAsia="en-ZA"/>
        </w:rPr>
        <w:tab/>
        <w:t>dissolving the Municipal Council and appointing an administrator until a newly elected Municipal Council has been declared elected, if exceptional circumstances warrant such a step.</w:t>
      </w:r>
    </w:p>
    <w:p w14:paraId="7952A7F8" w14:textId="77777777" w:rsidR="00B45C85" w:rsidRPr="00F84117" w:rsidRDefault="00B45C85" w:rsidP="00F84117">
      <w:pPr>
        <w:widowControl w:val="0"/>
        <w:shd w:val="clear" w:color="auto" w:fill="FFFFFF"/>
        <w:spacing w:after="0" w:line="360" w:lineRule="auto"/>
        <w:ind w:left="1440" w:hanging="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(2)</w:t>
      </w:r>
      <w:r w:rsidRPr="00F84117">
        <w:rPr>
          <w:rFonts w:ascii="Arial" w:eastAsia="Times New Roman" w:hAnsi="Arial" w:cs="Arial"/>
          <w:i/>
          <w:iCs/>
          <w:sz w:val="24"/>
          <w:szCs w:val="24"/>
          <w:lang w:eastAsia="en-ZA"/>
        </w:rPr>
        <w:tab/>
        <w:t>If a provincial executive intervenes in a municipality in terms of subsection (1) (b)-</w:t>
      </w:r>
    </w:p>
    <w:p w14:paraId="7302C555" w14:textId="77777777" w:rsidR="00B45C85" w:rsidRPr="00F84117" w:rsidRDefault="00B45C85" w:rsidP="00F84117">
      <w:pPr>
        <w:widowControl w:val="0"/>
        <w:shd w:val="clear" w:color="auto" w:fill="FFFFFF"/>
        <w:spacing w:after="0" w:line="360" w:lineRule="auto"/>
        <w:ind w:left="720" w:firstLine="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(a)</w:t>
      </w:r>
      <w:r w:rsidRPr="00F84117">
        <w:rPr>
          <w:rFonts w:ascii="Arial" w:eastAsia="Times New Roman" w:hAnsi="Arial" w:cs="Arial"/>
          <w:i/>
          <w:iCs/>
          <w:sz w:val="24"/>
          <w:szCs w:val="24"/>
          <w:lang w:eastAsia="en-ZA"/>
        </w:rPr>
        <w:tab/>
        <w:t>it must submit a written notice of the intervention to-</w:t>
      </w:r>
    </w:p>
    <w:p w14:paraId="4C5951FA" w14:textId="77777777" w:rsidR="00B45C85" w:rsidRPr="00F84117" w:rsidRDefault="00B45C85" w:rsidP="00F84117">
      <w:pPr>
        <w:widowControl w:val="0"/>
        <w:shd w:val="clear" w:color="auto" w:fill="FFFFFF"/>
        <w:spacing w:after="0" w:line="360" w:lineRule="auto"/>
        <w:ind w:left="2880" w:hanging="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(i)</w:t>
      </w:r>
      <w:r w:rsidRPr="00F84117">
        <w:rPr>
          <w:rFonts w:ascii="Arial" w:eastAsia="Times New Roman" w:hAnsi="Arial" w:cs="Arial"/>
          <w:i/>
          <w:iCs/>
          <w:sz w:val="24"/>
          <w:szCs w:val="24"/>
          <w:lang w:eastAsia="en-ZA"/>
        </w:rPr>
        <w:tab/>
        <w:t>the Cabinet member responsible for local government affairs; and</w:t>
      </w:r>
    </w:p>
    <w:p w14:paraId="19AAC6A7" w14:textId="77777777" w:rsidR="00B45C85" w:rsidRPr="00F84117" w:rsidRDefault="00B45C85" w:rsidP="00F84117">
      <w:pPr>
        <w:widowControl w:val="0"/>
        <w:shd w:val="clear" w:color="auto" w:fill="FFFFFF"/>
        <w:spacing w:after="0" w:line="360" w:lineRule="auto"/>
        <w:ind w:left="2880" w:hanging="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(ii)</w:t>
      </w:r>
      <w:r w:rsidRPr="00F84117">
        <w:rPr>
          <w:rFonts w:ascii="Arial" w:eastAsia="Times New Roman" w:hAnsi="Arial" w:cs="Arial"/>
          <w:i/>
          <w:iCs/>
          <w:sz w:val="24"/>
          <w:szCs w:val="24"/>
          <w:lang w:eastAsia="en-ZA"/>
        </w:rPr>
        <w:tab/>
        <w:t>the relevant provincial legislature and the National Council of Provinces,</w:t>
      </w:r>
    </w:p>
    <w:p w14:paraId="4793BE8C" w14:textId="77777777" w:rsidR="00B45C85" w:rsidRPr="00F84117" w:rsidRDefault="00B45C85" w:rsidP="00F84117">
      <w:pPr>
        <w:widowControl w:val="0"/>
        <w:spacing w:after="0" w:line="360" w:lineRule="auto"/>
        <w:ind w:left="1440" w:firstLine="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within 14 days after the intervention began;</w:t>
      </w:r>
    </w:p>
    <w:p w14:paraId="0A01DE73" w14:textId="77777777" w:rsidR="00B45C85" w:rsidRPr="00F84117" w:rsidRDefault="00B45C85" w:rsidP="00F84117">
      <w:pPr>
        <w:widowControl w:val="0"/>
        <w:shd w:val="clear" w:color="auto" w:fill="FFFFFF"/>
        <w:spacing w:after="0" w:line="360" w:lineRule="auto"/>
        <w:ind w:left="720" w:firstLine="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(b)   the intervention must end if-</w:t>
      </w:r>
    </w:p>
    <w:p w14:paraId="04BF903D" w14:textId="77777777" w:rsidR="00B45C85" w:rsidRPr="00F84117" w:rsidRDefault="00B45C85" w:rsidP="00F84117">
      <w:pPr>
        <w:widowControl w:val="0"/>
        <w:shd w:val="clear" w:color="auto" w:fill="FFFFFF"/>
        <w:spacing w:after="0" w:line="360" w:lineRule="auto"/>
        <w:ind w:left="2880" w:hanging="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(i)</w:t>
      </w:r>
      <w:r w:rsidRPr="00F84117">
        <w:rPr>
          <w:rFonts w:ascii="Arial" w:eastAsia="Times New Roman" w:hAnsi="Arial" w:cs="Arial"/>
          <w:i/>
          <w:iCs/>
          <w:sz w:val="24"/>
          <w:szCs w:val="24"/>
          <w:lang w:eastAsia="en-ZA"/>
        </w:rPr>
        <w:tab/>
        <w:t>the Cabinet member responsible for local government affairs disapproves the intervention within 28 days after the intervention began or by the end of that period has not approved the intervention; or</w:t>
      </w:r>
    </w:p>
    <w:p w14:paraId="440D18F3" w14:textId="77777777" w:rsidR="00B45C85" w:rsidRPr="00F84117" w:rsidRDefault="00B45C85" w:rsidP="00F84117">
      <w:pPr>
        <w:widowControl w:val="0"/>
        <w:shd w:val="clear" w:color="auto" w:fill="FFFFFF"/>
        <w:spacing w:after="0" w:line="360" w:lineRule="auto"/>
        <w:ind w:left="2880" w:hanging="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t>(ii)</w:t>
      </w:r>
      <w:r w:rsidRPr="00F84117">
        <w:rPr>
          <w:rFonts w:ascii="Arial" w:eastAsia="Times New Roman" w:hAnsi="Arial" w:cs="Arial"/>
          <w:i/>
          <w:iCs/>
          <w:sz w:val="24"/>
          <w:szCs w:val="24"/>
          <w:lang w:eastAsia="en-ZA"/>
        </w:rPr>
        <w:tab/>
        <w:t>the Council disapproves the intervention within 180 days after the intervention began or by the end of that period has not approved the intervention; and</w:t>
      </w:r>
    </w:p>
    <w:p w14:paraId="4583033C" w14:textId="77777777" w:rsidR="00B45C85" w:rsidRPr="00F84117" w:rsidRDefault="00B45C85" w:rsidP="00F84117">
      <w:pPr>
        <w:widowControl w:val="0"/>
        <w:shd w:val="clear" w:color="auto" w:fill="FFFFFF"/>
        <w:spacing w:after="0" w:line="360" w:lineRule="auto"/>
        <w:ind w:left="2160" w:hanging="720"/>
        <w:jc w:val="both"/>
        <w:rPr>
          <w:rFonts w:ascii="Arial" w:eastAsia="Times New Roman" w:hAnsi="Arial" w:cs="Arial"/>
          <w:i/>
          <w:iCs/>
          <w:sz w:val="24"/>
          <w:szCs w:val="24"/>
          <w:lang w:eastAsia="en-ZA"/>
        </w:rPr>
      </w:pPr>
      <w:r w:rsidRPr="00F84117">
        <w:rPr>
          <w:rFonts w:ascii="Arial" w:eastAsia="Times New Roman" w:hAnsi="Arial" w:cs="Arial"/>
          <w:i/>
          <w:iCs/>
          <w:sz w:val="24"/>
          <w:szCs w:val="24"/>
          <w:lang w:eastAsia="en-ZA"/>
        </w:rPr>
        <w:lastRenderedPageBreak/>
        <w:t>(c)</w:t>
      </w:r>
      <w:r w:rsidRPr="00F84117">
        <w:rPr>
          <w:rFonts w:ascii="Arial" w:eastAsia="Times New Roman" w:hAnsi="Arial" w:cs="Arial"/>
          <w:i/>
          <w:iCs/>
          <w:sz w:val="24"/>
          <w:szCs w:val="24"/>
          <w:lang w:eastAsia="en-ZA"/>
        </w:rPr>
        <w:tab/>
        <w:t>the Council must, while the intervention continues, review the intervention regularly and may make any appropriate recommendations to the provincial executive.</w:t>
      </w:r>
    </w:p>
    <w:p w14:paraId="4E1FF049" w14:textId="77777777" w:rsidR="00B45C85" w:rsidRPr="00F84117" w:rsidRDefault="00B45C85" w:rsidP="00F84117">
      <w:pPr>
        <w:widowControl w:val="0"/>
        <w:spacing w:after="0" w:line="360" w:lineRule="auto"/>
        <w:jc w:val="both"/>
        <w:rPr>
          <w:rFonts w:ascii="Arial" w:hAnsi="Arial" w:cs="Arial"/>
          <w:sz w:val="24"/>
          <w:szCs w:val="24"/>
        </w:rPr>
      </w:pPr>
    </w:p>
    <w:p w14:paraId="34E1DE2C" w14:textId="424D66AF" w:rsidR="000F60DC" w:rsidRPr="00F84117" w:rsidRDefault="000F60DC"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w:t>
      </w:r>
      <w:r w:rsidR="0049724E" w:rsidRPr="00F84117">
        <w:rPr>
          <w:rFonts w:ascii="Arial" w:hAnsi="Arial" w:cs="Arial"/>
          <w:sz w:val="24"/>
          <w:szCs w:val="24"/>
        </w:rPr>
        <w:t>s</w:t>
      </w:r>
      <w:r w:rsidRPr="00F84117">
        <w:rPr>
          <w:rFonts w:ascii="Arial" w:hAnsi="Arial" w:cs="Arial"/>
          <w:sz w:val="24"/>
          <w:szCs w:val="24"/>
        </w:rPr>
        <w:t xml:space="preserve"> submit that phrase “</w:t>
      </w:r>
      <w:r w:rsidRPr="00F84117">
        <w:rPr>
          <w:rFonts w:ascii="Arial" w:hAnsi="Arial" w:cs="Arial"/>
          <w:i/>
          <w:sz w:val="24"/>
          <w:szCs w:val="24"/>
        </w:rPr>
        <w:t>any appropriate steps</w:t>
      </w:r>
      <w:r w:rsidRPr="00F84117">
        <w:rPr>
          <w:rFonts w:ascii="Arial" w:hAnsi="Arial" w:cs="Arial"/>
          <w:sz w:val="24"/>
          <w:szCs w:val="24"/>
        </w:rPr>
        <w:t xml:space="preserve">” </w:t>
      </w:r>
      <w:r w:rsidR="0049724E" w:rsidRPr="00F84117">
        <w:rPr>
          <w:rFonts w:ascii="Arial" w:hAnsi="Arial" w:cs="Arial"/>
          <w:sz w:val="24"/>
          <w:szCs w:val="24"/>
        </w:rPr>
        <w:t xml:space="preserve">in section 139(1) </w:t>
      </w:r>
      <w:r w:rsidRPr="00F84117">
        <w:rPr>
          <w:rFonts w:ascii="Arial" w:hAnsi="Arial" w:cs="Arial"/>
          <w:sz w:val="24"/>
          <w:szCs w:val="24"/>
        </w:rPr>
        <w:t xml:space="preserve">is wide and unlimited, with reference to what was stated in </w:t>
      </w:r>
      <w:r w:rsidRPr="00F84117">
        <w:rPr>
          <w:rFonts w:ascii="Arial" w:hAnsi="Arial" w:cs="Arial"/>
          <w:i/>
          <w:iCs/>
          <w:sz w:val="24"/>
          <w:szCs w:val="24"/>
        </w:rPr>
        <w:t xml:space="preserve">Premier, Gauteng and </w:t>
      </w:r>
      <w:r w:rsidR="00523EBE" w:rsidRPr="00F84117">
        <w:rPr>
          <w:rFonts w:ascii="Arial" w:hAnsi="Arial" w:cs="Arial"/>
          <w:i/>
          <w:iCs/>
          <w:sz w:val="24"/>
          <w:szCs w:val="24"/>
        </w:rPr>
        <w:t>o</w:t>
      </w:r>
      <w:r w:rsidRPr="00F84117">
        <w:rPr>
          <w:rFonts w:ascii="Arial" w:hAnsi="Arial" w:cs="Arial"/>
          <w:i/>
          <w:iCs/>
          <w:sz w:val="24"/>
          <w:szCs w:val="24"/>
        </w:rPr>
        <w:t xml:space="preserve">thers v Democratic Alliance and </w:t>
      </w:r>
      <w:r w:rsidR="00523EBE" w:rsidRPr="00F84117">
        <w:rPr>
          <w:rFonts w:ascii="Arial" w:hAnsi="Arial" w:cs="Arial"/>
          <w:i/>
          <w:iCs/>
          <w:sz w:val="24"/>
          <w:szCs w:val="24"/>
        </w:rPr>
        <w:t>o</w:t>
      </w:r>
      <w:r w:rsidRPr="00F84117">
        <w:rPr>
          <w:rFonts w:ascii="Arial" w:hAnsi="Arial" w:cs="Arial"/>
          <w:i/>
          <w:iCs/>
          <w:sz w:val="24"/>
          <w:szCs w:val="24"/>
        </w:rPr>
        <w:t>thers</w:t>
      </w:r>
      <w:r w:rsidR="0049724E" w:rsidRPr="00F84117">
        <w:rPr>
          <w:rFonts w:ascii="Arial" w:hAnsi="Arial" w:cs="Arial"/>
          <w:sz w:val="24"/>
          <w:szCs w:val="24"/>
        </w:rPr>
        <w:t xml:space="preserve"> </w:t>
      </w:r>
      <w:r w:rsidR="0049724E" w:rsidRPr="00F84117">
        <w:rPr>
          <w:rFonts w:ascii="Arial" w:hAnsi="Arial" w:cs="Arial"/>
          <w:sz w:val="24"/>
          <w:szCs w:val="24"/>
          <w:lang w:val="de-DE"/>
        </w:rPr>
        <w:t>2022 (1) SA 16 CC</w:t>
      </w:r>
      <w:r w:rsidRPr="00F84117">
        <w:rPr>
          <w:rFonts w:ascii="Arial" w:hAnsi="Arial" w:cs="Arial"/>
          <w:i/>
          <w:iCs/>
          <w:sz w:val="24"/>
          <w:szCs w:val="24"/>
        </w:rPr>
        <w:t xml:space="preserve"> </w:t>
      </w:r>
      <w:r w:rsidRPr="00F84117">
        <w:rPr>
          <w:rFonts w:ascii="Arial" w:hAnsi="Arial" w:cs="Arial"/>
          <w:sz w:val="24"/>
          <w:szCs w:val="24"/>
        </w:rPr>
        <w:t>at para [76]</w:t>
      </w:r>
      <w:proofErr w:type="gramStart"/>
      <w:r w:rsidRPr="00F84117">
        <w:rPr>
          <w:rFonts w:ascii="Arial" w:hAnsi="Arial" w:cs="Arial"/>
          <w:i/>
          <w:iCs/>
          <w:sz w:val="24"/>
          <w:szCs w:val="24"/>
        </w:rPr>
        <w:t xml:space="preserve">:  </w:t>
      </w:r>
      <w:r w:rsidRPr="00F84117">
        <w:rPr>
          <w:rFonts w:ascii="Arial" w:hAnsi="Arial" w:cs="Arial"/>
          <w:i/>
          <w:sz w:val="24"/>
          <w:szCs w:val="24"/>
        </w:rPr>
        <w:t>“</w:t>
      </w:r>
      <w:proofErr w:type="gramEnd"/>
      <w:r w:rsidRPr="00F84117">
        <w:rPr>
          <w:rFonts w:ascii="Arial" w:hAnsi="Arial" w:cs="Arial"/>
          <w:i/>
          <w:sz w:val="24"/>
          <w:szCs w:val="24"/>
        </w:rPr>
        <w:t>The second jurisdictional requirement – ‘any appropriate steps’ – is superseded by the word ‘including’, meaning that the list of options for appropriate steps is non-exhaustive.</w:t>
      </w:r>
      <w:r w:rsidRPr="00F84117">
        <w:rPr>
          <w:rFonts w:ascii="Arial" w:hAnsi="Arial" w:cs="Arial"/>
          <w:sz w:val="24"/>
          <w:szCs w:val="24"/>
        </w:rPr>
        <w:t>”</w:t>
      </w:r>
      <w:r w:rsidR="00C74CC7" w:rsidRPr="00F84117">
        <w:rPr>
          <w:rFonts w:ascii="Arial" w:hAnsi="Arial" w:cs="Arial"/>
          <w:sz w:val="24"/>
          <w:szCs w:val="24"/>
        </w:rPr>
        <w:t xml:space="preserve">  This case involved the dissolution of a municipal council under section 139(1)(c) following </w:t>
      </w:r>
      <w:r w:rsidR="00D421A4" w:rsidRPr="00F84117">
        <w:rPr>
          <w:rFonts w:ascii="Arial" w:hAnsi="Arial" w:cs="Arial"/>
          <w:sz w:val="24"/>
          <w:szCs w:val="24"/>
        </w:rPr>
        <w:t>instances</w:t>
      </w:r>
      <w:r w:rsidR="00C74CC7" w:rsidRPr="00F84117">
        <w:rPr>
          <w:rFonts w:ascii="Arial" w:hAnsi="Arial" w:cs="Arial"/>
          <w:sz w:val="24"/>
          <w:szCs w:val="24"/>
        </w:rPr>
        <w:t xml:space="preserve"> of egregious failures in services delivery, as well as corruption.</w:t>
      </w:r>
    </w:p>
    <w:p w14:paraId="58150AB6" w14:textId="77777777" w:rsidR="000F60DC" w:rsidRPr="00F84117" w:rsidRDefault="000F60DC" w:rsidP="00F84117">
      <w:pPr>
        <w:widowControl w:val="0"/>
        <w:spacing w:after="0" w:line="360" w:lineRule="auto"/>
        <w:ind w:left="567"/>
        <w:jc w:val="both"/>
        <w:rPr>
          <w:rFonts w:ascii="Arial" w:hAnsi="Arial" w:cs="Arial"/>
          <w:i/>
          <w:sz w:val="24"/>
          <w:szCs w:val="24"/>
        </w:rPr>
      </w:pPr>
      <w:r w:rsidRPr="00F84117">
        <w:rPr>
          <w:rFonts w:ascii="Arial" w:hAnsi="Arial" w:cs="Arial"/>
          <w:i/>
          <w:sz w:val="24"/>
          <w:szCs w:val="24"/>
        </w:rPr>
        <w:t xml:space="preserve"> </w:t>
      </w:r>
    </w:p>
    <w:p w14:paraId="12A07782" w14:textId="1BE0C969" w:rsidR="000F60DC" w:rsidRPr="00F84117" w:rsidRDefault="000F60DC"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suggest that “</w:t>
      </w:r>
      <w:r w:rsidRPr="00F84117">
        <w:rPr>
          <w:rFonts w:ascii="Arial" w:hAnsi="Arial" w:cs="Arial"/>
          <w:i/>
          <w:iCs/>
          <w:sz w:val="24"/>
          <w:szCs w:val="24"/>
        </w:rPr>
        <w:t xml:space="preserve">any </w:t>
      </w:r>
      <w:r w:rsidRPr="00F84117">
        <w:rPr>
          <w:rFonts w:ascii="Arial" w:hAnsi="Arial" w:cs="Arial"/>
          <w:i/>
          <w:sz w:val="24"/>
          <w:szCs w:val="24"/>
        </w:rPr>
        <w:t>appropriate steps</w:t>
      </w:r>
      <w:r w:rsidRPr="00F84117">
        <w:rPr>
          <w:rFonts w:ascii="Arial" w:hAnsi="Arial" w:cs="Arial"/>
          <w:sz w:val="24"/>
          <w:szCs w:val="24"/>
        </w:rPr>
        <w:t xml:space="preserve">” contemplated by section 139(1) may also include the appointment of a specific independent tribunal to adjudicate upon the rezoning application. It is not necessary for the equitable relief available to the Municipality in terms of the provisions of section 139 specifically </w:t>
      </w:r>
      <w:r w:rsidR="00BC6499" w:rsidRPr="00F84117">
        <w:rPr>
          <w:rFonts w:ascii="Arial" w:hAnsi="Arial" w:cs="Arial"/>
          <w:sz w:val="24"/>
          <w:szCs w:val="24"/>
        </w:rPr>
        <w:t xml:space="preserve">to be set out </w:t>
      </w:r>
      <w:r w:rsidRPr="00F84117">
        <w:rPr>
          <w:rFonts w:ascii="Arial" w:hAnsi="Arial" w:cs="Arial"/>
          <w:sz w:val="24"/>
          <w:szCs w:val="24"/>
        </w:rPr>
        <w:t>in a court order.  The initiative would be upon the “</w:t>
      </w:r>
      <w:r w:rsidRPr="00F84117">
        <w:rPr>
          <w:rFonts w:ascii="Arial" w:hAnsi="Arial" w:cs="Arial"/>
          <w:i/>
          <w:sz w:val="24"/>
          <w:szCs w:val="24"/>
        </w:rPr>
        <w:t>relevant Provincial Executive</w:t>
      </w:r>
      <w:r w:rsidRPr="00F84117">
        <w:rPr>
          <w:rFonts w:ascii="Arial" w:hAnsi="Arial" w:cs="Arial"/>
          <w:sz w:val="24"/>
          <w:szCs w:val="24"/>
        </w:rPr>
        <w:t>” to intervene in the manner as contemplated in the</w:t>
      </w:r>
      <w:r w:rsidR="0049724E" w:rsidRPr="00F84117">
        <w:rPr>
          <w:rFonts w:ascii="Arial" w:hAnsi="Arial" w:cs="Arial"/>
          <w:sz w:val="24"/>
          <w:szCs w:val="24"/>
        </w:rPr>
        <w:t xml:space="preserve"> section</w:t>
      </w:r>
      <w:r w:rsidRPr="00F84117">
        <w:rPr>
          <w:rFonts w:ascii="Arial" w:hAnsi="Arial" w:cs="Arial"/>
          <w:sz w:val="24"/>
          <w:szCs w:val="24"/>
        </w:rPr>
        <w:t xml:space="preserve">.  </w:t>
      </w:r>
    </w:p>
    <w:p w14:paraId="2E627B04" w14:textId="77777777" w:rsidR="00BC6499" w:rsidRPr="00F84117" w:rsidRDefault="00BC6499" w:rsidP="00F84117">
      <w:pPr>
        <w:pStyle w:val="ListParagraph"/>
        <w:widowControl w:val="0"/>
        <w:spacing w:after="0" w:line="360" w:lineRule="auto"/>
        <w:jc w:val="both"/>
        <w:rPr>
          <w:rFonts w:ascii="Arial" w:hAnsi="Arial" w:cs="Arial"/>
          <w:sz w:val="24"/>
          <w:szCs w:val="24"/>
        </w:rPr>
      </w:pPr>
    </w:p>
    <w:p w14:paraId="49E71C2A" w14:textId="07EC5B41" w:rsidR="00523EBE" w:rsidRPr="00F84117" w:rsidRDefault="0002295F"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In discussing </w:t>
      </w:r>
      <w:r w:rsidR="00440655" w:rsidRPr="00F84117">
        <w:rPr>
          <w:rFonts w:ascii="Arial" w:hAnsi="Arial" w:cs="Arial"/>
          <w:sz w:val="24"/>
          <w:szCs w:val="24"/>
        </w:rPr>
        <w:t>the</w:t>
      </w:r>
      <w:r w:rsidR="008A15DF" w:rsidRPr="00F84117">
        <w:rPr>
          <w:rFonts w:ascii="Arial" w:hAnsi="Arial" w:cs="Arial"/>
          <w:sz w:val="24"/>
          <w:szCs w:val="24"/>
        </w:rPr>
        <w:t xml:space="preserve"> application</w:t>
      </w:r>
      <w:r w:rsidR="00440655" w:rsidRPr="00F84117">
        <w:rPr>
          <w:rFonts w:ascii="Arial" w:hAnsi="Arial" w:cs="Arial"/>
          <w:sz w:val="24"/>
          <w:szCs w:val="24"/>
        </w:rPr>
        <w:t xml:space="preserve"> of </w:t>
      </w:r>
      <w:r w:rsidRPr="00F84117">
        <w:rPr>
          <w:rFonts w:ascii="Arial" w:hAnsi="Arial" w:cs="Arial"/>
          <w:sz w:val="24"/>
          <w:szCs w:val="24"/>
        </w:rPr>
        <w:t>section 139(1), the Const</w:t>
      </w:r>
      <w:r w:rsidR="00523EBE" w:rsidRPr="00F84117">
        <w:rPr>
          <w:rFonts w:ascii="Arial" w:hAnsi="Arial" w:cs="Arial"/>
          <w:sz w:val="24"/>
          <w:szCs w:val="24"/>
        </w:rPr>
        <w:t>it</w:t>
      </w:r>
      <w:r w:rsidRPr="00F84117">
        <w:rPr>
          <w:rFonts w:ascii="Arial" w:hAnsi="Arial" w:cs="Arial"/>
          <w:sz w:val="24"/>
          <w:szCs w:val="24"/>
        </w:rPr>
        <w:t xml:space="preserve">utional Court </w:t>
      </w:r>
      <w:r w:rsidR="00523EBE" w:rsidRPr="00F84117">
        <w:rPr>
          <w:rFonts w:ascii="Arial" w:hAnsi="Arial" w:cs="Arial"/>
          <w:sz w:val="24"/>
          <w:szCs w:val="24"/>
        </w:rPr>
        <w:t>in</w:t>
      </w:r>
      <w:r w:rsidR="00523EBE" w:rsidRPr="00F84117">
        <w:rPr>
          <w:rFonts w:ascii="Arial" w:hAnsi="Arial" w:cs="Arial"/>
          <w:i/>
          <w:iCs/>
          <w:sz w:val="24"/>
          <w:szCs w:val="24"/>
        </w:rPr>
        <w:t xml:space="preserve"> Premier</w:t>
      </w:r>
      <w:r w:rsidR="002E69D3" w:rsidRPr="00F84117">
        <w:rPr>
          <w:rFonts w:ascii="Arial" w:hAnsi="Arial" w:cs="Arial"/>
          <w:i/>
          <w:iCs/>
          <w:sz w:val="24"/>
          <w:szCs w:val="24"/>
        </w:rPr>
        <w:t>, Gauteng</w:t>
      </w:r>
      <w:r w:rsidR="00523EBE" w:rsidRPr="00F84117">
        <w:rPr>
          <w:rFonts w:ascii="Arial" w:hAnsi="Arial" w:cs="Arial"/>
          <w:sz w:val="24"/>
          <w:szCs w:val="24"/>
        </w:rPr>
        <w:t xml:space="preserve"> </w:t>
      </w:r>
      <w:r w:rsidRPr="00F84117">
        <w:rPr>
          <w:rFonts w:ascii="Arial" w:hAnsi="Arial" w:cs="Arial"/>
          <w:sz w:val="24"/>
          <w:szCs w:val="24"/>
        </w:rPr>
        <w:t xml:space="preserve">pointed out </w:t>
      </w:r>
      <w:r w:rsidR="00247520" w:rsidRPr="00F84117">
        <w:rPr>
          <w:rFonts w:ascii="Arial" w:hAnsi="Arial" w:cs="Arial"/>
          <w:sz w:val="24"/>
          <w:szCs w:val="24"/>
        </w:rPr>
        <w:t xml:space="preserve">in paras [58] to [64] </w:t>
      </w:r>
      <w:r w:rsidRPr="00F84117">
        <w:rPr>
          <w:rFonts w:ascii="Arial" w:hAnsi="Arial" w:cs="Arial"/>
          <w:sz w:val="24"/>
          <w:szCs w:val="24"/>
        </w:rPr>
        <w:t>that</w:t>
      </w:r>
      <w:r w:rsidR="00523EBE" w:rsidRPr="00F84117">
        <w:rPr>
          <w:rFonts w:ascii="Arial" w:hAnsi="Arial" w:cs="Arial"/>
          <w:sz w:val="24"/>
          <w:szCs w:val="24"/>
        </w:rPr>
        <w:t>:</w:t>
      </w:r>
    </w:p>
    <w:p w14:paraId="4230487B" w14:textId="77777777" w:rsidR="00523EBE" w:rsidRPr="00F84117" w:rsidRDefault="00523EBE" w:rsidP="00F84117">
      <w:pPr>
        <w:pStyle w:val="ListParagraph"/>
        <w:widowControl w:val="0"/>
        <w:spacing w:after="0" w:line="360" w:lineRule="auto"/>
        <w:jc w:val="both"/>
        <w:rPr>
          <w:rFonts w:ascii="Arial" w:hAnsi="Arial" w:cs="Arial"/>
          <w:sz w:val="24"/>
          <w:szCs w:val="24"/>
        </w:rPr>
      </w:pPr>
    </w:p>
    <w:p w14:paraId="4089A472" w14:textId="77777777" w:rsidR="008A15DF" w:rsidRPr="00F84117" w:rsidRDefault="0002295F" w:rsidP="00F84117">
      <w:pPr>
        <w:widowControl w:val="0"/>
        <w:numPr>
          <w:ilvl w:val="1"/>
          <w:numId w:val="3"/>
        </w:numPr>
        <w:spacing w:after="0" w:line="360" w:lineRule="auto"/>
        <w:ind w:left="1080" w:hanging="720"/>
        <w:jc w:val="both"/>
        <w:rPr>
          <w:rStyle w:val="footnoteanchor"/>
          <w:rFonts w:ascii="Arial" w:hAnsi="Arial" w:cs="Arial"/>
          <w:sz w:val="24"/>
          <w:szCs w:val="24"/>
        </w:rPr>
      </w:pPr>
      <w:r w:rsidRPr="00F84117">
        <w:rPr>
          <w:rFonts w:ascii="Arial" w:hAnsi="Arial" w:cs="Arial"/>
          <w:sz w:val="24"/>
          <w:szCs w:val="24"/>
        </w:rPr>
        <w:t>The section is corrective in nature as it seeks to address the problems in the municipality and restore service delivery</w:t>
      </w:r>
      <w:r w:rsidR="00523EBE" w:rsidRPr="00F84117">
        <w:rPr>
          <w:rFonts w:ascii="Arial" w:hAnsi="Arial" w:cs="Arial"/>
          <w:sz w:val="24"/>
          <w:szCs w:val="24"/>
        </w:rPr>
        <w:t>.  I</w:t>
      </w:r>
      <w:r w:rsidRPr="00F84117">
        <w:rPr>
          <w:rFonts w:ascii="Arial" w:hAnsi="Arial" w:cs="Arial"/>
          <w:sz w:val="24"/>
          <w:szCs w:val="24"/>
        </w:rPr>
        <w:t>n </w:t>
      </w:r>
      <w:r w:rsidRPr="00F84117">
        <w:rPr>
          <w:rFonts w:ascii="Arial" w:hAnsi="Arial" w:cs="Arial"/>
          <w:i/>
          <w:iCs/>
          <w:sz w:val="24"/>
          <w:szCs w:val="24"/>
        </w:rPr>
        <w:t>City of Cape Town v Premier, Western Cape</w:t>
      </w:r>
      <w:r w:rsidR="00B73194" w:rsidRPr="00F84117">
        <w:rPr>
          <w:rFonts w:ascii="Arial" w:hAnsi="Arial" w:cs="Arial"/>
          <w:sz w:val="24"/>
          <w:szCs w:val="24"/>
        </w:rPr>
        <w:t xml:space="preserve"> 2008 (6) SA 345 (C) at para [79] </w:t>
      </w:r>
      <w:r w:rsidR="00523EBE" w:rsidRPr="00F84117">
        <w:rPr>
          <w:rFonts w:ascii="Arial" w:hAnsi="Arial" w:cs="Arial"/>
          <w:sz w:val="24"/>
          <w:szCs w:val="24"/>
        </w:rPr>
        <w:t xml:space="preserve">it was </w:t>
      </w:r>
      <w:r w:rsidRPr="00F84117">
        <w:rPr>
          <w:rFonts w:ascii="Arial" w:hAnsi="Arial" w:cs="Arial"/>
          <w:sz w:val="24"/>
          <w:szCs w:val="24"/>
        </w:rPr>
        <w:t>recognised that</w:t>
      </w:r>
      <w:r w:rsidR="00523EBE" w:rsidRPr="00F84117">
        <w:rPr>
          <w:rFonts w:ascii="Arial" w:hAnsi="Arial" w:cs="Arial"/>
          <w:sz w:val="24"/>
          <w:szCs w:val="24"/>
        </w:rPr>
        <w:t xml:space="preserve"> </w:t>
      </w:r>
      <w:r w:rsidR="00B73194" w:rsidRPr="00F84117">
        <w:rPr>
          <w:rFonts w:ascii="Arial" w:hAnsi="Arial" w:cs="Arial"/>
          <w:sz w:val="24"/>
          <w:szCs w:val="24"/>
        </w:rPr>
        <w:t>the</w:t>
      </w:r>
      <w:r w:rsidRPr="00F84117">
        <w:rPr>
          <w:rFonts w:ascii="Arial" w:hAnsi="Arial" w:cs="Arial"/>
          <w:sz w:val="24"/>
          <w:szCs w:val="24"/>
        </w:rPr>
        <w:t xml:space="preserve"> </w:t>
      </w:r>
      <w:r w:rsidR="00B73194" w:rsidRPr="00F84117">
        <w:rPr>
          <w:rFonts w:ascii="Arial" w:hAnsi="Arial" w:cs="Arial"/>
          <w:sz w:val="24"/>
          <w:szCs w:val="24"/>
        </w:rPr>
        <w:t>“</w:t>
      </w:r>
      <w:r w:rsidRPr="00F84117">
        <w:rPr>
          <w:rFonts w:ascii="Arial" w:hAnsi="Arial" w:cs="Arial"/>
          <w:i/>
          <w:iCs/>
          <w:sz w:val="24"/>
          <w:szCs w:val="24"/>
        </w:rPr>
        <w:t>section is concerned with omission or inaction by the municipality and not positive misconduct. It is also framed in the present tense, being concerned with an ongoing failure and not a past failure. Intervention would not be appropriate where a past omission had already ceased.</w:t>
      </w:r>
      <w:r w:rsidR="00B73194" w:rsidRPr="00F84117">
        <w:rPr>
          <w:rFonts w:ascii="Arial" w:hAnsi="Arial" w:cs="Arial"/>
          <w:sz w:val="24"/>
          <w:szCs w:val="24"/>
        </w:rPr>
        <w:t>”</w:t>
      </w:r>
    </w:p>
    <w:p w14:paraId="0B2ED674" w14:textId="77777777" w:rsidR="008A15DF" w:rsidRPr="00F84117" w:rsidRDefault="008A15DF" w:rsidP="00F84117">
      <w:pPr>
        <w:widowControl w:val="0"/>
        <w:spacing w:after="0" w:line="360" w:lineRule="auto"/>
        <w:ind w:left="1080"/>
        <w:jc w:val="both"/>
        <w:rPr>
          <w:rStyle w:val="footnoteanchor"/>
          <w:rFonts w:ascii="Arial" w:hAnsi="Arial" w:cs="Arial"/>
          <w:sz w:val="24"/>
          <w:szCs w:val="24"/>
        </w:rPr>
      </w:pPr>
    </w:p>
    <w:p w14:paraId="74DE8ED9" w14:textId="77777777" w:rsidR="008A15DF" w:rsidRPr="00F84117" w:rsidRDefault="0002295F" w:rsidP="00F84117">
      <w:pPr>
        <w:widowControl w:val="0"/>
        <w:numPr>
          <w:ilvl w:val="1"/>
          <w:numId w:val="3"/>
        </w:numPr>
        <w:spacing w:after="0" w:line="360" w:lineRule="auto"/>
        <w:ind w:left="1080" w:hanging="720"/>
        <w:jc w:val="both"/>
        <w:rPr>
          <w:rFonts w:ascii="Arial" w:hAnsi="Arial" w:cs="Arial"/>
          <w:sz w:val="24"/>
          <w:szCs w:val="24"/>
        </w:rPr>
      </w:pPr>
      <w:r w:rsidRPr="00F84117">
        <w:rPr>
          <w:rFonts w:ascii="Arial" w:hAnsi="Arial" w:cs="Arial"/>
          <w:sz w:val="24"/>
          <w:szCs w:val="24"/>
        </w:rPr>
        <w:t xml:space="preserve">The framers of the Constitution used the word </w:t>
      </w:r>
      <w:r w:rsidR="00440655" w:rsidRPr="00F84117">
        <w:rPr>
          <w:rFonts w:ascii="Arial" w:hAnsi="Arial" w:cs="Arial"/>
          <w:sz w:val="24"/>
          <w:szCs w:val="24"/>
        </w:rPr>
        <w:t>“</w:t>
      </w:r>
      <w:r w:rsidRPr="00F84117">
        <w:rPr>
          <w:rFonts w:ascii="Arial" w:hAnsi="Arial" w:cs="Arial"/>
          <w:sz w:val="24"/>
          <w:szCs w:val="24"/>
        </w:rPr>
        <w:t>may</w:t>
      </w:r>
      <w:r w:rsidR="00440655" w:rsidRPr="00F84117">
        <w:rPr>
          <w:rFonts w:ascii="Arial" w:hAnsi="Arial" w:cs="Arial"/>
          <w:sz w:val="24"/>
          <w:szCs w:val="24"/>
        </w:rPr>
        <w:t>”</w:t>
      </w:r>
      <w:r w:rsidRPr="00F84117">
        <w:rPr>
          <w:rFonts w:ascii="Arial" w:hAnsi="Arial" w:cs="Arial"/>
          <w:sz w:val="24"/>
          <w:szCs w:val="24"/>
        </w:rPr>
        <w:t xml:space="preserve"> in s</w:t>
      </w:r>
      <w:r w:rsidR="00440655" w:rsidRPr="00F84117">
        <w:rPr>
          <w:rFonts w:ascii="Arial" w:hAnsi="Arial" w:cs="Arial"/>
          <w:sz w:val="24"/>
          <w:szCs w:val="24"/>
        </w:rPr>
        <w:t>ection</w:t>
      </w:r>
      <w:r w:rsidRPr="00F84117">
        <w:rPr>
          <w:rFonts w:ascii="Arial" w:hAnsi="Arial" w:cs="Arial"/>
          <w:sz w:val="24"/>
          <w:szCs w:val="24"/>
        </w:rPr>
        <w:t xml:space="preserve"> 139(1) to not merely confer a discretion, but a power coupled with a duty. The provincial </w:t>
      </w:r>
      <w:r w:rsidRPr="00F84117">
        <w:rPr>
          <w:rFonts w:ascii="Arial" w:hAnsi="Arial" w:cs="Arial"/>
          <w:sz w:val="24"/>
          <w:szCs w:val="24"/>
        </w:rPr>
        <w:lastRenderedPageBreak/>
        <w:t>government has a constitutional duty to intervene where a municipality cannot, or does not, fulfil its executive obligations. The purpose of the intervention is to enable the relevant provincial executive, in limited circumstances, to ensure fulfilment of the executive obligation that the municipality could not or did not fulfil. In this constitutional scheme the provincial executive is fully entitled, if not obliged, to do what is necessary to ensure the fulfilment of executive obligations.</w:t>
      </w:r>
    </w:p>
    <w:p w14:paraId="191B1412" w14:textId="77777777" w:rsidR="008A15DF" w:rsidRPr="00F84117" w:rsidRDefault="008A15DF" w:rsidP="00F84117">
      <w:pPr>
        <w:pStyle w:val="ListParagraph"/>
        <w:widowControl w:val="0"/>
        <w:spacing w:after="0" w:line="360" w:lineRule="auto"/>
        <w:jc w:val="both"/>
        <w:rPr>
          <w:rFonts w:ascii="Arial" w:hAnsi="Arial" w:cs="Arial"/>
          <w:sz w:val="24"/>
          <w:szCs w:val="24"/>
        </w:rPr>
      </w:pPr>
    </w:p>
    <w:p w14:paraId="2923D331" w14:textId="77777777" w:rsidR="002E69D3" w:rsidRPr="00F84117" w:rsidRDefault="0002295F" w:rsidP="00F84117">
      <w:pPr>
        <w:widowControl w:val="0"/>
        <w:numPr>
          <w:ilvl w:val="1"/>
          <w:numId w:val="3"/>
        </w:numPr>
        <w:spacing w:after="0" w:line="360" w:lineRule="auto"/>
        <w:ind w:left="1080" w:hanging="720"/>
        <w:jc w:val="both"/>
        <w:rPr>
          <w:rFonts w:ascii="Arial" w:hAnsi="Arial" w:cs="Arial"/>
          <w:sz w:val="24"/>
          <w:szCs w:val="24"/>
        </w:rPr>
      </w:pPr>
      <w:r w:rsidRPr="00F84117">
        <w:rPr>
          <w:rFonts w:ascii="Arial" w:hAnsi="Arial" w:cs="Arial"/>
          <w:sz w:val="24"/>
          <w:szCs w:val="24"/>
        </w:rPr>
        <w:t>The right to intervene is not absolute. It is subject to s</w:t>
      </w:r>
      <w:r w:rsidR="00440655" w:rsidRPr="00F84117">
        <w:rPr>
          <w:rFonts w:ascii="Arial" w:hAnsi="Arial" w:cs="Arial"/>
          <w:sz w:val="24"/>
          <w:szCs w:val="24"/>
        </w:rPr>
        <w:t>ections</w:t>
      </w:r>
      <w:r w:rsidRPr="00F84117">
        <w:rPr>
          <w:rFonts w:ascii="Arial" w:hAnsi="Arial" w:cs="Arial"/>
          <w:sz w:val="24"/>
          <w:szCs w:val="24"/>
        </w:rPr>
        <w:t xml:space="preserve"> 154(1) and 41(1)</w:t>
      </w:r>
      <w:r w:rsidRPr="00F84117">
        <w:rPr>
          <w:rFonts w:ascii="Arial" w:hAnsi="Arial" w:cs="Arial"/>
          <w:i/>
          <w:iCs/>
          <w:sz w:val="24"/>
          <w:szCs w:val="24"/>
        </w:rPr>
        <w:t>(h)</w:t>
      </w:r>
      <w:r w:rsidRPr="00F84117">
        <w:rPr>
          <w:rFonts w:ascii="Arial" w:hAnsi="Arial" w:cs="Arial"/>
          <w:sz w:val="24"/>
          <w:szCs w:val="24"/>
        </w:rPr>
        <w:t> of the Constitution.</w:t>
      </w:r>
      <w:r w:rsidR="00440655" w:rsidRPr="00F84117">
        <w:rPr>
          <w:rFonts w:ascii="Arial" w:hAnsi="Arial" w:cs="Arial"/>
          <w:sz w:val="24"/>
          <w:szCs w:val="24"/>
        </w:rPr>
        <w:t xml:space="preserve"> </w:t>
      </w:r>
      <w:r w:rsidRPr="00F84117">
        <w:rPr>
          <w:rFonts w:ascii="Arial" w:hAnsi="Arial" w:cs="Arial"/>
          <w:sz w:val="24"/>
          <w:szCs w:val="24"/>
        </w:rPr>
        <w:t xml:space="preserve">The former provides that </w:t>
      </w:r>
      <w:r w:rsidR="008A15DF" w:rsidRPr="00F84117">
        <w:rPr>
          <w:rFonts w:ascii="Arial" w:hAnsi="Arial" w:cs="Arial"/>
          <w:sz w:val="24"/>
          <w:szCs w:val="24"/>
        </w:rPr>
        <w:t>“</w:t>
      </w:r>
      <w:r w:rsidRPr="00F84117">
        <w:rPr>
          <w:rFonts w:ascii="Arial" w:hAnsi="Arial" w:cs="Arial"/>
          <w:i/>
          <w:iCs/>
          <w:sz w:val="24"/>
          <w:szCs w:val="24"/>
        </w:rPr>
        <w:t>(t)he national government and provincial governments, by legislative and other measures, must support and strengthen the capacity of municipalities to manage their own affairs, to exercise their powers and perform their functions</w:t>
      </w:r>
      <w:r w:rsidR="008A15DF" w:rsidRPr="00F84117">
        <w:rPr>
          <w:rFonts w:ascii="Arial" w:hAnsi="Arial" w:cs="Arial"/>
          <w:sz w:val="24"/>
          <w:szCs w:val="24"/>
        </w:rPr>
        <w:t>”</w:t>
      </w:r>
      <w:r w:rsidRPr="00F84117">
        <w:rPr>
          <w:rFonts w:ascii="Arial" w:hAnsi="Arial" w:cs="Arial"/>
          <w:sz w:val="24"/>
          <w:szCs w:val="24"/>
        </w:rPr>
        <w:t xml:space="preserve">. </w:t>
      </w:r>
      <w:r w:rsidR="008A15DF" w:rsidRPr="00F84117">
        <w:rPr>
          <w:rFonts w:ascii="Arial" w:hAnsi="Arial" w:cs="Arial"/>
          <w:sz w:val="24"/>
          <w:szCs w:val="24"/>
        </w:rPr>
        <w:t>T</w:t>
      </w:r>
      <w:r w:rsidRPr="00F84117">
        <w:rPr>
          <w:rFonts w:ascii="Arial" w:hAnsi="Arial" w:cs="Arial"/>
          <w:sz w:val="24"/>
          <w:szCs w:val="24"/>
        </w:rPr>
        <w:t xml:space="preserve">he latter requires that all spheres of government and all organs of state within its sphere must secure the wellbeing of the people of the Republic. </w:t>
      </w:r>
      <w:r w:rsidR="002E69D3" w:rsidRPr="00F84117">
        <w:rPr>
          <w:rFonts w:ascii="Arial" w:hAnsi="Arial" w:cs="Arial"/>
          <w:sz w:val="24"/>
          <w:szCs w:val="24"/>
        </w:rPr>
        <w:t xml:space="preserve"> They must</w:t>
      </w:r>
      <w:r w:rsidRPr="00F84117">
        <w:rPr>
          <w:rFonts w:ascii="Arial" w:hAnsi="Arial" w:cs="Arial"/>
          <w:sz w:val="24"/>
          <w:szCs w:val="24"/>
        </w:rPr>
        <w:t xml:space="preserve"> co-operate with one another in mutual trust and good faith by assisting and supporting one another; informing one another of, and consulting one another on, matters of common interest</w:t>
      </w:r>
      <w:r w:rsidR="002E69D3" w:rsidRPr="00F84117">
        <w:rPr>
          <w:rFonts w:ascii="Arial" w:hAnsi="Arial" w:cs="Arial"/>
          <w:sz w:val="24"/>
          <w:szCs w:val="24"/>
        </w:rPr>
        <w:t>.  They</w:t>
      </w:r>
      <w:r w:rsidRPr="00F84117">
        <w:rPr>
          <w:rFonts w:ascii="Arial" w:hAnsi="Arial" w:cs="Arial"/>
          <w:sz w:val="24"/>
          <w:szCs w:val="24"/>
        </w:rPr>
        <w:t xml:space="preserve"> must not assume any power or function except those conferred on them in terms of the Constitution.</w:t>
      </w:r>
    </w:p>
    <w:p w14:paraId="5E69D08C" w14:textId="77777777" w:rsidR="002E69D3" w:rsidRPr="00F84117" w:rsidRDefault="002E69D3" w:rsidP="00F84117">
      <w:pPr>
        <w:pStyle w:val="ListParagraph"/>
        <w:widowControl w:val="0"/>
        <w:spacing w:after="0" w:line="360" w:lineRule="auto"/>
        <w:jc w:val="both"/>
        <w:rPr>
          <w:rFonts w:ascii="Arial" w:hAnsi="Arial" w:cs="Arial"/>
          <w:sz w:val="24"/>
          <w:szCs w:val="24"/>
        </w:rPr>
      </w:pPr>
    </w:p>
    <w:p w14:paraId="4B575F44" w14:textId="39F244D4" w:rsidR="0002295F" w:rsidRPr="00F84117" w:rsidRDefault="0002295F" w:rsidP="00F84117">
      <w:pPr>
        <w:widowControl w:val="0"/>
        <w:numPr>
          <w:ilvl w:val="1"/>
          <w:numId w:val="3"/>
        </w:numPr>
        <w:spacing w:after="0" w:line="360" w:lineRule="auto"/>
        <w:ind w:left="1080" w:hanging="720"/>
        <w:jc w:val="both"/>
        <w:rPr>
          <w:rFonts w:ascii="Arial" w:hAnsi="Arial" w:cs="Arial"/>
          <w:sz w:val="24"/>
          <w:szCs w:val="24"/>
        </w:rPr>
      </w:pPr>
      <w:r w:rsidRPr="00F84117">
        <w:rPr>
          <w:rFonts w:ascii="Arial" w:hAnsi="Arial" w:cs="Arial"/>
          <w:sz w:val="24"/>
          <w:szCs w:val="24"/>
        </w:rPr>
        <w:t>The scope of intervention by one sphere in the affairs of another is highly circumscribed. The national and provincial sphere</w:t>
      </w:r>
      <w:r w:rsidR="002E69D3" w:rsidRPr="00F84117">
        <w:rPr>
          <w:rFonts w:ascii="Arial" w:hAnsi="Arial" w:cs="Arial"/>
          <w:sz w:val="24"/>
          <w:szCs w:val="24"/>
        </w:rPr>
        <w:t>s are</w:t>
      </w:r>
      <w:r w:rsidRPr="00F84117">
        <w:rPr>
          <w:rFonts w:ascii="Arial" w:hAnsi="Arial" w:cs="Arial"/>
          <w:sz w:val="24"/>
          <w:szCs w:val="24"/>
        </w:rPr>
        <w:t xml:space="preserve"> permitted by s</w:t>
      </w:r>
      <w:r w:rsidR="002E69D3" w:rsidRPr="00F84117">
        <w:rPr>
          <w:rFonts w:ascii="Arial" w:hAnsi="Arial" w:cs="Arial"/>
          <w:sz w:val="24"/>
          <w:szCs w:val="24"/>
        </w:rPr>
        <w:t>ections</w:t>
      </w:r>
      <w:r w:rsidRPr="00F84117">
        <w:rPr>
          <w:rFonts w:ascii="Arial" w:hAnsi="Arial" w:cs="Arial"/>
          <w:sz w:val="24"/>
          <w:szCs w:val="24"/>
        </w:rPr>
        <w:t xml:space="preserve"> 100 and 139 of the Constitution to undertake interventions to assume control over the affairs of another sphere or to perform the functions of another sphere under certain well-defined circumstances. </w:t>
      </w:r>
      <w:r w:rsidR="002E69D3" w:rsidRPr="00F84117">
        <w:rPr>
          <w:rFonts w:ascii="Arial" w:hAnsi="Arial" w:cs="Arial"/>
          <w:sz w:val="24"/>
          <w:szCs w:val="24"/>
        </w:rPr>
        <w:t xml:space="preserve"> They </w:t>
      </w:r>
      <w:r w:rsidRPr="00F84117">
        <w:rPr>
          <w:rFonts w:ascii="Arial" w:hAnsi="Arial" w:cs="Arial"/>
          <w:sz w:val="24"/>
          <w:szCs w:val="24"/>
        </w:rPr>
        <w:t xml:space="preserve">are not entitled to usurp the functions of the municipal sphere, except in exceptional circumstances, but only temporarily and in compliance with strict procedures. </w:t>
      </w:r>
    </w:p>
    <w:p w14:paraId="21C5FF12" w14:textId="77777777" w:rsidR="0002295F" w:rsidRPr="00F84117" w:rsidRDefault="0002295F" w:rsidP="00F84117">
      <w:pPr>
        <w:widowControl w:val="0"/>
        <w:spacing w:after="0" w:line="360" w:lineRule="auto"/>
        <w:ind w:left="567"/>
        <w:jc w:val="both"/>
        <w:rPr>
          <w:rFonts w:ascii="Arial" w:hAnsi="Arial" w:cs="Arial"/>
          <w:sz w:val="24"/>
          <w:szCs w:val="24"/>
        </w:rPr>
      </w:pPr>
    </w:p>
    <w:p w14:paraId="7F3770B3" w14:textId="77777777" w:rsidR="0015219B" w:rsidRPr="00F84117" w:rsidRDefault="002E69D3"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In this context, </w:t>
      </w:r>
      <w:r w:rsidR="00C74CC7" w:rsidRPr="00F84117">
        <w:rPr>
          <w:rFonts w:ascii="Arial" w:hAnsi="Arial" w:cs="Arial"/>
          <w:sz w:val="24"/>
          <w:szCs w:val="24"/>
        </w:rPr>
        <w:t>I regard an intervention by the provincial government on the basis of the facts of this application as remote.  Section 139</w:t>
      </w:r>
      <w:r w:rsidR="00C74CC7" w:rsidRPr="00F84117">
        <w:rPr>
          <w:rFonts w:ascii="Arial" w:hAnsi="Arial" w:cs="Arial"/>
          <w:sz w:val="24"/>
          <w:szCs w:val="24"/>
          <w:shd w:val="clear" w:color="auto" w:fill="FFFFFF"/>
        </w:rPr>
        <w:t xml:space="preserve"> is to be interpreted against the background of the constitutional imperatives of the rule of law, principles of co-operative governance, and intergovernmental relations.</w:t>
      </w:r>
      <w:r w:rsidR="00C74CC7" w:rsidRPr="00F84117">
        <w:rPr>
          <w:rFonts w:ascii="Arial" w:hAnsi="Arial" w:cs="Arial"/>
          <w:sz w:val="24"/>
          <w:szCs w:val="24"/>
        </w:rPr>
        <w:t xml:space="preserve"> </w:t>
      </w:r>
      <w:r w:rsidR="00B45C85" w:rsidRPr="00F84117">
        <w:rPr>
          <w:rFonts w:ascii="Arial" w:hAnsi="Arial" w:cs="Arial"/>
          <w:sz w:val="24"/>
          <w:szCs w:val="24"/>
        </w:rPr>
        <w:t xml:space="preserve">The power to intervene is intended to deal with matters </w:t>
      </w:r>
      <w:r w:rsidR="00485995" w:rsidRPr="00F84117">
        <w:rPr>
          <w:rFonts w:ascii="Arial" w:hAnsi="Arial" w:cs="Arial"/>
          <w:sz w:val="24"/>
          <w:szCs w:val="24"/>
        </w:rPr>
        <w:t xml:space="preserve">that affect the functioning of the </w:t>
      </w:r>
      <w:r w:rsidR="00485995" w:rsidRPr="00F84117">
        <w:rPr>
          <w:rFonts w:ascii="Arial" w:hAnsi="Arial" w:cs="Arial"/>
          <w:sz w:val="24"/>
          <w:szCs w:val="24"/>
        </w:rPr>
        <w:lastRenderedPageBreak/>
        <w:t xml:space="preserve">municipality and ultimately issues of </w:t>
      </w:r>
      <w:r w:rsidR="00B45C85" w:rsidRPr="00F84117">
        <w:rPr>
          <w:rFonts w:ascii="Arial" w:hAnsi="Arial" w:cs="Arial"/>
          <w:sz w:val="24"/>
          <w:szCs w:val="24"/>
        </w:rPr>
        <w:t>substantial</w:t>
      </w:r>
      <w:r w:rsidR="00485995" w:rsidRPr="00F84117">
        <w:rPr>
          <w:rFonts w:ascii="Arial" w:hAnsi="Arial" w:cs="Arial"/>
          <w:sz w:val="24"/>
          <w:szCs w:val="24"/>
        </w:rPr>
        <w:t xml:space="preserve"> local, provincial and</w:t>
      </w:r>
      <w:r w:rsidR="00B45C85" w:rsidRPr="00F84117">
        <w:rPr>
          <w:rFonts w:ascii="Arial" w:hAnsi="Arial" w:cs="Arial"/>
          <w:sz w:val="24"/>
          <w:szCs w:val="24"/>
        </w:rPr>
        <w:t xml:space="preserve"> national importance. It is unlikely that the provincial government will intervene in the determination of a local rezoning application</w:t>
      </w:r>
      <w:r w:rsidR="00485995" w:rsidRPr="00F84117">
        <w:rPr>
          <w:rFonts w:ascii="Arial" w:hAnsi="Arial" w:cs="Arial"/>
          <w:sz w:val="24"/>
          <w:szCs w:val="24"/>
        </w:rPr>
        <w:t xml:space="preserve"> of the kind at issue in the present matter</w:t>
      </w:r>
      <w:r w:rsidRPr="00F84117">
        <w:rPr>
          <w:rFonts w:ascii="Arial" w:hAnsi="Arial" w:cs="Arial"/>
          <w:sz w:val="24"/>
          <w:szCs w:val="24"/>
        </w:rPr>
        <w:t>, i</w:t>
      </w:r>
      <w:r w:rsidR="00912AAF" w:rsidRPr="00F84117">
        <w:rPr>
          <w:rFonts w:ascii="Arial" w:hAnsi="Arial" w:cs="Arial"/>
          <w:sz w:val="24"/>
          <w:szCs w:val="24"/>
        </w:rPr>
        <w:t>n circumstances where the outcome of the exercise of the City’s powers in relation to the rezoning application (and thus the manner in which it was achieved) is not yet known</w:t>
      </w:r>
      <w:r w:rsidRPr="00F84117">
        <w:rPr>
          <w:rFonts w:ascii="Arial" w:hAnsi="Arial" w:cs="Arial"/>
          <w:sz w:val="24"/>
          <w:szCs w:val="24"/>
        </w:rPr>
        <w:t>.</w:t>
      </w:r>
    </w:p>
    <w:p w14:paraId="40F10D5F" w14:textId="77777777" w:rsidR="0015219B" w:rsidRPr="00F84117" w:rsidRDefault="0015219B" w:rsidP="00F84117">
      <w:pPr>
        <w:widowControl w:val="0"/>
        <w:spacing w:after="0" w:line="360" w:lineRule="auto"/>
        <w:ind w:left="567"/>
        <w:jc w:val="both"/>
        <w:rPr>
          <w:rFonts w:ascii="Arial" w:hAnsi="Arial" w:cs="Arial"/>
          <w:sz w:val="24"/>
          <w:szCs w:val="24"/>
        </w:rPr>
      </w:pPr>
    </w:p>
    <w:p w14:paraId="79DA5B6D" w14:textId="45580475" w:rsidR="0015219B" w:rsidRPr="00F84117" w:rsidRDefault="007D1283"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In any event, the provincial authorities will refrain from becoming involved because they have no power to decide planning applications falling within the City’s jurisdiction (see </w:t>
      </w:r>
      <w:r w:rsidR="0015219B" w:rsidRPr="00F84117">
        <w:rPr>
          <w:rFonts w:ascii="Arial" w:hAnsi="Arial" w:cs="Arial"/>
          <w:i/>
          <w:iCs/>
          <w:sz w:val="24"/>
          <w:szCs w:val="24"/>
        </w:rPr>
        <w:t>Minister of Local Government, Environmental Affairs and Development Planning, Western Cape v Habitat Council (City of Johannesburg Metropolitan Municipality Amicus Curiae</w:t>
      </w:r>
      <w:r w:rsidR="0015219B" w:rsidRPr="00F84117">
        <w:rPr>
          <w:rFonts w:ascii="Arial" w:hAnsi="Arial" w:cs="Arial"/>
          <w:sz w:val="24"/>
          <w:szCs w:val="24"/>
        </w:rPr>
        <w:t>) 2014 (4) SA 437 (CC)).</w:t>
      </w:r>
    </w:p>
    <w:p w14:paraId="778A2206" w14:textId="0966C946" w:rsidR="00616AA0" w:rsidRPr="00F84117" w:rsidRDefault="00616AA0" w:rsidP="00F84117">
      <w:pPr>
        <w:widowControl w:val="0"/>
        <w:spacing w:after="0" w:line="360" w:lineRule="auto"/>
        <w:jc w:val="both"/>
        <w:rPr>
          <w:rFonts w:ascii="Arial" w:hAnsi="Arial" w:cs="Arial"/>
          <w:sz w:val="24"/>
          <w:szCs w:val="24"/>
        </w:rPr>
      </w:pPr>
    </w:p>
    <w:p w14:paraId="47443F0C" w14:textId="3F3AFED6" w:rsidR="00616AA0" w:rsidRPr="00F84117" w:rsidRDefault="00616AA0" w:rsidP="00F84117">
      <w:pPr>
        <w:widowControl w:val="0"/>
        <w:spacing w:after="0" w:line="360" w:lineRule="auto"/>
        <w:jc w:val="both"/>
        <w:rPr>
          <w:rFonts w:ascii="Arial" w:hAnsi="Arial" w:cs="Arial"/>
          <w:sz w:val="24"/>
          <w:szCs w:val="24"/>
          <w:u w:val="single"/>
        </w:rPr>
      </w:pPr>
      <w:r w:rsidRPr="00F84117">
        <w:rPr>
          <w:rFonts w:ascii="Arial" w:hAnsi="Arial" w:cs="Arial"/>
          <w:sz w:val="24"/>
          <w:szCs w:val="24"/>
          <w:u w:val="single"/>
        </w:rPr>
        <w:t>A review application in disguise</w:t>
      </w:r>
    </w:p>
    <w:p w14:paraId="73D59EB0" w14:textId="77777777" w:rsidR="00616AA0" w:rsidRPr="00F84117" w:rsidRDefault="00616AA0" w:rsidP="00F84117">
      <w:pPr>
        <w:widowControl w:val="0"/>
        <w:spacing w:after="0" w:line="360" w:lineRule="auto"/>
        <w:jc w:val="both"/>
        <w:rPr>
          <w:rFonts w:ascii="Arial" w:hAnsi="Arial" w:cs="Arial"/>
          <w:sz w:val="24"/>
          <w:szCs w:val="24"/>
        </w:rPr>
      </w:pPr>
    </w:p>
    <w:p w14:paraId="20065DA5" w14:textId="44C52595" w:rsidR="00616AA0" w:rsidRPr="00F84117" w:rsidRDefault="00EF4C59"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I agree with the respondents, further, that t</w:t>
      </w:r>
      <w:r w:rsidR="00F620E1" w:rsidRPr="00F84117">
        <w:rPr>
          <w:rFonts w:ascii="Arial" w:hAnsi="Arial" w:cs="Arial"/>
          <w:sz w:val="24"/>
          <w:szCs w:val="24"/>
        </w:rPr>
        <w:t>he application</w:t>
      </w:r>
      <w:r w:rsidRPr="00F84117">
        <w:rPr>
          <w:rFonts w:ascii="Arial" w:hAnsi="Arial" w:cs="Arial"/>
          <w:sz w:val="24"/>
          <w:szCs w:val="24"/>
        </w:rPr>
        <w:t xml:space="preserve"> is, in nature, </w:t>
      </w:r>
      <w:r w:rsidR="00F620E1" w:rsidRPr="00F84117">
        <w:rPr>
          <w:rFonts w:ascii="Arial" w:hAnsi="Arial" w:cs="Arial"/>
          <w:sz w:val="24"/>
          <w:szCs w:val="24"/>
        </w:rPr>
        <w:t xml:space="preserve">effectively a </w:t>
      </w:r>
      <w:r w:rsidR="00F579C2" w:rsidRPr="00F84117">
        <w:rPr>
          <w:rFonts w:ascii="Arial" w:hAnsi="Arial" w:cs="Arial"/>
          <w:sz w:val="24"/>
          <w:szCs w:val="24"/>
        </w:rPr>
        <w:t xml:space="preserve">sort of </w:t>
      </w:r>
      <w:r w:rsidR="0067662A" w:rsidRPr="00F84117">
        <w:rPr>
          <w:rFonts w:ascii="Arial" w:hAnsi="Arial" w:cs="Arial"/>
          <w:sz w:val="24"/>
          <w:szCs w:val="24"/>
        </w:rPr>
        <w:t>“</w:t>
      </w:r>
      <w:r w:rsidR="00F620E1" w:rsidRPr="00F84117">
        <w:rPr>
          <w:rFonts w:ascii="Arial" w:hAnsi="Arial" w:cs="Arial"/>
          <w:sz w:val="24"/>
          <w:szCs w:val="24"/>
        </w:rPr>
        <w:t>pre-emptive</w:t>
      </w:r>
      <w:r w:rsidR="0067662A" w:rsidRPr="00F84117">
        <w:rPr>
          <w:rFonts w:ascii="Arial" w:hAnsi="Arial" w:cs="Arial"/>
          <w:sz w:val="24"/>
          <w:szCs w:val="24"/>
        </w:rPr>
        <w:t>”</w:t>
      </w:r>
      <w:r w:rsidR="00F620E1" w:rsidRPr="00F84117">
        <w:rPr>
          <w:rFonts w:ascii="Arial" w:hAnsi="Arial" w:cs="Arial"/>
          <w:sz w:val="24"/>
          <w:szCs w:val="24"/>
        </w:rPr>
        <w:t xml:space="preserve"> review. As in a review, the applicants seek orders compelling the </w:t>
      </w:r>
      <w:r w:rsidRPr="00F84117">
        <w:rPr>
          <w:rFonts w:ascii="Arial" w:hAnsi="Arial" w:cs="Arial"/>
          <w:sz w:val="24"/>
          <w:szCs w:val="24"/>
        </w:rPr>
        <w:t>C</w:t>
      </w:r>
      <w:r w:rsidR="00F620E1" w:rsidRPr="00F84117">
        <w:rPr>
          <w:rFonts w:ascii="Arial" w:hAnsi="Arial" w:cs="Arial"/>
          <w:sz w:val="24"/>
          <w:szCs w:val="24"/>
        </w:rPr>
        <w:t xml:space="preserve">ity to make </w:t>
      </w:r>
      <w:r w:rsidRPr="00F84117">
        <w:rPr>
          <w:rFonts w:ascii="Arial" w:hAnsi="Arial" w:cs="Arial"/>
          <w:sz w:val="24"/>
          <w:szCs w:val="24"/>
        </w:rPr>
        <w:t xml:space="preserve">available to them </w:t>
      </w:r>
      <w:r w:rsidR="00F620E1" w:rsidRPr="00F84117">
        <w:rPr>
          <w:rFonts w:ascii="Arial" w:hAnsi="Arial" w:cs="Arial"/>
          <w:sz w:val="24"/>
          <w:szCs w:val="24"/>
        </w:rPr>
        <w:t xml:space="preserve">some form of a record </w:t>
      </w:r>
      <w:r w:rsidRPr="00F84117">
        <w:rPr>
          <w:rFonts w:ascii="Arial" w:hAnsi="Arial" w:cs="Arial"/>
          <w:sz w:val="24"/>
          <w:szCs w:val="24"/>
        </w:rPr>
        <w:t>of the documentation serving before the City in the consideration of the rezoning application</w:t>
      </w:r>
      <w:r w:rsidR="00F620E1" w:rsidRPr="00F84117">
        <w:rPr>
          <w:rFonts w:ascii="Arial" w:hAnsi="Arial" w:cs="Arial"/>
          <w:sz w:val="24"/>
          <w:szCs w:val="24"/>
        </w:rPr>
        <w:t>.</w:t>
      </w:r>
      <w:r w:rsidRPr="00F84117">
        <w:rPr>
          <w:rFonts w:ascii="Arial" w:hAnsi="Arial" w:cs="Arial"/>
          <w:sz w:val="24"/>
          <w:szCs w:val="24"/>
        </w:rPr>
        <w:t xml:space="preserve">  The list of documents is contained in the notice of motion.  It encompasses </w:t>
      </w:r>
      <w:r w:rsidR="00E5405E" w:rsidRPr="00F84117">
        <w:rPr>
          <w:rFonts w:ascii="Arial" w:hAnsi="Arial" w:cs="Arial"/>
          <w:sz w:val="24"/>
          <w:szCs w:val="24"/>
        </w:rPr>
        <w:t xml:space="preserve">a swathe of </w:t>
      </w:r>
      <w:r w:rsidRPr="00F84117">
        <w:rPr>
          <w:rFonts w:ascii="Arial" w:hAnsi="Arial" w:cs="Arial"/>
          <w:sz w:val="24"/>
          <w:szCs w:val="24"/>
        </w:rPr>
        <w:t>documentation of a wide-ranging nature</w:t>
      </w:r>
      <w:r w:rsidR="00616AA0" w:rsidRPr="00F84117">
        <w:rPr>
          <w:rFonts w:ascii="Arial" w:hAnsi="Arial" w:cs="Arial"/>
          <w:sz w:val="24"/>
          <w:szCs w:val="24"/>
        </w:rPr>
        <w:t xml:space="preserve"> which would typically serve before the relevant officials within the City prior to a report being compiled for consideration by the Municipal Planning Tribunal.</w:t>
      </w:r>
    </w:p>
    <w:p w14:paraId="6E912858" w14:textId="77777777" w:rsidR="00E5405E" w:rsidRPr="00F84117" w:rsidRDefault="00E5405E" w:rsidP="00F84117">
      <w:pPr>
        <w:widowControl w:val="0"/>
        <w:spacing w:after="0" w:line="360" w:lineRule="auto"/>
        <w:ind w:left="567"/>
        <w:contextualSpacing/>
        <w:jc w:val="both"/>
        <w:rPr>
          <w:rFonts w:ascii="Arial" w:hAnsi="Arial" w:cs="Arial"/>
          <w:sz w:val="24"/>
          <w:szCs w:val="24"/>
        </w:rPr>
      </w:pPr>
    </w:p>
    <w:p w14:paraId="4B8C3CB1" w14:textId="177E97C5" w:rsidR="00616AA0" w:rsidRPr="00F84117" w:rsidRDefault="00616AA0"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They seek to supplement their founding papers in this application after receipt of the documentation, and for the delivery of further affidavits by the parties within suggested time periods.</w:t>
      </w:r>
    </w:p>
    <w:p w14:paraId="45CCBC05" w14:textId="77777777" w:rsidR="00616AA0" w:rsidRPr="00F84117" w:rsidRDefault="00616AA0" w:rsidP="00F84117">
      <w:pPr>
        <w:widowControl w:val="0"/>
        <w:spacing w:after="0" w:line="360" w:lineRule="auto"/>
        <w:ind w:left="567"/>
        <w:contextualSpacing/>
        <w:jc w:val="both"/>
        <w:rPr>
          <w:rFonts w:ascii="Arial" w:hAnsi="Arial" w:cs="Arial"/>
          <w:sz w:val="24"/>
          <w:szCs w:val="24"/>
        </w:rPr>
      </w:pPr>
    </w:p>
    <w:p w14:paraId="2B2359FD" w14:textId="04E124F0" w:rsidR="00616AA0" w:rsidRPr="00F84117" w:rsidRDefault="00F620E1"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 xml:space="preserve">They also rely on established review </w:t>
      </w:r>
      <w:r w:rsidR="00616AA0" w:rsidRPr="00F84117">
        <w:rPr>
          <w:rFonts w:ascii="Arial" w:hAnsi="Arial" w:cs="Arial"/>
          <w:sz w:val="24"/>
          <w:szCs w:val="24"/>
        </w:rPr>
        <w:t>grounds</w:t>
      </w:r>
      <w:r w:rsidRPr="00F84117">
        <w:rPr>
          <w:rFonts w:ascii="Arial" w:hAnsi="Arial" w:cs="Arial"/>
          <w:sz w:val="24"/>
          <w:szCs w:val="24"/>
        </w:rPr>
        <w:t xml:space="preserve"> provided </w:t>
      </w:r>
      <w:r w:rsidR="00616AA0" w:rsidRPr="00F84117">
        <w:rPr>
          <w:rFonts w:ascii="Arial" w:hAnsi="Arial" w:cs="Arial"/>
          <w:sz w:val="24"/>
          <w:szCs w:val="24"/>
        </w:rPr>
        <w:t xml:space="preserve">for </w:t>
      </w:r>
      <w:r w:rsidRPr="00F84117">
        <w:rPr>
          <w:rFonts w:ascii="Arial" w:hAnsi="Arial" w:cs="Arial"/>
          <w:sz w:val="24"/>
          <w:szCs w:val="24"/>
        </w:rPr>
        <w:t xml:space="preserve">in </w:t>
      </w:r>
      <w:r w:rsidR="00616AA0" w:rsidRPr="00F84117">
        <w:rPr>
          <w:rFonts w:ascii="Arial" w:hAnsi="Arial" w:cs="Arial"/>
          <w:sz w:val="24"/>
          <w:szCs w:val="24"/>
        </w:rPr>
        <w:t>section 6 of PAJA</w:t>
      </w:r>
      <w:r w:rsidRPr="00F84117">
        <w:rPr>
          <w:rFonts w:ascii="Arial" w:hAnsi="Arial" w:cs="Arial"/>
          <w:sz w:val="24"/>
          <w:szCs w:val="24"/>
        </w:rPr>
        <w:t>, particularly the alleged bias</w:t>
      </w:r>
      <w:r w:rsidR="00616AA0" w:rsidRPr="00F84117">
        <w:rPr>
          <w:rFonts w:ascii="Arial" w:hAnsi="Arial" w:cs="Arial"/>
          <w:sz w:val="24"/>
          <w:szCs w:val="24"/>
        </w:rPr>
        <w:t xml:space="preserve"> </w:t>
      </w:r>
      <w:r w:rsidR="0067662A" w:rsidRPr="00F84117">
        <w:rPr>
          <w:rFonts w:ascii="Arial" w:hAnsi="Arial" w:cs="Arial"/>
          <w:sz w:val="24"/>
          <w:szCs w:val="24"/>
        </w:rPr>
        <w:t xml:space="preserve">and ulterior motives </w:t>
      </w:r>
      <w:r w:rsidR="00616AA0" w:rsidRPr="00F84117">
        <w:rPr>
          <w:rFonts w:ascii="Arial" w:hAnsi="Arial" w:cs="Arial"/>
          <w:sz w:val="24"/>
          <w:szCs w:val="24"/>
        </w:rPr>
        <w:t>on the part of the City</w:t>
      </w:r>
      <w:r w:rsidRPr="00F84117">
        <w:rPr>
          <w:rFonts w:ascii="Arial" w:hAnsi="Arial" w:cs="Arial"/>
          <w:sz w:val="24"/>
          <w:szCs w:val="24"/>
        </w:rPr>
        <w:t xml:space="preserve">, and they seek in substance </w:t>
      </w:r>
      <w:r w:rsidR="00F26405" w:rsidRPr="00F84117">
        <w:rPr>
          <w:rFonts w:ascii="Arial" w:hAnsi="Arial" w:cs="Arial"/>
          <w:sz w:val="24"/>
          <w:szCs w:val="24"/>
        </w:rPr>
        <w:t>a</w:t>
      </w:r>
      <w:r w:rsidRPr="00F84117">
        <w:rPr>
          <w:rFonts w:ascii="Arial" w:hAnsi="Arial" w:cs="Arial"/>
          <w:sz w:val="24"/>
          <w:szCs w:val="24"/>
        </w:rPr>
        <w:t xml:space="preserve">n order </w:t>
      </w:r>
      <w:r w:rsidR="00F26405" w:rsidRPr="00F84117">
        <w:rPr>
          <w:rFonts w:ascii="Arial" w:hAnsi="Arial" w:cs="Arial"/>
          <w:sz w:val="24"/>
          <w:szCs w:val="24"/>
        </w:rPr>
        <w:t xml:space="preserve">(at final interdict stage) </w:t>
      </w:r>
      <w:r w:rsidRPr="00F84117">
        <w:rPr>
          <w:rFonts w:ascii="Arial" w:hAnsi="Arial" w:cs="Arial"/>
          <w:sz w:val="24"/>
          <w:szCs w:val="24"/>
        </w:rPr>
        <w:t xml:space="preserve">substituting the </w:t>
      </w:r>
      <w:r w:rsidR="00616AA0" w:rsidRPr="00F84117">
        <w:rPr>
          <w:rFonts w:ascii="Arial" w:hAnsi="Arial" w:cs="Arial"/>
          <w:sz w:val="24"/>
          <w:szCs w:val="24"/>
        </w:rPr>
        <w:t>City’s</w:t>
      </w:r>
      <w:r w:rsidRPr="00F84117">
        <w:rPr>
          <w:rFonts w:ascii="Arial" w:hAnsi="Arial" w:cs="Arial"/>
          <w:sz w:val="24"/>
          <w:szCs w:val="24"/>
        </w:rPr>
        <w:t xml:space="preserve"> anticipated decision with </w:t>
      </w:r>
      <w:r w:rsidR="00616AA0" w:rsidRPr="00F84117">
        <w:rPr>
          <w:rFonts w:ascii="Arial" w:hAnsi="Arial" w:cs="Arial"/>
          <w:sz w:val="24"/>
          <w:szCs w:val="24"/>
        </w:rPr>
        <w:t>a</w:t>
      </w:r>
      <w:r w:rsidRPr="00F84117">
        <w:rPr>
          <w:rFonts w:ascii="Arial" w:hAnsi="Arial" w:cs="Arial"/>
          <w:sz w:val="24"/>
          <w:szCs w:val="24"/>
        </w:rPr>
        <w:t xml:space="preserve"> decision refusing the rezoning application.</w:t>
      </w:r>
      <w:r w:rsidR="005047E0" w:rsidRPr="00F84117">
        <w:rPr>
          <w:rFonts w:ascii="Arial" w:hAnsi="Arial" w:cs="Arial"/>
          <w:sz w:val="24"/>
          <w:szCs w:val="24"/>
        </w:rPr>
        <w:t xml:space="preserve">  However, the administrative process has just yet begun.  There is no knowing how it will proceed and what the outcome will be.  </w:t>
      </w:r>
      <w:r w:rsidR="00920A46" w:rsidRPr="00F84117">
        <w:rPr>
          <w:rFonts w:ascii="Arial" w:hAnsi="Arial" w:cs="Arial"/>
          <w:sz w:val="24"/>
          <w:szCs w:val="24"/>
        </w:rPr>
        <w:t xml:space="preserve">Should the City act with bias in deciding </w:t>
      </w:r>
      <w:r w:rsidR="00920A46" w:rsidRPr="00F84117">
        <w:rPr>
          <w:rFonts w:ascii="Arial" w:hAnsi="Arial" w:cs="Arial"/>
          <w:sz w:val="24"/>
          <w:szCs w:val="24"/>
        </w:rPr>
        <w:lastRenderedPageBreak/>
        <w:t>the rezoning application, that would give rise to a review ground under PAJA.  That has, however, not yet happened.</w:t>
      </w:r>
    </w:p>
    <w:p w14:paraId="4F9F7677" w14:textId="77777777" w:rsidR="00616AA0" w:rsidRPr="00F84117" w:rsidRDefault="00616AA0" w:rsidP="00F84117">
      <w:pPr>
        <w:pStyle w:val="ListParagraph"/>
        <w:widowControl w:val="0"/>
        <w:spacing w:after="0" w:line="360" w:lineRule="auto"/>
        <w:jc w:val="both"/>
        <w:rPr>
          <w:rFonts w:ascii="Arial" w:hAnsi="Arial" w:cs="Arial"/>
          <w:sz w:val="24"/>
          <w:szCs w:val="24"/>
        </w:rPr>
      </w:pPr>
    </w:p>
    <w:p w14:paraId="7F1FD0C4" w14:textId="18EF6FEE" w:rsidR="00F620E1" w:rsidRPr="00F84117" w:rsidRDefault="00F620E1" w:rsidP="00F84117">
      <w:pPr>
        <w:widowControl w:val="0"/>
        <w:numPr>
          <w:ilvl w:val="0"/>
          <w:numId w:val="3"/>
        </w:numPr>
        <w:spacing w:after="0" w:line="360" w:lineRule="auto"/>
        <w:ind w:left="567" w:hanging="567"/>
        <w:contextualSpacing/>
        <w:jc w:val="both"/>
        <w:rPr>
          <w:rFonts w:ascii="Arial" w:hAnsi="Arial" w:cs="Arial"/>
          <w:sz w:val="24"/>
          <w:szCs w:val="24"/>
        </w:rPr>
      </w:pPr>
      <w:r w:rsidRPr="00F84117">
        <w:rPr>
          <w:rFonts w:ascii="Arial" w:hAnsi="Arial" w:cs="Arial"/>
          <w:sz w:val="24"/>
          <w:szCs w:val="24"/>
        </w:rPr>
        <w:t xml:space="preserve"> A pre-emptive review </w:t>
      </w:r>
      <w:r w:rsidR="005047E0" w:rsidRPr="00F84117">
        <w:rPr>
          <w:rFonts w:ascii="Arial" w:hAnsi="Arial" w:cs="Arial"/>
          <w:sz w:val="24"/>
          <w:szCs w:val="24"/>
        </w:rPr>
        <w:t xml:space="preserve">(effectively a conflation of Rule 53 and Rule 6) </w:t>
      </w:r>
      <w:r w:rsidRPr="00F84117">
        <w:rPr>
          <w:rFonts w:ascii="Arial" w:hAnsi="Arial" w:cs="Arial"/>
          <w:sz w:val="24"/>
          <w:szCs w:val="24"/>
        </w:rPr>
        <w:t>is not contemplated either by P</w:t>
      </w:r>
      <w:r w:rsidR="0067662A" w:rsidRPr="00F84117">
        <w:rPr>
          <w:rFonts w:ascii="Arial" w:hAnsi="Arial" w:cs="Arial"/>
          <w:sz w:val="24"/>
          <w:szCs w:val="24"/>
        </w:rPr>
        <w:t>AJA</w:t>
      </w:r>
      <w:r w:rsidRPr="00F84117">
        <w:rPr>
          <w:rFonts w:ascii="Arial" w:hAnsi="Arial" w:cs="Arial"/>
          <w:sz w:val="24"/>
          <w:szCs w:val="24"/>
        </w:rPr>
        <w:t xml:space="preserve"> or the Constitution.</w:t>
      </w:r>
      <w:r w:rsidR="0067662A" w:rsidRPr="00F84117">
        <w:rPr>
          <w:rFonts w:ascii="Arial" w:hAnsi="Arial" w:cs="Arial"/>
          <w:sz w:val="24"/>
          <w:szCs w:val="24"/>
        </w:rPr>
        <w:t xml:space="preserve">  On a </w:t>
      </w:r>
      <w:r w:rsidR="006B78AF" w:rsidRPr="00F84117">
        <w:rPr>
          <w:rFonts w:ascii="Arial" w:hAnsi="Arial" w:cs="Arial"/>
          <w:sz w:val="24"/>
          <w:szCs w:val="24"/>
        </w:rPr>
        <w:t>formalistic level, e</w:t>
      </w:r>
      <w:r w:rsidRPr="00F84117">
        <w:rPr>
          <w:rFonts w:ascii="Arial" w:hAnsi="Arial" w:cs="Arial"/>
          <w:sz w:val="24"/>
          <w:szCs w:val="24"/>
        </w:rPr>
        <w:t xml:space="preserve">ven if the applicants </w:t>
      </w:r>
      <w:r w:rsidR="0067662A" w:rsidRPr="00F84117">
        <w:rPr>
          <w:rFonts w:ascii="Arial" w:hAnsi="Arial" w:cs="Arial"/>
          <w:sz w:val="24"/>
          <w:szCs w:val="24"/>
        </w:rPr>
        <w:t>we</w:t>
      </w:r>
      <w:r w:rsidRPr="00F84117">
        <w:rPr>
          <w:rFonts w:ascii="Arial" w:hAnsi="Arial" w:cs="Arial"/>
          <w:sz w:val="24"/>
          <w:szCs w:val="24"/>
        </w:rPr>
        <w:t>re entitled to bring a pre-empt</w:t>
      </w:r>
      <w:r w:rsidR="0067662A" w:rsidRPr="00F84117">
        <w:rPr>
          <w:rFonts w:ascii="Arial" w:hAnsi="Arial" w:cs="Arial"/>
          <w:sz w:val="24"/>
          <w:szCs w:val="24"/>
        </w:rPr>
        <w:t>ive</w:t>
      </w:r>
      <w:r w:rsidRPr="00F84117">
        <w:rPr>
          <w:rFonts w:ascii="Arial" w:hAnsi="Arial" w:cs="Arial"/>
          <w:sz w:val="24"/>
          <w:szCs w:val="24"/>
        </w:rPr>
        <w:t xml:space="preserve"> review</w:t>
      </w:r>
      <w:r w:rsidR="0067662A" w:rsidRPr="00F84117">
        <w:rPr>
          <w:rFonts w:ascii="Arial" w:hAnsi="Arial" w:cs="Arial"/>
          <w:sz w:val="24"/>
          <w:szCs w:val="24"/>
        </w:rPr>
        <w:t xml:space="preserve">, </w:t>
      </w:r>
      <w:r w:rsidRPr="00F84117">
        <w:rPr>
          <w:rFonts w:ascii="Arial" w:hAnsi="Arial" w:cs="Arial"/>
          <w:sz w:val="24"/>
          <w:szCs w:val="24"/>
        </w:rPr>
        <w:t>which they are not, they would be required to comply with the provisions of rule 53</w:t>
      </w:r>
      <w:r w:rsidR="006B78AF" w:rsidRPr="00F84117">
        <w:rPr>
          <w:rFonts w:ascii="Arial" w:hAnsi="Arial" w:cs="Arial"/>
          <w:sz w:val="24"/>
          <w:szCs w:val="24"/>
        </w:rPr>
        <w:t>,</w:t>
      </w:r>
      <w:r w:rsidRPr="00F84117">
        <w:rPr>
          <w:rFonts w:ascii="Arial" w:hAnsi="Arial" w:cs="Arial"/>
          <w:sz w:val="24"/>
          <w:szCs w:val="24"/>
        </w:rPr>
        <w:t xml:space="preserve"> which they have not done. They cannot craft their own procedure for the disclosure of documents, the supplementation of affidavits, and the </w:t>
      </w:r>
      <w:r w:rsidR="00F579C2" w:rsidRPr="00F84117">
        <w:rPr>
          <w:rFonts w:ascii="Arial" w:hAnsi="Arial" w:cs="Arial"/>
          <w:sz w:val="24"/>
          <w:szCs w:val="24"/>
        </w:rPr>
        <w:t>delivery</w:t>
      </w:r>
      <w:r w:rsidRPr="00F84117">
        <w:rPr>
          <w:rFonts w:ascii="Arial" w:hAnsi="Arial" w:cs="Arial"/>
          <w:sz w:val="24"/>
          <w:szCs w:val="24"/>
        </w:rPr>
        <w:t xml:space="preserve"> of further papers</w:t>
      </w:r>
      <w:r w:rsidR="00B45C85" w:rsidRPr="00F84117">
        <w:rPr>
          <w:rFonts w:ascii="Arial" w:hAnsi="Arial" w:cs="Arial"/>
          <w:sz w:val="24"/>
          <w:szCs w:val="24"/>
        </w:rPr>
        <w:t xml:space="preserve"> via the back door of the present application</w:t>
      </w:r>
      <w:r w:rsidRPr="00F84117">
        <w:rPr>
          <w:rFonts w:ascii="Arial" w:hAnsi="Arial" w:cs="Arial"/>
          <w:sz w:val="24"/>
          <w:szCs w:val="24"/>
        </w:rPr>
        <w:t>.</w:t>
      </w:r>
    </w:p>
    <w:p w14:paraId="00935145" w14:textId="2EA165DC" w:rsidR="00B45C85" w:rsidRPr="00F84117" w:rsidRDefault="00B45C85" w:rsidP="00F84117">
      <w:pPr>
        <w:widowControl w:val="0"/>
        <w:spacing w:after="0" w:line="360" w:lineRule="auto"/>
        <w:contextualSpacing/>
        <w:jc w:val="both"/>
        <w:rPr>
          <w:rFonts w:ascii="Arial" w:hAnsi="Arial" w:cs="Arial"/>
          <w:sz w:val="24"/>
          <w:szCs w:val="24"/>
        </w:rPr>
      </w:pPr>
    </w:p>
    <w:p w14:paraId="301251F5" w14:textId="4F89C515" w:rsidR="008F2A05" w:rsidRPr="00F84117" w:rsidRDefault="00145E19" w:rsidP="00F84117">
      <w:pPr>
        <w:widowControl w:val="0"/>
        <w:spacing w:after="0" w:line="360" w:lineRule="auto"/>
        <w:jc w:val="both"/>
        <w:rPr>
          <w:rFonts w:ascii="Arial" w:hAnsi="Arial" w:cs="Arial"/>
          <w:bCs/>
          <w:sz w:val="24"/>
          <w:szCs w:val="24"/>
          <w:u w:val="single"/>
        </w:rPr>
      </w:pPr>
      <w:r w:rsidRPr="00F84117">
        <w:rPr>
          <w:rFonts w:ascii="Arial" w:hAnsi="Arial" w:cs="Arial"/>
          <w:bCs/>
          <w:sz w:val="24"/>
          <w:szCs w:val="24"/>
          <w:u w:val="single"/>
        </w:rPr>
        <w:t xml:space="preserve">Conclusion on whether the applicants have shown a </w:t>
      </w:r>
      <w:r w:rsidRPr="00F84117">
        <w:rPr>
          <w:rFonts w:ascii="Arial" w:hAnsi="Arial" w:cs="Arial"/>
          <w:bCs/>
          <w:i/>
          <w:iCs/>
          <w:sz w:val="24"/>
          <w:szCs w:val="24"/>
          <w:u w:val="single"/>
        </w:rPr>
        <w:t>prima facie</w:t>
      </w:r>
      <w:r w:rsidRPr="00F84117">
        <w:rPr>
          <w:rFonts w:ascii="Arial" w:hAnsi="Arial" w:cs="Arial"/>
          <w:bCs/>
          <w:sz w:val="24"/>
          <w:szCs w:val="24"/>
          <w:u w:val="single"/>
        </w:rPr>
        <w:t xml:space="preserve"> right</w:t>
      </w:r>
    </w:p>
    <w:p w14:paraId="49DEE32B" w14:textId="77777777" w:rsidR="008F2A05" w:rsidRPr="00F84117" w:rsidRDefault="008F2A05" w:rsidP="00F84117">
      <w:pPr>
        <w:pStyle w:val="ListParagraph"/>
        <w:widowControl w:val="0"/>
        <w:spacing w:after="0" w:line="360" w:lineRule="auto"/>
        <w:jc w:val="both"/>
        <w:rPr>
          <w:rFonts w:ascii="Arial" w:hAnsi="Arial" w:cs="Arial"/>
          <w:sz w:val="24"/>
          <w:szCs w:val="24"/>
        </w:rPr>
      </w:pPr>
    </w:p>
    <w:p w14:paraId="06BDC72F" w14:textId="6CAFE3A0" w:rsidR="008F2A05" w:rsidRPr="00F84117" w:rsidRDefault="008F2A05"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w:t>
      </w:r>
      <w:r w:rsidR="00145E19" w:rsidRPr="00F84117">
        <w:rPr>
          <w:rFonts w:ascii="Arial" w:hAnsi="Arial" w:cs="Arial"/>
          <w:sz w:val="24"/>
          <w:szCs w:val="24"/>
        </w:rPr>
        <w:t>n all of these circumstances, I am not convinced that the applicants have demonstrated the exceptional circumstances required to interdict the exercise of a statutory power an interim basis.</w:t>
      </w:r>
      <w:r w:rsidRPr="00F84117">
        <w:rPr>
          <w:rFonts w:ascii="Arial" w:hAnsi="Arial" w:cs="Arial"/>
          <w:sz w:val="24"/>
          <w:szCs w:val="24"/>
        </w:rPr>
        <w:t xml:space="preserve"> </w:t>
      </w:r>
      <w:r w:rsidR="00297963" w:rsidRPr="00F84117">
        <w:rPr>
          <w:rFonts w:ascii="Arial" w:hAnsi="Arial" w:cs="Arial"/>
          <w:sz w:val="24"/>
          <w:szCs w:val="24"/>
        </w:rPr>
        <w:t xml:space="preserve"> They have not shown that any of their rights as embodied in the Constitution, read with PAJA, will be infringed in the event of the rezoning application being processed to finality.</w:t>
      </w:r>
    </w:p>
    <w:p w14:paraId="7B50A598" w14:textId="77777777" w:rsidR="00145E19" w:rsidRPr="00F84117" w:rsidRDefault="00145E19" w:rsidP="00F84117">
      <w:pPr>
        <w:widowControl w:val="0"/>
        <w:spacing w:after="0" w:line="360" w:lineRule="auto"/>
        <w:ind w:left="567"/>
        <w:jc w:val="both"/>
        <w:rPr>
          <w:rFonts w:ascii="Arial" w:hAnsi="Arial" w:cs="Arial"/>
          <w:sz w:val="24"/>
          <w:szCs w:val="24"/>
        </w:rPr>
      </w:pPr>
    </w:p>
    <w:p w14:paraId="392EA1D2" w14:textId="355E3CD6" w:rsidR="00145E19" w:rsidRPr="00F84117" w:rsidRDefault="00145E19"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 proceed briefly to deal with the remaining requirements for the grant of interim interdictory relief.</w:t>
      </w:r>
    </w:p>
    <w:p w14:paraId="398F1264" w14:textId="5B1B6B4D" w:rsidR="008F2A05" w:rsidRPr="00F84117" w:rsidRDefault="008F2A05" w:rsidP="00F84117">
      <w:pPr>
        <w:widowControl w:val="0"/>
        <w:spacing w:after="0" w:line="360" w:lineRule="auto"/>
        <w:jc w:val="both"/>
        <w:rPr>
          <w:rFonts w:ascii="Arial" w:hAnsi="Arial" w:cs="Arial"/>
          <w:sz w:val="24"/>
          <w:szCs w:val="24"/>
        </w:rPr>
      </w:pPr>
    </w:p>
    <w:p w14:paraId="40C168A2" w14:textId="4AAEEECD" w:rsidR="008F2A05" w:rsidRPr="00F84117" w:rsidRDefault="00297963" w:rsidP="00F84117">
      <w:pPr>
        <w:widowControl w:val="0"/>
        <w:spacing w:after="0" w:line="360" w:lineRule="auto"/>
        <w:jc w:val="both"/>
        <w:rPr>
          <w:rFonts w:ascii="Arial" w:hAnsi="Arial" w:cs="Arial"/>
          <w:b/>
          <w:sz w:val="24"/>
          <w:szCs w:val="24"/>
          <w:u w:val="single"/>
        </w:rPr>
      </w:pPr>
      <w:r w:rsidRPr="00F84117">
        <w:rPr>
          <w:rFonts w:ascii="Arial" w:hAnsi="Arial" w:cs="Arial"/>
          <w:b/>
          <w:sz w:val="24"/>
          <w:szCs w:val="24"/>
          <w:u w:val="single"/>
        </w:rPr>
        <w:t>A reasonable apprehension of irreparable harm if the interim relief is not granted, and t</w:t>
      </w:r>
      <w:r w:rsidR="002F342C" w:rsidRPr="00F84117">
        <w:rPr>
          <w:rFonts w:ascii="Arial" w:hAnsi="Arial" w:cs="Arial"/>
          <w:b/>
          <w:sz w:val="24"/>
          <w:szCs w:val="24"/>
          <w:u w:val="single"/>
        </w:rPr>
        <w:t>he b</w:t>
      </w:r>
      <w:r w:rsidR="009948E0" w:rsidRPr="00F84117">
        <w:rPr>
          <w:rFonts w:ascii="Arial" w:hAnsi="Arial" w:cs="Arial"/>
          <w:b/>
          <w:sz w:val="24"/>
          <w:szCs w:val="24"/>
          <w:u w:val="single"/>
        </w:rPr>
        <w:t>alance of convenience</w:t>
      </w:r>
    </w:p>
    <w:p w14:paraId="56D7F4AE" w14:textId="77777777" w:rsidR="008F2A05" w:rsidRPr="00F84117" w:rsidRDefault="008F2A05" w:rsidP="00F84117">
      <w:pPr>
        <w:widowControl w:val="0"/>
        <w:spacing w:after="0" w:line="360" w:lineRule="auto"/>
        <w:ind w:left="567"/>
        <w:jc w:val="both"/>
        <w:rPr>
          <w:rFonts w:ascii="Arial" w:hAnsi="Arial" w:cs="Arial"/>
          <w:sz w:val="24"/>
          <w:szCs w:val="24"/>
        </w:rPr>
      </w:pPr>
    </w:p>
    <w:p w14:paraId="5BC42F80" w14:textId="4D6A240E" w:rsidR="009A21D0" w:rsidRPr="00F84117" w:rsidRDefault="002F342C"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applicants argue that </w:t>
      </w:r>
      <w:r w:rsidR="009A21D0" w:rsidRPr="00F84117">
        <w:rPr>
          <w:rFonts w:ascii="Arial" w:hAnsi="Arial" w:cs="Arial"/>
          <w:sz w:val="24"/>
          <w:szCs w:val="24"/>
        </w:rPr>
        <w:t>neither of the respondents will suffer any prejudice</w:t>
      </w:r>
      <w:r w:rsidR="00540163" w:rsidRPr="00F84117">
        <w:rPr>
          <w:rFonts w:ascii="Arial" w:hAnsi="Arial" w:cs="Arial"/>
          <w:sz w:val="24"/>
          <w:szCs w:val="24"/>
        </w:rPr>
        <w:t xml:space="preserve"> if </w:t>
      </w:r>
      <w:r w:rsidR="009A21D0" w:rsidRPr="00F84117">
        <w:rPr>
          <w:rFonts w:ascii="Arial" w:hAnsi="Arial" w:cs="Arial"/>
          <w:sz w:val="24"/>
          <w:szCs w:val="24"/>
        </w:rPr>
        <w:t xml:space="preserve">the interim relief sought by the applicants is granted. </w:t>
      </w:r>
      <w:r w:rsidRPr="00F84117">
        <w:rPr>
          <w:rFonts w:ascii="Arial" w:hAnsi="Arial" w:cs="Arial"/>
          <w:sz w:val="24"/>
          <w:szCs w:val="24"/>
        </w:rPr>
        <w:t xml:space="preserve"> They contend that, if</w:t>
      </w:r>
      <w:r w:rsidR="009A21D0" w:rsidRPr="00F84117">
        <w:rPr>
          <w:rFonts w:ascii="Arial" w:hAnsi="Arial" w:cs="Arial"/>
          <w:sz w:val="24"/>
          <w:szCs w:val="24"/>
        </w:rPr>
        <w:t xml:space="preserve"> the </w:t>
      </w:r>
      <w:r w:rsidRPr="00F84117">
        <w:rPr>
          <w:rFonts w:ascii="Arial" w:hAnsi="Arial" w:cs="Arial"/>
          <w:sz w:val="24"/>
          <w:szCs w:val="24"/>
        </w:rPr>
        <w:t>Ci</w:t>
      </w:r>
      <w:r w:rsidR="003321CC" w:rsidRPr="00F84117">
        <w:rPr>
          <w:rFonts w:ascii="Arial" w:hAnsi="Arial" w:cs="Arial"/>
          <w:sz w:val="24"/>
          <w:szCs w:val="24"/>
        </w:rPr>
        <w:t>ty</w:t>
      </w:r>
      <w:r w:rsidR="009A21D0" w:rsidRPr="00F84117">
        <w:rPr>
          <w:rFonts w:ascii="Arial" w:hAnsi="Arial" w:cs="Arial"/>
          <w:sz w:val="24"/>
          <w:szCs w:val="24"/>
        </w:rPr>
        <w:t xml:space="preserve"> is restrained from taking any further steps in the rezoning application</w:t>
      </w:r>
      <w:r w:rsidR="00540163" w:rsidRPr="00F84117">
        <w:rPr>
          <w:rFonts w:ascii="Arial" w:hAnsi="Arial" w:cs="Arial"/>
          <w:sz w:val="24"/>
          <w:szCs w:val="24"/>
        </w:rPr>
        <w:t xml:space="preserve"> pending the final hearing of the matter</w:t>
      </w:r>
      <w:r w:rsidR="009A21D0" w:rsidRPr="00F84117">
        <w:rPr>
          <w:rFonts w:ascii="Arial" w:hAnsi="Arial" w:cs="Arial"/>
          <w:sz w:val="24"/>
          <w:szCs w:val="24"/>
        </w:rPr>
        <w:t xml:space="preserve">, the ensuing result will simply be that the current status </w:t>
      </w:r>
      <w:r w:rsidR="00E0544D" w:rsidRPr="00F84117">
        <w:rPr>
          <w:rFonts w:ascii="Arial" w:hAnsi="Arial" w:cs="Arial"/>
          <w:i/>
          <w:iCs/>
          <w:sz w:val="24"/>
          <w:szCs w:val="24"/>
        </w:rPr>
        <w:t>quo</w:t>
      </w:r>
      <w:r w:rsidR="00E0544D" w:rsidRPr="00F84117">
        <w:rPr>
          <w:rFonts w:ascii="Arial" w:hAnsi="Arial" w:cs="Arial"/>
          <w:sz w:val="24"/>
          <w:szCs w:val="24"/>
        </w:rPr>
        <w:t xml:space="preserve"> will</w:t>
      </w:r>
      <w:r w:rsidR="009A21D0" w:rsidRPr="00F84117">
        <w:rPr>
          <w:rFonts w:ascii="Arial" w:hAnsi="Arial" w:cs="Arial"/>
          <w:sz w:val="24"/>
          <w:szCs w:val="24"/>
        </w:rPr>
        <w:t xml:space="preserve"> be preserved.  The status </w:t>
      </w:r>
      <w:r w:rsidR="009A21D0" w:rsidRPr="00F84117">
        <w:rPr>
          <w:rFonts w:ascii="Arial" w:hAnsi="Arial" w:cs="Arial"/>
          <w:i/>
          <w:sz w:val="24"/>
          <w:szCs w:val="24"/>
        </w:rPr>
        <w:t xml:space="preserve">quo </w:t>
      </w:r>
      <w:r w:rsidR="009A21D0" w:rsidRPr="00F84117">
        <w:rPr>
          <w:rFonts w:ascii="Arial" w:hAnsi="Arial" w:cs="Arial"/>
          <w:sz w:val="24"/>
          <w:szCs w:val="24"/>
        </w:rPr>
        <w:t xml:space="preserve">benefits The Blue Café, and has no impact upon the position of the </w:t>
      </w:r>
      <w:r w:rsidRPr="00F84117">
        <w:rPr>
          <w:rFonts w:ascii="Arial" w:hAnsi="Arial" w:cs="Arial"/>
          <w:sz w:val="24"/>
          <w:szCs w:val="24"/>
        </w:rPr>
        <w:t>m</w:t>
      </w:r>
      <w:r w:rsidR="003321CC" w:rsidRPr="00F84117">
        <w:rPr>
          <w:rFonts w:ascii="Arial" w:hAnsi="Arial" w:cs="Arial"/>
          <w:sz w:val="24"/>
          <w:szCs w:val="24"/>
        </w:rPr>
        <w:t>unicipality</w:t>
      </w:r>
      <w:r w:rsidR="009A21D0" w:rsidRPr="00F84117">
        <w:rPr>
          <w:rFonts w:ascii="Arial" w:hAnsi="Arial" w:cs="Arial"/>
          <w:sz w:val="24"/>
          <w:szCs w:val="24"/>
        </w:rPr>
        <w:t xml:space="preserve">. </w:t>
      </w:r>
    </w:p>
    <w:p w14:paraId="105F193F" w14:textId="77777777" w:rsidR="009A21D0" w:rsidRPr="00F84117" w:rsidRDefault="009A21D0" w:rsidP="00F84117">
      <w:pPr>
        <w:pStyle w:val="ListParagraph"/>
        <w:widowControl w:val="0"/>
        <w:spacing w:after="0" w:line="360" w:lineRule="auto"/>
        <w:jc w:val="both"/>
        <w:rPr>
          <w:rFonts w:ascii="Arial" w:hAnsi="Arial" w:cs="Arial"/>
          <w:sz w:val="24"/>
          <w:szCs w:val="24"/>
        </w:rPr>
      </w:pPr>
    </w:p>
    <w:p w14:paraId="2B582DE6" w14:textId="4D2E93F0" w:rsidR="009A21D0" w:rsidRPr="00F84117" w:rsidRDefault="009A21D0"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If</w:t>
      </w:r>
      <w:r w:rsidR="002F342C" w:rsidRPr="00F84117">
        <w:rPr>
          <w:rFonts w:ascii="Arial" w:hAnsi="Arial" w:cs="Arial"/>
          <w:sz w:val="24"/>
          <w:szCs w:val="24"/>
        </w:rPr>
        <w:t>,</w:t>
      </w:r>
      <w:r w:rsidRPr="00F84117">
        <w:rPr>
          <w:rFonts w:ascii="Arial" w:hAnsi="Arial" w:cs="Arial"/>
          <w:sz w:val="24"/>
          <w:szCs w:val="24"/>
        </w:rPr>
        <w:t xml:space="preserve"> however</w:t>
      </w:r>
      <w:r w:rsidR="002F342C" w:rsidRPr="00F84117">
        <w:rPr>
          <w:rFonts w:ascii="Arial" w:hAnsi="Arial" w:cs="Arial"/>
          <w:sz w:val="24"/>
          <w:szCs w:val="24"/>
        </w:rPr>
        <w:t>,</w:t>
      </w:r>
      <w:r w:rsidRPr="00F84117">
        <w:rPr>
          <w:rFonts w:ascii="Arial" w:hAnsi="Arial" w:cs="Arial"/>
          <w:sz w:val="24"/>
          <w:szCs w:val="24"/>
        </w:rPr>
        <w:t xml:space="preserve"> the interim relief sought by the applicants is not granted, it is likely that the City and the respondents will forge ahead with the rezoning application, </w:t>
      </w:r>
      <w:r w:rsidRPr="00F84117">
        <w:rPr>
          <w:rFonts w:ascii="Arial" w:hAnsi="Arial" w:cs="Arial"/>
          <w:sz w:val="24"/>
          <w:szCs w:val="24"/>
        </w:rPr>
        <w:lastRenderedPageBreak/>
        <w:t xml:space="preserve">with the attendant adverse consequences to the applicants as </w:t>
      </w:r>
      <w:r w:rsidR="002F342C" w:rsidRPr="00F84117">
        <w:rPr>
          <w:rFonts w:ascii="Arial" w:hAnsi="Arial" w:cs="Arial"/>
          <w:sz w:val="24"/>
          <w:szCs w:val="24"/>
        </w:rPr>
        <w:t>alleged in the papers</w:t>
      </w:r>
      <w:r w:rsidRPr="00F84117">
        <w:rPr>
          <w:rFonts w:ascii="Arial" w:hAnsi="Arial" w:cs="Arial"/>
          <w:sz w:val="24"/>
          <w:szCs w:val="24"/>
        </w:rPr>
        <w:t xml:space="preserve">. </w:t>
      </w:r>
    </w:p>
    <w:p w14:paraId="623EC95A" w14:textId="77777777" w:rsidR="002F342C" w:rsidRPr="00F84117" w:rsidRDefault="002F342C" w:rsidP="00F84117">
      <w:pPr>
        <w:pStyle w:val="ListParagraph"/>
        <w:widowControl w:val="0"/>
        <w:spacing w:after="0" w:line="360" w:lineRule="auto"/>
        <w:jc w:val="both"/>
        <w:rPr>
          <w:rFonts w:ascii="Arial" w:hAnsi="Arial" w:cs="Arial"/>
          <w:sz w:val="24"/>
          <w:szCs w:val="24"/>
        </w:rPr>
      </w:pPr>
    </w:p>
    <w:p w14:paraId="1D415F6B" w14:textId="78A4B985" w:rsidR="009A21D0" w:rsidRPr="00F84117" w:rsidRDefault="002F342C"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 do not agree that the balance of convenience favours the applicants.  They will derive no legitimate benefit from the delayed determination of the rezoning application</w:t>
      </w:r>
      <w:r w:rsidR="00145E19" w:rsidRPr="00F84117">
        <w:rPr>
          <w:rFonts w:ascii="Arial" w:hAnsi="Arial" w:cs="Arial"/>
          <w:sz w:val="24"/>
          <w:szCs w:val="24"/>
        </w:rPr>
        <w:t xml:space="preserve">, whilst the respondents will be deprived of the benefits of a lawful and statutorily prescribed procedure.  </w:t>
      </w:r>
      <w:r w:rsidR="0092278C" w:rsidRPr="00F84117">
        <w:rPr>
          <w:rFonts w:ascii="Arial" w:hAnsi="Arial" w:cs="Arial"/>
          <w:sz w:val="24"/>
          <w:szCs w:val="24"/>
        </w:rPr>
        <w:t>On the facts of this matter, the fact that the applicants will have to exhaust their internal remedies and thereafter, if necessary, institute review proceedings as contemplated in PAJA does not give rise to a reasonable apprehension of harm or tip the balance of convenience in their favour.</w:t>
      </w:r>
      <w:r w:rsidR="00746257" w:rsidRPr="00F84117">
        <w:rPr>
          <w:rFonts w:ascii="Arial" w:hAnsi="Arial" w:cs="Arial"/>
          <w:sz w:val="24"/>
          <w:szCs w:val="24"/>
        </w:rPr>
        <w:t xml:space="preserve">  The facts of this case do not indicate that the upholding of the doctrine of separation of powers harms the applicants.</w:t>
      </w:r>
      <w:r w:rsidR="00DF4CD8" w:rsidRPr="00F84117">
        <w:rPr>
          <w:rFonts w:ascii="Arial" w:hAnsi="Arial" w:cs="Arial"/>
          <w:sz w:val="24"/>
          <w:szCs w:val="24"/>
        </w:rPr>
        <w:t xml:space="preserve">  In </w:t>
      </w:r>
      <w:r w:rsidR="00DF4CD8" w:rsidRPr="00F84117">
        <w:rPr>
          <w:rFonts w:ascii="Arial" w:hAnsi="Arial" w:cs="Arial"/>
          <w:i/>
          <w:iCs/>
          <w:sz w:val="24"/>
          <w:szCs w:val="24"/>
        </w:rPr>
        <w:t>National Treasury</w:t>
      </w:r>
      <w:r w:rsidR="00DF4CD8" w:rsidRPr="00F84117">
        <w:rPr>
          <w:rFonts w:ascii="Arial" w:hAnsi="Arial" w:cs="Arial"/>
          <w:sz w:val="24"/>
          <w:szCs w:val="24"/>
        </w:rPr>
        <w:t>, to which reference is made above, the Constitutional Court held as follows in this respect at paras [65] to [66]:</w:t>
      </w:r>
    </w:p>
    <w:p w14:paraId="5DBB38AD" w14:textId="77777777" w:rsidR="00DF4CD8" w:rsidRPr="00F84117" w:rsidRDefault="00DF4CD8" w:rsidP="00F84117">
      <w:pPr>
        <w:pStyle w:val="ListParagraph"/>
        <w:widowControl w:val="0"/>
        <w:spacing w:after="0" w:line="360" w:lineRule="auto"/>
        <w:jc w:val="both"/>
        <w:rPr>
          <w:rFonts w:ascii="Arial" w:hAnsi="Arial" w:cs="Arial"/>
          <w:sz w:val="24"/>
          <w:szCs w:val="24"/>
        </w:rPr>
      </w:pPr>
    </w:p>
    <w:p w14:paraId="7BCAD97F" w14:textId="5D6F62A3" w:rsidR="00DA4936" w:rsidRPr="00F84117" w:rsidRDefault="00DA4936" w:rsidP="00F84117">
      <w:pPr>
        <w:pStyle w:val="lrpara"/>
        <w:widowControl w:val="0"/>
        <w:shd w:val="clear" w:color="auto" w:fill="FFFFFF"/>
        <w:spacing w:before="0" w:beforeAutospacing="0" w:after="0" w:afterAutospacing="0" w:line="360" w:lineRule="auto"/>
        <w:ind w:left="567"/>
        <w:jc w:val="both"/>
        <w:rPr>
          <w:rFonts w:ascii="Arial" w:hAnsi="Arial" w:cs="Arial"/>
          <w:i/>
          <w:iCs/>
        </w:rPr>
      </w:pPr>
      <w:r w:rsidRPr="00F84117">
        <w:rPr>
          <w:rFonts w:ascii="Arial" w:hAnsi="Arial" w:cs="Arial"/>
          <w:i/>
          <w:iCs/>
        </w:rPr>
        <w:t>“[65] When it evaluates where the balance of convenience rests, a court must recognise that it is invited to restrain the exercise of statutory power within the exclusive terrain of the executive or legislative branches of government. It must assess carefully how and to what extent its interdict will disrupt executive or legislative functions conferred by the law and thus whether its restraining order will implicate the tenet of division of powers. While a court has the power to grant a restraining order of that kind, it does not readily do so, except when a proper and strong case has been made out for the relief and, even so, only in the clearest of cases.</w:t>
      </w:r>
    </w:p>
    <w:p w14:paraId="3006D4CC" w14:textId="2F5CE78E" w:rsidR="00DA4936" w:rsidRPr="00F84117" w:rsidRDefault="00DA4936" w:rsidP="00F84117">
      <w:pPr>
        <w:pStyle w:val="lrpara"/>
        <w:widowControl w:val="0"/>
        <w:shd w:val="clear" w:color="auto" w:fill="FFFFFF"/>
        <w:spacing w:before="0" w:beforeAutospacing="0" w:after="0" w:afterAutospacing="0" w:line="360" w:lineRule="auto"/>
        <w:ind w:left="567"/>
        <w:jc w:val="both"/>
        <w:rPr>
          <w:rFonts w:ascii="Arial" w:hAnsi="Arial" w:cs="Arial"/>
        </w:rPr>
      </w:pPr>
      <w:r w:rsidRPr="00F84117">
        <w:rPr>
          <w:rFonts w:ascii="Arial" w:hAnsi="Arial" w:cs="Arial"/>
          <w:i/>
          <w:iCs/>
        </w:rPr>
        <w:t xml:space="preserve">[66] A court must carefully consider whether the grant of the </w:t>
      </w:r>
      <w:proofErr w:type="gramStart"/>
      <w:r w:rsidRPr="00F84117">
        <w:rPr>
          <w:rFonts w:ascii="Arial" w:hAnsi="Arial" w:cs="Arial"/>
          <w:i/>
          <w:iCs/>
        </w:rPr>
        <w:t>temporary  restraining</w:t>
      </w:r>
      <w:proofErr w:type="gramEnd"/>
      <w:r w:rsidRPr="00F84117">
        <w:rPr>
          <w:rFonts w:ascii="Arial" w:hAnsi="Arial" w:cs="Arial"/>
          <w:i/>
          <w:iCs/>
        </w:rPr>
        <w:t xml:space="preserve"> order pending a review will cut across or prevent the proper exercise of a power or duty that the law has vested in the authority to be interdicted. Thus courts are obliged to recognise and assess the impact of temporary restraining orders when dealing with those matters pertaining to the best application, operation and dissemination of public resources. </w:t>
      </w:r>
      <w:r w:rsidRPr="00F84117">
        <w:rPr>
          <w:rFonts w:ascii="Arial" w:hAnsi="Arial" w:cs="Arial"/>
          <w:i/>
          <w:iCs/>
          <w:u w:val="single"/>
        </w:rPr>
        <w:t>What this means is that a court is obliged to ask itself not whether an interim interdict against an authorised state functionary is competent but rather whether it is constitutionally appropriate to grant the interdict</w:t>
      </w:r>
      <w:r w:rsidRPr="00F84117">
        <w:rPr>
          <w:rFonts w:ascii="Arial" w:hAnsi="Arial" w:cs="Arial"/>
          <w:i/>
          <w:iCs/>
        </w:rPr>
        <w:t>.</w:t>
      </w:r>
      <w:r w:rsidRPr="00F84117">
        <w:rPr>
          <w:rFonts w:ascii="Arial" w:hAnsi="Arial" w:cs="Arial"/>
        </w:rPr>
        <w:t>” (Emphasis supplied.)</w:t>
      </w:r>
    </w:p>
    <w:p w14:paraId="631CAA39" w14:textId="77777777" w:rsidR="00DF4CD8" w:rsidRPr="00F84117" w:rsidRDefault="00DF4CD8" w:rsidP="00F84117">
      <w:pPr>
        <w:widowControl w:val="0"/>
        <w:spacing w:after="0" w:line="360" w:lineRule="auto"/>
        <w:ind w:left="567"/>
        <w:jc w:val="both"/>
        <w:rPr>
          <w:rFonts w:ascii="Arial" w:hAnsi="Arial" w:cs="Arial"/>
          <w:sz w:val="24"/>
          <w:szCs w:val="24"/>
        </w:rPr>
      </w:pPr>
    </w:p>
    <w:p w14:paraId="6FF65AB1" w14:textId="111BEF22" w:rsidR="009A21D0" w:rsidRPr="00F84117" w:rsidRDefault="0092278C"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lastRenderedPageBreak/>
        <w:t>The applicants’ apprehension that by the time that review proceedings have been finalised</w:t>
      </w:r>
      <w:r w:rsidR="009A21D0" w:rsidRPr="00F84117">
        <w:rPr>
          <w:rFonts w:ascii="Arial" w:hAnsi="Arial" w:cs="Arial"/>
          <w:sz w:val="24"/>
          <w:szCs w:val="24"/>
        </w:rPr>
        <w:t xml:space="preserve"> the rights granted to The Blue Café would have become vested to such extent that, even if a review application</w:t>
      </w:r>
      <w:r w:rsidR="00540163" w:rsidRPr="00F84117">
        <w:rPr>
          <w:rFonts w:ascii="Arial" w:hAnsi="Arial" w:cs="Arial"/>
          <w:sz w:val="24"/>
          <w:szCs w:val="24"/>
        </w:rPr>
        <w:t xml:space="preserve"> ultimately </w:t>
      </w:r>
      <w:r w:rsidR="009A21D0" w:rsidRPr="00F84117">
        <w:rPr>
          <w:rFonts w:ascii="Arial" w:hAnsi="Arial" w:cs="Arial"/>
          <w:sz w:val="24"/>
          <w:szCs w:val="24"/>
        </w:rPr>
        <w:t>were to be successful, the</w:t>
      </w:r>
      <w:r w:rsidR="00540163" w:rsidRPr="00F84117">
        <w:rPr>
          <w:rFonts w:ascii="Arial" w:hAnsi="Arial" w:cs="Arial"/>
          <w:sz w:val="24"/>
          <w:szCs w:val="24"/>
        </w:rPr>
        <w:t xml:space="preserve"> final </w:t>
      </w:r>
      <w:r w:rsidR="009A21D0" w:rsidRPr="00F84117">
        <w:rPr>
          <w:rFonts w:ascii="Arial" w:hAnsi="Arial" w:cs="Arial"/>
          <w:sz w:val="24"/>
          <w:szCs w:val="24"/>
        </w:rPr>
        <w:t>tribunal deciding whether the decision to rezone should be set aside, may find that for practical reasons this should not be done</w:t>
      </w:r>
      <w:r w:rsidR="00540163" w:rsidRPr="00F84117">
        <w:rPr>
          <w:rFonts w:ascii="Arial" w:hAnsi="Arial" w:cs="Arial"/>
          <w:sz w:val="24"/>
          <w:szCs w:val="24"/>
        </w:rPr>
        <w:t xml:space="preserve">, </w:t>
      </w:r>
      <w:r w:rsidRPr="00F84117">
        <w:rPr>
          <w:rFonts w:ascii="Arial" w:hAnsi="Arial" w:cs="Arial"/>
          <w:sz w:val="24"/>
          <w:szCs w:val="24"/>
        </w:rPr>
        <w:t>is speculative</w:t>
      </w:r>
      <w:r w:rsidR="009A21D0" w:rsidRPr="00F84117">
        <w:rPr>
          <w:rFonts w:ascii="Arial" w:hAnsi="Arial" w:cs="Arial"/>
          <w:sz w:val="24"/>
          <w:szCs w:val="24"/>
        </w:rPr>
        <w:t xml:space="preserve">.  </w:t>
      </w:r>
      <w:r w:rsidR="00C9770E" w:rsidRPr="00F84117">
        <w:rPr>
          <w:rFonts w:ascii="Arial" w:hAnsi="Arial" w:cs="Arial"/>
          <w:sz w:val="24"/>
          <w:szCs w:val="24"/>
        </w:rPr>
        <w:t>Such risk is inherent in every review application depending upon the manner in which the review court exercises the discretion conferred in section 8 of PAJA in the context of the particular facts of the matter.</w:t>
      </w:r>
    </w:p>
    <w:p w14:paraId="08879473" w14:textId="77777777" w:rsidR="0092278C" w:rsidRPr="00F84117" w:rsidRDefault="0092278C" w:rsidP="00F84117">
      <w:pPr>
        <w:pStyle w:val="ListParagraph"/>
        <w:widowControl w:val="0"/>
        <w:spacing w:after="0" w:line="360" w:lineRule="auto"/>
        <w:jc w:val="both"/>
        <w:rPr>
          <w:rFonts w:ascii="Arial" w:hAnsi="Arial" w:cs="Arial"/>
          <w:sz w:val="24"/>
          <w:szCs w:val="24"/>
        </w:rPr>
      </w:pPr>
    </w:p>
    <w:p w14:paraId="5456BE7E" w14:textId="1B9E776F" w:rsidR="0092278C" w:rsidRPr="00F84117" w:rsidRDefault="0092278C"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status </w:t>
      </w:r>
      <w:r w:rsidRPr="00F84117">
        <w:rPr>
          <w:rFonts w:ascii="Arial" w:hAnsi="Arial" w:cs="Arial"/>
          <w:i/>
          <w:iCs/>
          <w:sz w:val="24"/>
          <w:szCs w:val="24"/>
        </w:rPr>
        <w:t>quo</w:t>
      </w:r>
      <w:r w:rsidRPr="00F84117">
        <w:rPr>
          <w:rFonts w:ascii="Arial" w:hAnsi="Arial" w:cs="Arial"/>
          <w:sz w:val="24"/>
          <w:szCs w:val="24"/>
        </w:rPr>
        <w:t xml:space="preserve"> will</w:t>
      </w:r>
      <w:r w:rsidR="00C9770E" w:rsidRPr="00F84117">
        <w:rPr>
          <w:rFonts w:ascii="Arial" w:hAnsi="Arial" w:cs="Arial"/>
          <w:sz w:val="24"/>
          <w:szCs w:val="24"/>
        </w:rPr>
        <w:t xml:space="preserve">, moreover, </w:t>
      </w:r>
      <w:r w:rsidRPr="00F84117">
        <w:rPr>
          <w:rFonts w:ascii="Arial" w:hAnsi="Arial" w:cs="Arial"/>
          <w:sz w:val="24"/>
          <w:szCs w:val="24"/>
        </w:rPr>
        <w:t>not be maintained</w:t>
      </w:r>
      <w:r w:rsidR="00C9770E" w:rsidRPr="00F84117">
        <w:rPr>
          <w:rFonts w:ascii="Arial" w:hAnsi="Arial" w:cs="Arial"/>
          <w:sz w:val="24"/>
          <w:szCs w:val="24"/>
        </w:rPr>
        <w:t xml:space="preserve"> as argued by the applicants</w:t>
      </w:r>
      <w:r w:rsidRPr="00F84117">
        <w:rPr>
          <w:rFonts w:ascii="Arial" w:hAnsi="Arial" w:cs="Arial"/>
          <w:sz w:val="24"/>
          <w:szCs w:val="24"/>
        </w:rPr>
        <w:t>.  The rezoning application is currently in progress, and that process will be interrupted.</w:t>
      </w:r>
      <w:r w:rsidR="00C9770E" w:rsidRPr="00F84117">
        <w:rPr>
          <w:rFonts w:ascii="Arial" w:hAnsi="Arial" w:cs="Arial"/>
          <w:sz w:val="24"/>
          <w:szCs w:val="24"/>
        </w:rPr>
        <w:t xml:space="preserve">  The applicants’ assumption that the respondents will use the rezoning application to delay the November 2021 application is also not borne out by the facts, given that the Blue Café had launched a re</w:t>
      </w:r>
      <w:r w:rsidR="003848E6" w:rsidRPr="00F84117">
        <w:rPr>
          <w:rFonts w:ascii="Arial" w:hAnsi="Arial" w:cs="Arial"/>
          <w:sz w:val="24"/>
          <w:szCs w:val="24"/>
        </w:rPr>
        <w:t>z</w:t>
      </w:r>
      <w:r w:rsidR="00C9770E" w:rsidRPr="00F84117">
        <w:rPr>
          <w:rFonts w:ascii="Arial" w:hAnsi="Arial" w:cs="Arial"/>
          <w:sz w:val="24"/>
          <w:szCs w:val="24"/>
        </w:rPr>
        <w:t>oning application in May 2021 already</w:t>
      </w:r>
      <w:r w:rsidR="003848E6" w:rsidRPr="00F84117">
        <w:rPr>
          <w:rFonts w:ascii="Arial" w:hAnsi="Arial" w:cs="Arial"/>
          <w:sz w:val="24"/>
          <w:szCs w:val="24"/>
        </w:rPr>
        <w:t>, so</w:t>
      </w:r>
      <w:r w:rsidR="003C0D4B" w:rsidRPr="00F84117">
        <w:rPr>
          <w:rFonts w:ascii="Arial" w:hAnsi="Arial" w:cs="Arial"/>
          <w:sz w:val="24"/>
          <w:szCs w:val="24"/>
        </w:rPr>
        <w:t>m</w:t>
      </w:r>
      <w:r w:rsidR="003848E6" w:rsidRPr="00F84117">
        <w:rPr>
          <w:rFonts w:ascii="Arial" w:hAnsi="Arial" w:cs="Arial"/>
          <w:sz w:val="24"/>
          <w:szCs w:val="24"/>
        </w:rPr>
        <w:t>e seven months before the applicants launched the November 2021 application in December 2021.  The applicants knew about that rezoning application.  In addition, The Blue Café has not sought to use the rezoning application to hold the November 2021 application in abeyance in their answering affidavits deposed to for the purposes of that application.</w:t>
      </w:r>
    </w:p>
    <w:p w14:paraId="7DF8B725" w14:textId="77777777" w:rsidR="00EB4A9F" w:rsidRPr="00F84117" w:rsidRDefault="00EB4A9F" w:rsidP="00F84117">
      <w:pPr>
        <w:widowControl w:val="0"/>
        <w:spacing w:after="0" w:line="360" w:lineRule="auto"/>
        <w:jc w:val="both"/>
        <w:rPr>
          <w:rFonts w:ascii="Arial" w:hAnsi="Arial" w:cs="Arial"/>
          <w:sz w:val="24"/>
          <w:szCs w:val="24"/>
        </w:rPr>
      </w:pPr>
    </w:p>
    <w:p w14:paraId="45BCF8EB" w14:textId="465D859D" w:rsidR="009A21D0" w:rsidRPr="00F84117" w:rsidRDefault="00AA2131" w:rsidP="00F84117">
      <w:pPr>
        <w:widowControl w:val="0"/>
        <w:spacing w:after="0" w:line="360" w:lineRule="auto"/>
        <w:jc w:val="both"/>
        <w:rPr>
          <w:rFonts w:ascii="Arial" w:hAnsi="Arial" w:cs="Arial"/>
          <w:b/>
          <w:sz w:val="24"/>
          <w:szCs w:val="24"/>
          <w:u w:val="single"/>
        </w:rPr>
      </w:pPr>
      <w:r w:rsidRPr="00F84117">
        <w:rPr>
          <w:rFonts w:ascii="Arial" w:hAnsi="Arial" w:cs="Arial"/>
          <w:b/>
          <w:sz w:val="24"/>
          <w:szCs w:val="24"/>
          <w:u w:val="single"/>
        </w:rPr>
        <w:t>An</w:t>
      </w:r>
      <w:r w:rsidR="00A04F9E" w:rsidRPr="00F84117">
        <w:rPr>
          <w:rFonts w:ascii="Arial" w:hAnsi="Arial" w:cs="Arial"/>
          <w:b/>
          <w:sz w:val="24"/>
          <w:szCs w:val="24"/>
          <w:u w:val="single"/>
        </w:rPr>
        <w:t xml:space="preserve"> alternative remed</w:t>
      </w:r>
      <w:r w:rsidRPr="00F84117">
        <w:rPr>
          <w:rFonts w:ascii="Arial" w:hAnsi="Arial" w:cs="Arial"/>
          <w:b/>
          <w:sz w:val="24"/>
          <w:szCs w:val="24"/>
          <w:u w:val="single"/>
        </w:rPr>
        <w:t>y</w:t>
      </w:r>
    </w:p>
    <w:p w14:paraId="7DA63A37" w14:textId="77777777" w:rsidR="009A21D0" w:rsidRPr="00F84117" w:rsidRDefault="009A21D0" w:rsidP="00F84117">
      <w:pPr>
        <w:pStyle w:val="ListParagraph"/>
        <w:widowControl w:val="0"/>
        <w:spacing w:after="0" w:line="360" w:lineRule="auto"/>
        <w:jc w:val="both"/>
        <w:rPr>
          <w:rFonts w:ascii="Arial" w:hAnsi="Arial" w:cs="Arial"/>
          <w:sz w:val="24"/>
          <w:szCs w:val="24"/>
        </w:rPr>
      </w:pPr>
    </w:p>
    <w:p w14:paraId="6D1450EE" w14:textId="2421F0E9" w:rsidR="009A21D0" w:rsidRPr="00F84117" w:rsidRDefault="00A04F9E"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submit</w:t>
      </w:r>
      <w:r w:rsidR="009A21D0" w:rsidRPr="00F84117">
        <w:rPr>
          <w:rFonts w:ascii="Arial" w:hAnsi="Arial" w:cs="Arial"/>
          <w:sz w:val="24"/>
          <w:szCs w:val="24"/>
        </w:rPr>
        <w:t xml:space="preserve"> that the</w:t>
      </w:r>
      <w:r w:rsidRPr="00F84117">
        <w:rPr>
          <w:rFonts w:ascii="Arial" w:hAnsi="Arial" w:cs="Arial"/>
          <w:sz w:val="24"/>
          <w:szCs w:val="24"/>
        </w:rPr>
        <w:t xml:space="preserve">y have </w:t>
      </w:r>
      <w:r w:rsidR="009A21D0" w:rsidRPr="00F84117">
        <w:rPr>
          <w:rFonts w:ascii="Arial" w:hAnsi="Arial" w:cs="Arial"/>
          <w:sz w:val="24"/>
          <w:szCs w:val="24"/>
        </w:rPr>
        <w:t xml:space="preserve">no suitable alternative remedy with which </w:t>
      </w:r>
      <w:r w:rsidRPr="00F84117">
        <w:rPr>
          <w:rFonts w:ascii="Arial" w:hAnsi="Arial" w:cs="Arial"/>
          <w:sz w:val="24"/>
          <w:szCs w:val="24"/>
        </w:rPr>
        <w:t xml:space="preserve">to </w:t>
      </w:r>
      <w:r w:rsidR="009A21D0" w:rsidRPr="00F84117">
        <w:rPr>
          <w:rFonts w:ascii="Arial" w:hAnsi="Arial" w:cs="Arial"/>
          <w:sz w:val="24"/>
          <w:szCs w:val="24"/>
        </w:rPr>
        <w:t xml:space="preserve">protect their rights and safeguard themselves from further harm being inflicted upon them by the ongoing violations of their constitutional rights. </w:t>
      </w:r>
    </w:p>
    <w:p w14:paraId="230FAAC1" w14:textId="77777777" w:rsidR="00A04F9E" w:rsidRPr="00F84117" w:rsidRDefault="00A04F9E" w:rsidP="00F84117">
      <w:pPr>
        <w:widowControl w:val="0"/>
        <w:spacing w:after="0" w:line="360" w:lineRule="auto"/>
        <w:ind w:left="567"/>
        <w:jc w:val="both"/>
        <w:rPr>
          <w:rFonts w:ascii="Arial" w:hAnsi="Arial" w:cs="Arial"/>
          <w:sz w:val="24"/>
          <w:szCs w:val="24"/>
        </w:rPr>
      </w:pPr>
    </w:p>
    <w:p w14:paraId="4523D3D1" w14:textId="0F67EBEF" w:rsidR="00A04F9E" w:rsidRPr="00F84117" w:rsidRDefault="00A04F9E"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 do not agree.  The City is currently considering the respondents’ rezoning application.  Should such application be granted</w:t>
      </w:r>
      <w:r w:rsidR="00101E14" w:rsidRPr="00F84117">
        <w:rPr>
          <w:rFonts w:ascii="Arial" w:hAnsi="Arial" w:cs="Arial"/>
          <w:sz w:val="24"/>
          <w:szCs w:val="24"/>
        </w:rPr>
        <w:t xml:space="preserve"> on any irregular basis, including those provided for in PAJA</w:t>
      </w:r>
      <w:r w:rsidRPr="00F84117">
        <w:rPr>
          <w:rFonts w:ascii="Arial" w:hAnsi="Arial" w:cs="Arial"/>
          <w:sz w:val="24"/>
          <w:szCs w:val="24"/>
        </w:rPr>
        <w:t>, the applicants will have an internal appeal remedy at their disposal, prior to (if necessary) launching proceedings for the judicia</w:t>
      </w:r>
      <w:r w:rsidR="009948E0" w:rsidRPr="00F84117">
        <w:rPr>
          <w:rFonts w:ascii="Arial" w:hAnsi="Arial" w:cs="Arial"/>
          <w:sz w:val="24"/>
          <w:szCs w:val="24"/>
        </w:rPr>
        <w:t>l</w:t>
      </w:r>
      <w:r w:rsidRPr="00F84117">
        <w:rPr>
          <w:rFonts w:ascii="Arial" w:hAnsi="Arial" w:cs="Arial"/>
          <w:sz w:val="24"/>
          <w:szCs w:val="24"/>
        </w:rPr>
        <w:t xml:space="preserve"> review of the City’s decision</w:t>
      </w:r>
      <w:r w:rsidR="009948E0" w:rsidRPr="00F84117">
        <w:rPr>
          <w:rFonts w:ascii="Arial" w:hAnsi="Arial" w:cs="Arial"/>
          <w:sz w:val="24"/>
          <w:szCs w:val="24"/>
        </w:rPr>
        <w:t xml:space="preserve"> under PAJA.</w:t>
      </w:r>
      <w:r w:rsidR="00101E14" w:rsidRPr="00F84117">
        <w:rPr>
          <w:rFonts w:ascii="Arial" w:hAnsi="Arial" w:cs="Arial"/>
          <w:sz w:val="24"/>
          <w:szCs w:val="24"/>
        </w:rPr>
        <w:t xml:space="preserve">  They cannot, however, pre-empt that process on the facts set out in their application</w:t>
      </w:r>
      <w:r w:rsidR="00A57FE1" w:rsidRPr="00F84117">
        <w:rPr>
          <w:rFonts w:ascii="Arial" w:hAnsi="Arial" w:cs="Arial"/>
          <w:sz w:val="24"/>
          <w:szCs w:val="24"/>
        </w:rPr>
        <w:t>, effectively predetermining how the City will decide the rezoning application</w:t>
      </w:r>
      <w:r w:rsidR="00101E14" w:rsidRPr="00F84117">
        <w:rPr>
          <w:rFonts w:ascii="Arial" w:hAnsi="Arial" w:cs="Arial"/>
          <w:sz w:val="24"/>
          <w:szCs w:val="24"/>
        </w:rPr>
        <w:t>.</w:t>
      </w:r>
    </w:p>
    <w:p w14:paraId="3F71AB87" w14:textId="664A3659" w:rsidR="009A21D0" w:rsidRPr="00F84117" w:rsidRDefault="009A21D0" w:rsidP="00F84117">
      <w:pPr>
        <w:widowControl w:val="0"/>
        <w:spacing w:after="0" w:line="360" w:lineRule="auto"/>
        <w:jc w:val="both"/>
        <w:rPr>
          <w:rFonts w:ascii="Arial" w:hAnsi="Arial" w:cs="Arial"/>
          <w:sz w:val="24"/>
          <w:szCs w:val="24"/>
        </w:rPr>
      </w:pPr>
    </w:p>
    <w:p w14:paraId="68748CA7" w14:textId="59F05F77" w:rsidR="00AA2131" w:rsidRPr="00F84117" w:rsidRDefault="00AA2131" w:rsidP="00F84117">
      <w:pPr>
        <w:widowControl w:val="0"/>
        <w:spacing w:after="0" w:line="360" w:lineRule="auto"/>
        <w:jc w:val="both"/>
        <w:rPr>
          <w:rFonts w:ascii="Arial" w:hAnsi="Arial" w:cs="Arial"/>
          <w:b/>
          <w:sz w:val="24"/>
          <w:szCs w:val="24"/>
          <w:u w:val="single"/>
        </w:rPr>
      </w:pPr>
      <w:r w:rsidRPr="00F84117">
        <w:rPr>
          <w:rFonts w:ascii="Arial" w:hAnsi="Arial" w:cs="Arial"/>
          <w:b/>
          <w:sz w:val="24"/>
          <w:szCs w:val="24"/>
          <w:u w:val="single"/>
        </w:rPr>
        <w:lastRenderedPageBreak/>
        <w:t>T</w:t>
      </w:r>
      <w:r w:rsidR="00A57FE1" w:rsidRPr="00F84117">
        <w:rPr>
          <w:rFonts w:ascii="Arial" w:hAnsi="Arial" w:cs="Arial"/>
          <w:b/>
          <w:sz w:val="24"/>
          <w:szCs w:val="24"/>
          <w:u w:val="single"/>
        </w:rPr>
        <w:t>he applicants’ entitlement to the documentation sought to be produced by the City</w:t>
      </w:r>
    </w:p>
    <w:p w14:paraId="5A44C785" w14:textId="77777777" w:rsidR="00AA2131" w:rsidRPr="00F84117" w:rsidRDefault="00AA2131" w:rsidP="00F84117">
      <w:pPr>
        <w:pStyle w:val="ListParagraph"/>
        <w:widowControl w:val="0"/>
        <w:spacing w:after="0" w:line="360" w:lineRule="auto"/>
        <w:jc w:val="both"/>
        <w:rPr>
          <w:rFonts w:ascii="Arial" w:hAnsi="Arial" w:cs="Arial"/>
          <w:sz w:val="24"/>
          <w:szCs w:val="24"/>
        </w:rPr>
      </w:pPr>
    </w:p>
    <w:p w14:paraId="62803FEA" w14:textId="0658CA36" w:rsidR="00473F68" w:rsidRPr="00F84117" w:rsidRDefault="00473F68"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The applicants seek the production by the City of certain documents in terms of Rule 35(11) and Rule 35(13), read with the provisions of section 7 of PAIA.</w:t>
      </w:r>
    </w:p>
    <w:p w14:paraId="17523CFB" w14:textId="77777777" w:rsidR="00473F68" w:rsidRPr="00F84117" w:rsidRDefault="00473F68" w:rsidP="00F84117">
      <w:pPr>
        <w:widowControl w:val="0"/>
        <w:spacing w:after="0" w:line="360" w:lineRule="auto"/>
        <w:ind w:left="567"/>
        <w:jc w:val="both"/>
        <w:rPr>
          <w:rFonts w:ascii="Arial" w:hAnsi="Arial" w:cs="Arial"/>
          <w:sz w:val="24"/>
          <w:szCs w:val="24"/>
        </w:rPr>
      </w:pPr>
    </w:p>
    <w:p w14:paraId="2FA7396C" w14:textId="58EEF6D5" w:rsidR="00A57FE1" w:rsidRPr="00F84117" w:rsidRDefault="00A57FE1"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Rule 35(11) provides as follows:</w:t>
      </w:r>
    </w:p>
    <w:p w14:paraId="27B20ED7" w14:textId="1D294D67" w:rsidR="00A57FE1" w:rsidRPr="00F84117" w:rsidRDefault="00A57FE1" w:rsidP="00F84117">
      <w:pPr>
        <w:widowControl w:val="0"/>
        <w:spacing w:after="0" w:line="360" w:lineRule="auto"/>
        <w:ind w:left="567"/>
        <w:jc w:val="both"/>
        <w:rPr>
          <w:rFonts w:ascii="Arial" w:hAnsi="Arial" w:cs="Arial"/>
          <w:sz w:val="24"/>
          <w:szCs w:val="24"/>
        </w:rPr>
      </w:pPr>
    </w:p>
    <w:p w14:paraId="548B20D7" w14:textId="3DF9D2A4" w:rsidR="00A57FE1" w:rsidRPr="00F84117" w:rsidRDefault="006D1426" w:rsidP="00F84117">
      <w:pPr>
        <w:widowControl w:val="0"/>
        <w:spacing w:after="0" w:line="360" w:lineRule="auto"/>
        <w:ind w:left="567"/>
        <w:jc w:val="both"/>
        <w:rPr>
          <w:rFonts w:ascii="Arial" w:hAnsi="Arial" w:cs="Arial"/>
          <w:sz w:val="24"/>
          <w:szCs w:val="24"/>
        </w:rPr>
      </w:pPr>
      <w:r w:rsidRPr="00F84117">
        <w:rPr>
          <w:rFonts w:ascii="Arial" w:hAnsi="Arial" w:cs="Arial"/>
          <w:i/>
          <w:iCs/>
          <w:sz w:val="24"/>
          <w:szCs w:val="24"/>
        </w:rPr>
        <w:t>“The court may, during the course of any proceeding, order the production by any party thereto under oath of such documents or tape recordings in such party’s power or control relating to any matter in question in such proceeding as the court may deem appropriate, and the court may deal with such documents or tape recordings, when produced, as it deems appropriate</w:t>
      </w:r>
      <w:r w:rsidRPr="00F84117">
        <w:rPr>
          <w:rFonts w:ascii="Arial" w:hAnsi="Arial" w:cs="Arial"/>
          <w:sz w:val="24"/>
          <w:szCs w:val="24"/>
        </w:rPr>
        <w:t>.”</w:t>
      </w:r>
    </w:p>
    <w:p w14:paraId="21A7D176" w14:textId="77777777" w:rsidR="00A57FE1" w:rsidRPr="00F84117" w:rsidRDefault="00A57FE1" w:rsidP="00F84117">
      <w:pPr>
        <w:widowControl w:val="0"/>
        <w:spacing w:after="0" w:line="360" w:lineRule="auto"/>
        <w:ind w:left="567"/>
        <w:jc w:val="both"/>
        <w:rPr>
          <w:rFonts w:ascii="Arial" w:hAnsi="Arial" w:cs="Arial"/>
          <w:sz w:val="24"/>
          <w:szCs w:val="24"/>
        </w:rPr>
      </w:pPr>
    </w:p>
    <w:p w14:paraId="31B23E1F" w14:textId="77777777" w:rsidR="00A57FE1" w:rsidRPr="00F84117" w:rsidRDefault="00A57FE1"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Rule 35(13), in turn, provides the following:</w:t>
      </w:r>
    </w:p>
    <w:p w14:paraId="1E05FDAF" w14:textId="5BAAD361" w:rsidR="00A57FE1" w:rsidRPr="00F84117" w:rsidRDefault="00A57FE1" w:rsidP="00F84117">
      <w:pPr>
        <w:pStyle w:val="ListParagraph"/>
        <w:widowControl w:val="0"/>
        <w:spacing w:after="0" w:line="360" w:lineRule="auto"/>
        <w:jc w:val="both"/>
        <w:rPr>
          <w:rFonts w:ascii="Arial" w:hAnsi="Arial" w:cs="Arial"/>
          <w:sz w:val="24"/>
          <w:szCs w:val="24"/>
        </w:rPr>
      </w:pPr>
    </w:p>
    <w:p w14:paraId="437C08BB" w14:textId="377E111F" w:rsidR="006D1426" w:rsidRPr="00F84117" w:rsidRDefault="006D1426" w:rsidP="00F84117">
      <w:pPr>
        <w:pStyle w:val="ListParagraph"/>
        <w:widowControl w:val="0"/>
        <w:spacing w:after="0" w:line="360" w:lineRule="auto"/>
        <w:jc w:val="both"/>
        <w:rPr>
          <w:rFonts w:ascii="Arial" w:hAnsi="Arial" w:cs="Arial"/>
          <w:sz w:val="24"/>
          <w:szCs w:val="24"/>
        </w:rPr>
      </w:pPr>
      <w:r w:rsidRPr="00F84117">
        <w:rPr>
          <w:rFonts w:ascii="Arial" w:hAnsi="Arial" w:cs="Arial"/>
          <w:sz w:val="24"/>
          <w:szCs w:val="24"/>
        </w:rPr>
        <w:t>“</w:t>
      </w:r>
      <w:r w:rsidRPr="00F84117">
        <w:rPr>
          <w:rFonts w:ascii="Arial" w:hAnsi="Arial" w:cs="Arial"/>
          <w:i/>
          <w:iCs/>
          <w:sz w:val="24"/>
          <w:szCs w:val="24"/>
        </w:rPr>
        <w:t xml:space="preserve">The provisions of </w:t>
      </w:r>
      <w:r w:rsidR="005330D6" w:rsidRPr="00F84117">
        <w:rPr>
          <w:rFonts w:ascii="Arial" w:hAnsi="Arial" w:cs="Arial"/>
          <w:i/>
          <w:iCs/>
          <w:sz w:val="24"/>
          <w:szCs w:val="24"/>
        </w:rPr>
        <w:t>this rule relating to discovery shall mutatis mutandis apply, in so far as the court may direct, to applications.</w:t>
      </w:r>
      <w:r w:rsidR="005330D6" w:rsidRPr="00F84117">
        <w:rPr>
          <w:rFonts w:ascii="Arial" w:hAnsi="Arial" w:cs="Arial"/>
          <w:sz w:val="24"/>
          <w:szCs w:val="24"/>
        </w:rPr>
        <w:t>”</w:t>
      </w:r>
    </w:p>
    <w:p w14:paraId="0DA1C88C" w14:textId="77777777" w:rsidR="006D1426" w:rsidRPr="00F84117" w:rsidRDefault="006D1426" w:rsidP="00F84117">
      <w:pPr>
        <w:pStyle w:val="ListParagraph"/>
        <w:widowControl w:val="0"/>
        <w:spacing w:after="0" w:line="360" w:lineRule="auto"/>
        <w:jc w:val="both"/>
        <w:rPr>
          <w:rFonts w:ascii="Arial" w:hAnsi="Arial" w:cs="Arial"/>
          <w:sz w:val="24"/>
          <w:szCs w:val="24"/>
        </w:rPr>
      </w:pPr>
    </w:p>
    <w:p w14:paraId="3F2328E0" w14:textId="77777777" w:rsidR="006C0120" w:rsidRPr="00F84117" w:rsidRDefault="005330D6"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 agree with the applicants that the wording of Rule</w:t>
      </w:r>
      <w:r w:rsidR="00B26CAA" w:rsidRPr="00F84117">
        <w:rPr>
          <w:rFonts w:ascii="Arial" w:hAnsi="Arial" w:cs="Arial"/>
          <w:sz w:val="24"/>
          <w:szCs w:val="24"/>
        </w:rPr>
        <w:t xml:space="preserve"> 3</w:t>
      </w:r>
      <w:r w:rsidR="00E8795A" w:rsidRPr="00F84117">
        <w:rPr>
          <w:rFonts w:ascii="Arial" w:hAnsi="Arial" w:cs="Arial"/>
          <w:sz w:val="24"/>
          <w:szCs w:val="24"/>
        </w:rPr>
        <w:t>5</w:t>
      </w:r>
      <w:r w:rsidR="00B26CAA" w:rsidRPr="00F84117">
        <w:rPr>
          <w:rFonts w:ascii="Arial" w:hAnsi="Arial" w:cs="Arial"/>
          <w:sz w:val="24"/>
          <w:szCs w:val="24"/>
        </w:rPr>
        <w:t>(11)</w:t>
      </w:r>
      <w:r w:rsidRPr="00F84117">
        <w:rPr>
          <w:rFonts w:ascii="Arial" w:hAnsi="Arial" w:cs="Arial"/>
          <w:sz w:val="24"/>
          <w:szCs w:val="24"/>
        </w:rPr>
        <w:t xml:space="preserve"> </w:t>
      </w:r>
      <w:r w:rsidR="00AA2131" w:rsidRPr="00F84117">
        <w:rPr>
          <w:rFonts w:ascii="Arial" w:hAnsi="Arial" w:cs="Arial"/>
          <w:sz w:val="24"/>
          <w:szCs w:val="24"/>
        </w:rPr>
        <w:t>do</w:t>
      </w:r>
      <w:r w:rsidR="00B26CAA" w:rsidRPr="00F84117">
        <w:rPr>
          <w:rFonts w:ascii="Arial" w:hAnsi="Arial" w:cs="Arial"/>
          <w:sz w:val="24"/>
          <w:szCs w:val="24"/>
        </w:rPr>
        <w:t>es</w:t>
      </w:r>
      <w:r w:rsidR="00AA2131" w:rsidRPr="00F84117">
        <w:rPr>
          <w:rFonts w:ascii="Arial" w:hAnsi="Arial" w:cs="Arial"/>
          <w:sz w:val="24"/>
          <w:szCs w:val="24"/>
        </w:rPr>
        <w:t xml:space="preserve"> not impose any duty or onus upon the applicants to prove that the documentation have any specific evidential weight or value in relation to any circumscribed or identified </w:t>
      </w:r>
      <w:r w:rsidR="00F05A32" w:rsidRPr="00F84117">
        <w:rPr>
          <w:rFonts w:ascii="Arial" w:hAnsi="Arial" w:cs="Arial"/>
          <w:sz w:val="24"/>
          <w:szCs w:val="24"/>
        </w:rPr>
        <w:t>issue</w:t>
      </w:r>
      <w:r w:rsidR="00AA2131" w:rsidRPr="00F84117">
        <w:rPr>
          <w:rFonts w:ascii="Arial" w:hAnsi="Arial" w:cs="Arial"/>
          <w:sz w:val="24"/>
          <w:szCs w:val="24"/>
        </w:rPr>
        <w:t>. It simply requires the applicants to demonstrate that the documents “</w:t>
      </w:r>
      <w:r w:rsidR="00AA2131" w:rsidRPr="00F84117">
        <w:rPr>
          <w:rFonts w:ascii="Arial" w:hAnsi="Arial" w:cs="Arial"/>
          <w:i/>
          <w:sz w:val="24"/>
          <w:szCs w:val="24"/>
        </w:rPr>
        <w:t>relate to any matter in question</w:t>
      </w:r>
      <w:r w:rsidR="00AA2131" w:rsidRPr="00F84117">
        <w:rPr>
          <w:rFonts w:ascii="Arial" w:hAnsi="Arial" w:cs="Arial"/>
          <w:sz w:val="24"/>
          <w:szCs w:val="24"/>
        </w:rPr>
        <w:t xml:space="preserve">”.  </w:t>
      </w:r>
    </w:p>
    <w:p w14:paraId="3BA3516C" w14:textId="77777777" w:rsidR="006C0120" w:rsidRPr="00F84117" w:rsidRDefault="006C0120" w:rsidP="00F84117">
      <w:pPr>
        <w:widowControl w:val="0"/>
        <w:spacing w:after="0" w:line="360" w:lineRule="auto"/>
        <w:ind w:left="567"/>
        <w:jc w:val="both"/>
        <w:rPr>
          <w:rFonts w:ascii="Arial" w:hAnsi="Arial" w:cs="Arial"/>
          <w:sz w:val="24"/>
          <w:szCs w:val="24"/>
        </w:rPr>
      </w:pPr>
    </w:p>
    <w:p w14:paraId="0C780180" w14:textId="42E3E3B4" w:rsidR="00AA2131" w:rsidRPr="00F84117" w:rsidRDefault="00B26CAA" w:rsidP="00F84117">
      <w:pPr>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applicants submit that </w:t>
      </w:r>
      <w:r w:rsidR="00AA2131" w:rsidRPr="00F84117">
        <w:rPr>
          <w:rFonts w:ascii="Arial" w:hAnsi="Arial" w:cs="Arial"/>
          <w:sz w:val="24"/>
          <w:szCs w:val="24"/>
        </w:rPr>
        <w:t xml:space="preserve">the documents required relate to the issue of the bias and the prejudice, </w:t>
      </w:r>
      <w:r w:rsidRPr="00F84117">
        <w:rPr>
          <w:rFonts w:ascii="Arial" w:hAnsi="Arial" w:cs="Arial"/>
          <w:sz w:val="24"/>
          <w:szCs w:val="24"/>
        </w:rPr>
        <w:t xml:space="preserve">as raised in the founding papers, </w:t>
      </w:r>
      <w:r w:rsidR="00AA2131" w:rsidRPr="00F84117">
        <w:rPr>
          <w:rFonts w:ascii="Arial" w:hAnsi="Arial" w:cs="Arial"/>
          <w:sz w:val="24"/>
          <w:szCs w:val="24"/>
        </w:rPr>
        <w:t xml:space="preserve">upon which the case against the </w:t>
      </w:r>
      <w:r w:rsidRPr="00F84117">
        <w:rPr>
          <w:rFonts w:ascii="Arial" w:hAnsi="Arial" w:cs="Arial"/>
          <w:sz w:val="24"/>
          <w:szCs w:val="24"/>
        </w:rPr>
        <w:t>City</w:t>
      </w:r>
      <w:r w:rsidR="00AA2131" w:rsidRPr="00F84117">
        <w:rPr>
          <w:rFonts w:ascii="Arial" w:hAnsi="Arial" w:cs="Arial"/>
          <w:sz w:val="24"/>
          <w:szCs w:val="24"/>
        </w:rPr>
        <w:t xml:space="preserve"> is mainly based.</w:t>
      </w:r>
      <w:r w:rsidR="00E8795A" w:rsidRPr="00F84117">
        <w:rPr>
          <w:rFonts w:ascii="Arial" w:hAnsi="Arial" w:cs="Arial"/>
          <w:sz w:val="24"/>
          <w:szCs w:val="24"/>
        </w:rPr>
        <w:t xml:space="preserve">  They refer to </w:t>
      </w:r>
      <w:r w:rsidR="00AA2131" w:rsidRPr="00F84117">
        <w:rPr>
          <w:rFonts w:ascii="Arial" w:hAnsi="Arial" w:cs="Arial"/>
          <w:bCs/>
          <w:i/>
          <w:iCs/>
          <w:sz w:val="24"/>
          <w:szCs w:val="24"/>
        </w:rPr>
        <w:t>Van Huyssteen and Ohers N.O v Minister of Environmental Affairs and Tourism and Others</w:t>
      </w:r>
      <w:r w:rsidR="00D16307" w:rsidRPr="00F84117">
        <w:rPr>
          <w:rFonts w:ascii="Arial" w:hAnsi="Arial" w:cs="Arial"/>
          <w:bCs/>
          <w:sz w:val="24"/>
          <w:szCs w:val="24"/>
        </w:rPr>
        <w:t xml:space="preserve"> 1996 (1) SA 283 (C)</w:t>
      </w:r>
      <w:r w:rsidR="00AA2131" w:rsidRPr="00F84117">
        <w:rPr>
          <w:rFonts w:ascii="Arial" w:hAnsi="Arial" w:cs="Arial"/>
          <w:sz w:val="24"/>
          <w:szCs w:val="24"/>
        </w:rPr>
        <w:t xml:space="preserve">, </w:t>
      </w:r>
      <w:r w:rsidR="00E8795A" w:rsidRPr="00F84117">
        <w:rPr>
          <w:rFonts w:ascii="Arial" w:hAnsi="Arial" w:cs="Arial"/>
          <w:sz w:val="24"/>
          <w:szCs w:val="24"/>
        </w:rPr>
        <w:t xml:space="preserve">which </w:t>
      </w:r>
      <w:r w:rsidR="00AA2131" w:rsidRPr="00F84117">
        <w:rPr>
          <w:rFonts w:ascii="Arial" w:hAnsi="Arial" w:cs="Arial"/>
          <w:sz w:val="24"/>
          <w:szCs w:val="24"/>
        </w:rPr>
        <w:t xml:space="preserve">considered the question whether parties having an interest in a rezoning application </w:t>
      </w:r>
      <w:r w:rsidR="00E8795A" w:rsidRPr="00F84117">
        <w:rPr>
          <w:rFonts w:ascii="Arial" w:hAnsi="Arial" w:cs="Arial"/>
          <w:sz w:val="24"/>
          <w:szCs w:val="24"/>
        </w:rPr>
        <w:t>involving the provincial authorities in the conte</w:t>
      </w:r>
      <w:r w:rsidR="00D16307" w:rsidRPr="00F84117">
        <w:rPr>
          <w:rFonts w:ascii="Arial" w:hAnsi="Arial" w:cs="Arial"/>
          <w:sz w:val="24"/>
          <w:szCs w:val="24"/>
        </w:rPr>
        <w:t>x</w:t>
      </w:r>
      <w:r w:rsidR="00E8795A" w:rsidRPr="00F84117">
        <w:rPr>
          <w:rFonts w:ascii="Arial" w:hAnsi="Arial" w:cs="Arial"/>
          <w:sz w:val="24"/>
          <w:szCs w:val="24"/>
        </w:rPr>
        <w:t xml:space="preserve">t of the </w:t>
      </w:r>
      <w:r w:rsidR="00D16307" w:rsidRPr="00F84117">
        <w:rPr>
          <w:rFonts w:ascii="Arial" w:hAnsi="Arial" w:cs="Arial"/>
          <w:sz w:val="24"/>
          <w:szCs w:val="24"/>
        </w:rPr>
        <w:t xml:space="preserve">Environmental Conservation Act 73 of 1989 (“ECA”) and the Land Ude Planning Ordinance 15 of 1985 </w:t>
      </w:r>
      <w:r w:rsidR="00AA2131" w:rsidRPr="00F84117">
        <w:rPr>
          <w:rFonts w:ascii="Arial" w:hAnsi="Arial" w:cs="Arial"/>
          <w:sz w:val="24"/>
          <w:szCs w:val="24"/>
        </w:rPr>
        <w:t>would be entitled</w:t>
      </w:r>
      <w:r w:rsidR="00D16307" w:rsidRPr="00F84117">
        <w:rPr>
          <w:rFonts w:ascii="Arial" w:hAnsi="Arial" w:cs="Arial"/>
          <w:sz w:val="24"/>
          <w:szCs w:val="24"/>
        </w:rPr>
        <w:t>, by virtue of section 23 of the 1993 Constitution,</w:t>
      </w:r>
      <w:r w:rsidR="00AA2131" w:rsidRPr="00F84117">
        <w:rPr>
          <w:rFonts w:ascii="Arial" w:hAnsi="Arial" w:cs="Arial"/>
          <w:sz w:val="24"/>
          <w:szCs w:val="24"/>
        </w:rPr>
        <w:t xml:space="preserve"> to </w:t>
      </w:r>
      <w:r w:rsidR="00E8795A" w:rsidRPr="00F84117">
        <w:rPr>
          <w:rFonts w:ascii="Arial" w:hAnsi="Arial" w:cs="Arial"/>
          <w:sz w:val="24"/>
          <w:szCs w:val="24"/>
        </w:rPr>
        <w:t xml:space="preserve">certain </w:t>
      </w:r>
      <w:r w:rsidR="00AA2131" w:rsidRPr="00F84117">
        <w:rPr>
          <w:rFonts w:ascii="Arial" w:hAnsi="Arial" w:cs="Arial"/>
          <w:sz w:val="24"/>
          <w:szCs w:val="24"/>
        </w:rPr>
        <w:t xml:space="preserve">documents </w:t>
      </w:r>
      <w:r w:rsidR="00E8795A" w:rsidRPr="00F84117">
        <w:rPr>
          <w:rFonts w:ascii="Arial" w:hAnsi="Arial" w:cs="Arial"/>
          <w:sz w:val="24"/>
          <w:szCs w:val="24"/>
        </w:rPr>
        <w:t>for the purposes of objecting to a rezoning application</w:t>
      </w:r>
      <w:r w:rsidR="00D16307" w:rsidRPr="00F84117">
        <w:rPr>
          <w:rFonts w:ascii="Arial" w:hAnsi="Arial" w:cs="Arial"/>
          <w:sz w:val="24"/>
          <w:szCs w:val="24"/>
        </w:rPr>
        <w:t xml:space="preserve"> before </w:t>
      </w:r>
      <w:r w:rsidR="00D16307" w:rsidRPr="00F84117">
        <w:rPr>
          <w:rFonts w:ascii="Arial" w:hAnsi="Arial" w:cs="Arial"/>
          <w:sz w:val="24"/>
          <w:szCs w:val="24"/>
        </w:rPr>
        <w:lastRenderedPageBreak/>
        <w:t>a board of enquiry constituted under the ECA</w:t>
      </w:r>
      <w:r w:rsidR="00E8795A" w:rsidRPr="00F84117">
        <w:rPr>
          <w:rFonts w:ascii="Arial" w:hAnsi="Arial" w:cs="Arial"/>
          <w:sz w:val="24"/>
          <w:szCs w:val="24"/>
        </w:rPr>
        <w:t xml:space="preserve">.  </w:t>
      </w:r>
      <w:r w:rsidR="006C0120" w:rsidRPr="00F84117">
        <w:rPr>
          <w:rFonts w:ascii="Arial" w:hAnsi="Arial" w:cs="Arial"/>
          <w:sz w:val="24"/>
          <w:szCs w:val="24"/>
        </w:rPr>
        <w:t xml:space="preserve">The Court did not deal with the provisions of Rule 35(11) or (13), and </w:t>
      </w:r>
      <w:r w:rsidR="00AA2131" w:rsidRPr="00F84117">
        <w:rPr>
          <w:rFonts w:ascii="Arial" w:hAnsi="Arial" w:cs="Arial"/>
          <w:sz w:val="24"/>
          <w:szCs w:val="24"/>
        </w:rPr>
        <w:t xml:space="preserve">did not attempt to lay down the rule that there had to be any more specificity in the demand of the applicants for the documentation, in addition to what was set out in </w:t>
      </w:r>
      <w:r w:rsidR="00D16307" w:rsidRPr="00F84117">
        <w:rPr>
          <w:rFonts w:ascii="Arial" w:hAnsi="Arial" w:cs="Arial"/>
          <w:sz w:val="24"/>
          <w:szCs w:val="24"/>
        </w:rPr>
        <w:t xml:space="preserve">fairly broad terms in </w:t>
      </w:r>
      <w:r w:rsidR="00AA2131" w:rsidRPr="00F84117">
        <w:rPr>
          <w:rFonts w:ascii="Arial" w:hAnsi="Arial" w:cs="Arial"/>
          <w:sz w:val="24"/>
          <w:szCs w:val="24"/>
        </w:rPr>
        <w:t xml:space="preserve">their notice of motion.  </w:t>
      </w:r>
    </w:p>
    <w:p w14:paraId="72DE50A8" w14:textId="77777777" w:rsidR="00AA2131" w:rsidRPr="00F84117" w:rsidRDefault="00AA2131" w:rsidP="00F84117">
      <w:pPr>
        <w:widowControl w:val="0"/>
        <w:spacing w:after="0" w:line="360" w:lineRule="auto"/>
        <w:ind w:left="567"/>
        <w:jc w:val="both"/>
        <w:rPr>
          <w:rFonts w:ascii="Arial" w:hAnsi="Arial" w:cs="Arial"/>
          <w:sz w:val="24"/>
          <w:szCs w:val="24"/>
        </w:rPr>
      </w:pPr>
    </w:p>
    <w:p w14:paraId="6F22DB4A" w14:textId="4C041498" w:rsidR="00B26CAA" w:rsidRPr="00F84117" w:rsidRDefault="00B26CAA"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This may be so, but given the conclusion to which I have come in relation to the applicants’ failure to satisfy the requirements for the grant of </w:t>
      </w:r>
      <w:r w:rsidR="00F05A32" w:rsidRPr="00F84117">
        <w:rPr>
          <w:rFonts w:ascii="Arial" w:hAnsi="Arial" w:cs="Arial"/>
          <w:sz w:val="24"/>
          <w:szCs w:val="24"/>
        </w:rPr>
        <w:t>interim interdictory relief, there will be no point in ordering the production of the documentation so as to allow the applicants to supplement their papers for the purposes of a non-existent return day.</w:t>
      </w:r>
    </w:p>
    <w:p w14:paraId="527A5116" w14:textId="77777777" w:rsidR="00292436" w:rsidRPr="00F84117" w:rsidRDefault="00292436" w:rsidP="00F84117">
      <w:pPr>
        <w:pStyle w:val="ListParagraph"/>
        <w:widowControl w:val="0"/>
        <w:spacing w:after="0" w:line="360" w:lineRule="auto"/>
        <w:ind w:left="567"/>
        <w:jc w:val="both"/>
        <w:rPr>
          <w:rFonts w:ascii="Arial" w:hAnsi="Arial" w:cs="Arial"/>
          <w:sz w:val="24"/>
          <w:szCs w:val="24"/>
        </w:rPr>
      </w:pPr>
    </w:p>
    <w:p w14:paraId="5396FBFD" w14:textId="29CB45A7" w:rsidR="00F05A32" w:rsidRPr="00F84117" w:rsidRDefault="00F05A32"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In any event, in terms of Rule 35(13), the provisions of Rule 35(11) may be rendered applicable to application proceedings in so far as the Court may direct.  This requires an order to that effect, which the applicants have not sought</w:t>
      </w:r>
      <w:r w:rsidR="00292436" w:rsidRPr="00F84117">
        <w:rPr>
          <w:rFonts w:ascii="Arial" w:hAnsi="Arial" w:cs="Arial"/>
          <w:sz w:val="24"/>
          <w:szCs w:val="24"/>
        </w:rPr>
        <w:t xml:space="preserve">.  An order under Rule 35(13) will, moreover, only be made in rare and exceptional circumstances (see </w:t>
      </w:r>
      <w:r w:rsidR="00292436" w:rsidRPr="00F84117">
        <w:rPr>
          <w:rFonts w:ascii="Arial" w:hAnsi="Arial" w:cs="Arial"/>
          <w:i/>
          <w:iCs/>
          <w:sz w:val="24"/>
          <w:szCs w:val="24"/>
        </w:rPr>
        <w:t>STT Sales (Pty) Ltd v Fourie</w:t>
      </w:r>
      <w:r w:rsidR="00292436" w:rsidRPr="00F84117">
        <w:rPr>
          <w:rFonts w:ascii="Arial" w:hAnsi="Arial" w:cs="Arial"/>
          <w:sz w:val="24"/>
          <w:szCs w:val="24"/>
        </w:rPr>
        <w:t xml:space="preserve"> 2010 (6) SA 272 (GSJ) at 276D-277E).</w:t>
      </w:r>
    </w:p>
    <w:p w14:paraId="62D42759" w14:textId="77777777" w:rsidR="00292436" w:rsidRPr="00F84117" w:rsidRDefault="00292436" w:rsidP="00F84117">
      <w:pPr>
        <w:pStyle w:val="ListParagraph"/>
        <w:widowControl w:val="0"/>
        <w:spacing w:after="0" w:line="360" w:lineRule="auto"/>
        <w:jc w:val="both"/>
        <w:rPr>
          <w:rFonts w:ascii="Arial" w:hAnsi="Arial" w:cs="Arial"/>
          <w:sz w:val="24"/>
          <w:szCs w:val="24"/>
        </w:rPr>
      </w:pPr>
    </w:p>
    <w:p w14:paraId="7AC7ECCB" w14:textId="1C2F5A33" w:rsidR="00292436" w:rsidRPr="00F84117" w:rsidRDefault="0025204A"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shd w:val="clear" w:color="auto" w:fill="FFFFFF"/>
        </w:rPr>
        <w:t xml:space="preserve">In cases where the fact that a permanent interdict was being sought in motion proceedings was held to be an exceptional circumstance (see, for example, </w:t>
      </w:r>
      <w:r w:rsidRPr="00F84117">
        <w:rPr>
          <w:rFonts w:ascii="Arial" w:hAnsi="Arial" w:cs="Arial"/>
          <w:i/>
          <w:iCs/>
          <w:sz w:val="24"/>
          <w:szCs w:val="24"/>
          <w:shd w:val="clear" w:color="auto" w:fill="FFFFFF"/>
        </w:rPr>
        <w:t>Saunders Valve Co Ltd v Insamcor (Pty) Ltd</w:t>
      </w:r>
      <w:r w:rsidRPr="00F84117">
        <w:rPr>
          <w:rFonts w:ascii="Arial" w:hAnsi="Arial" w:cs="Arial"/>
          <w:sz w:val="24"/>
          <w:szCs w:val="24"/>
          <w:shd w:val="clear" w:color="auto" w:fill="FFFFFF"/>
        </w:rPr>
        <w:t> </w:t>
      </w:r>
      <w:hyperlink r:id="rId9" w:history="1">
        <w:r w:rsidRPr="00F84117">
          <w:rPr>
            <w:rStyle w:val="Hyperlink"/>
            <w:rFonts w:ascii="Arial" w:hAnsi="Arial" w:cs="Arial"/>
            <w:color w:val="auto"/>
            <w:sz w:val="24"/>
            <w:szCs w:val="24"/>
            <w:u w:val="none"/>
            <w:shd w:val="clear" w:color="auto" w:fill="FFFFFF"/>
          </w:rPr>
          <w:t>1985 (1) SA 146 (T)</w:t>
        </w:r>
      </w:hyperlink>
      <w:r w:rsidRPr="00F84117">
        <w:rPr>
          <w:rFonts w:ascii="Arial" w:hAnsi="Arial" w:cs="Arial"/>
          <w:sz w:val="24"/>
          <w:szCs w:val="24"/>
        </w:rPr>
        <w:t xml:space="preserve">; </w:t>
      </w:r>
      <w:r w:rsidRPr="00F84117">
        <w:rPr>
          <w:rFonts w:ascii="Arial" w:hAnsi="Arial" w:cs="Arial"/>
          <w:i/>
          <w:iCs/>
          <w:sz w:val="24"/>
          <w:szCs w:val="24"/>
          <w:shd w:val="clear" w:color="auto" w:fill="FFFFFF"/>
        </w:rPr>
        <w:t>Premier Freight (Pty) Ltd v Breathetex Corporation (Pty) Ltd</w:t>
      </w:r>
      <w:r w:rsidRPr="00F84117">
        <w:rPr>
          <w:rFonts w:ascii="Arial" w:hAnsi="Arial" w:cs="Arial"/>
          <w:sz w:val="24"/>
          <w:szCs w:val="24"/>
          <w:shd w:val="clear" w:color="auto" w:fill="FFFFFF"/>
        </w:rPr>
        <w:t> </w:t>
      </w:r>
      <w:hyperlink r:id="rId10" w:history="1">
        <w:r w:rsidRPr="00F84117">
          <w:rPr>
            <w:rStyle w:val="Hyperlink"/>
            <w:rFonts w:ascii="Arial" w:hAnsi="Arial" w:cs="Arial"/>
            <w:color w:val="auto"/>
            <w:sz w:val="24"/>
            <w:szCs w:val="24"/>
            <w:u w:val="none"/>
            <w:shd w:val="clear" w:color="auto" w:fill="FFFFFF"/>
          </w:rPr>
          <w:t>2003 (6) SA 190 (SE)</w:t>
        </w:r>
      </w:hyperlink>
      <w:r w:rsidRPr="00F84117">
        <w:rPr>
          <w:rFonts w:ascii="Arial" w:hAnsi="Arial" w:cs="Arial"/>
          <w:sz w:val="24"/>
          <w:szCs w:val="24"/>
        </w:rPr>
        <w:t>),</w:t>
      </w:r>
      <w:r w:rsidRPr="00F84117">
        <w:rPr>
          <w:rFonts w:ascii="Arial" w:hAnsi="Arial" w:cs="Arial"/>
          <w:sz w:val="24"/>
          <w:szCs w:val="24"/>
          <w:shd w:val="clear" w:color="auto" w:fill="FFFFFF"/>
        </w:rPr>
        <w:t xml:space="preserve"> discovery was allowed prior to the finalisation of the delivery of affidavits. The exceptional circumstances in each case were that the respondent was prejudiced, in that it required discovery of documents in order to enable it to file its answer. Only if the applicant, who had chosen motion proceedings as the method by which it would proceed against the respondent in each case, was directed to make discovery of the documents, would the respondents' prejudice be alleviated.</w:t>
      </w:r>
      <w:r w:rsidR="00473F68" w:rsidRPr="00F84117">
        <w:rPr>
          <w:rFonts w:ascii="Arial" w:hAnsi="Arial" w:cs="Arial"/>
          <w:sz w:val="24"/>
          <w:szCs w:val="24"/>
          <w:shd w:val="clear" w:color="auto" w:fill="FFFFFF"/>
        </w:rPr>
        <w:t xml:space="preserve">  In the present matter it is the applicants who seek discovery so as to further their case for the grant of permanent interdictory relief – along the lines of a review, as previously discussed.</w:t>
      </w:r>
    </w:p>
    <w:p w14:paraId="1C6D786F" w14:textId="77777777" w:rsidR="00473F68" w:rsidRPr="00F84117" w:rsidRDefault="00473F68" w:rsidP="00F84117">
      <w:pPr>
        <w:pStyle w:val="ListParagraph"/>
        <w:widowControl w:val="0"/>
        <w:spacing w:after="0" w:line="360" w:lineRule="auto"/>
        <w:jc w:val="both"/>
        <w:rPr>
          <w:rFonts w:ascii="Arial" w:hAnsi="Arial" w:cs="Arial"/>
          <w:sz w:val="24"/>
          <w:szCs w:val="24"/>
        </w:rPr>
      </w:pPr>
    </w:p>
    <w:p w14:paraId="2A872602" w14:textId="5F2C7DD3" w:rsidR="0053646D" w:rsidRPr="00F84117" w:rsidRDefault="0053646D"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The applicants are not entitled to the documents under PAIA, as section 7(1) of </w:t>
      </w:r>
      <w:r w:rsidRPr="00F84117">
        <w:rPr>
          <w:rFonts w:ascii="Arial" w:hAnsi="Arial" w:cs="Arial"/>
          <w:sz w:val="24"/>
          <w:szCs w:val="24"/>
        </w:rPr>
        <w:lastRenderedPageBreak/>
        <w:t>PAIA precludes the disclosure of documents under that Act after the institution of legal proceedings (</w:t>
      </w:r>
      <w:r w:rsidRPr="00F84117">
        <w:rPr>
          <w:rFonts w:ascii="Arial" w:hAnsi="Arial" w:cs="Arial"/>
          <w:i/>
          <w:iCs/>
          <w:sz w:val="24"/>
          <w:szCs w:val="24"/>
        </w:rPr>
        <w:t>Unitas Hospital v Van Wyk</w:t>
      </w:r>
      <w:r w:rsidRPr="00F84117">
        <w:rPr>
          <w:rFonts w:ascii="Arial" w:hAnsi="Arial" w:cs="Arial"/>
          <w:sz w:val="24"/>
          <w:szCs w:val="24"/>
        </w:rPr>
        <w:t xml:space="preserve"> 2006 (4) SA 436 (SCA) at 445A).</w:t>
      </w:r>
    </w:p>
    <w:p w14:paraId="1DC9DA31" w14:textId="77777777" w:rsidR="0053646D" w:rsidRPr="00F84117" w:rsidRDefault="0053646D" w:rsidP="00F84117">
      <w:pPr>
        <w:pStyle w:val="ListParagraph"/>
        <w:widowControl w:val="0"/>
        <w:spacing w:after="0" w:line="360" w:lineRule="auto"/>
        <w:jc w:val="both"/>
        <w:rPr>
          <w:rFonts w:ascii="Arial" w:hAnsi="Arial" w:cs="Arial"/>
          <w:sz w:val="24"/>
          <w:szCs w:val="24"/>
        </w:rPr>
      </w:pPr>
    </w:p>
    <w:p w14:paraId="55C92FF8" w14:textId="79E1ED25" w:rsidR="00AA2131" w:rsidRPr="00F84117" w:rsidRDefault="00473F68" w:rsidP="00F84117">
      <w:pPr>
        <w:pStyle w:val="ListParagraph"/>
        <w:widowControl w:val="0"/>
        <w:numPr>
          <w:ilvl w:val="0"/>
          <w:numId w:val="3"/>
        </w:numPr>
        <w:spacing w:after="0" w:line="360" w:lineRule="auto"/>
        <w:ind w:left="567" w:hanging="567"/>
        <w:jc w:val="both"/>
        <w:rPr>
          <w:rFonts w:ascii="Arial" w:hAnsi="Arial" w:cs="Arial"/>
          <w:sz w:val="24"/>
          <w:szCs w:val="24"/>
        </w:rPr>
      </w:pPr>
      <w:r w:rsidRPr="00F84117">
        <w:rPr>
          <w:rFonts w:ascii="Arial" w:hAnsi="Arial" w:cs="Arial"/>
          <w:sz w:val="24"/>
          <w:szCs w:val="24"/>
        </w:rPr>
        <w:t xml:space="preserve">I am not inclined to exercise my discretion in the applicants’ favour in these circumstances.  </w:t>
      </w:r>
      <w:r w:rsidR="00AA2131" w:rsidRPr="00F84117">
        <w:rPr>
          <w:rFonts w:ascii="Arial" w:hAnsi="Arial" w:cs="Arial"/>
          <w:sz w:val="24"/>
          <w:szCs w:val="24"/>
        </w:rPr>
        <w:t xml:space="preserve">The applicants </w:t>
      </w:r>
      <w:r w:rsidRPr="00F84117">
        <w:rPr>
          <w:rFonts w:ascii="Arial" w:hAnsi="Arial" w:cs="Arial"/>
          <w:sz w:val="24"/>
          <w:szCs w:val="24"/>
        </w:rPr>
        <w:t xml:space="preserve">have </w:t>
      </w:r>
      <w:r w:rsidR="00AA2131" w:rsidRPr="00F84117">
        <w:rPr>
          <w:rFonts w:ascii="Arial" w:hAnsi="Arial" w:cs="Arial"/>
          <w:sz w:val="24"/>
          <w:szCs w:val="24"/>
        </w:rPr>
        <w:t xml:space="preserve">therefore </w:t>
      </w:r>
      <w:r w:rsidRPr="00F84117">
        <w:rPr>
          <w:rFonts w:ascii="Arial" w:hAnsi="Arial" w:cs="Arial"/>
          <w:sz w:val="24"/>
          <w:szCs w:val="24"/>
        </w:rPr>
        <w:t xml:space="preserve">not </w:t>
      </w:r>
      <w:r w:rsidR="00AA2131" w:rsidRPr="00F84117">
        <w:rPr>
          <w:rFonts w:ascii="Arial" w:hAnsi="Arial" w:cs="Arial"/>
          <w:sz w:val="24"/>
          <w:szCs w:val="24"/>
        </w:rPr>
        <w:t>made out a case for the discovery and production of the documents contemplated</w:t>
      </w:r>
      <w:r w:rsidRPr="00F84117">
        <w:rPr>
          <w:rFonts w:ascii="Arial" w:hAnsi="Arial" w:cs="Arial"/>
          <w:sz w:val="24"/>
          <w:szCs w:val="24"/>
        </w:rPr>
        <w:t xml:space="preserve"> in t</w:t>
      </w:r>
      <w:r w:rsidR="00AA2131" w:rsidRPr="00F84117">
        <w:rPr>
          <w:rFonts w:ascii="Arial" w:hAnsi="Arial" w:cs="Arial"/>
          <w:sz w:val="24"/>
          <w:szCs w:val="24"/>
        </w:rPr>
        <w:t>he notice of motion.</w:t>
      </w:r>
    </w:p>
    <w:p w14:paraId="5C5CA00A" w14:textId="77777777" w:rsidR="00AA2131" w:rsidRPr="00F84117" w:rsidRDefault="00AA2131" w:rsidP="00F84117">
      <w:pPr>
        <w:widowControl w:val="0"/>
        <w:spacing w:after="0" w:line="360" w:lineRule="auto"/>
        <w:jc w:val="both"/>
        <w:rPr>
          <w:rFonts w:ascii="Arial" w:hAnsi="Arial" w:cs="Arial"/>
          <w:sz w:val="24"/>
          <w:szCs w:val="24"/>
        </w:rPr>
      </w:pPr>
    </w:p>
    <w:p w14:paraId="3F9E36A1" w14:textId="77777777" w:rsidR="003C0D4B" w:rsidRPr="00F84117" w:rsidRDefault="00A80C68" w:rsidP="00F84117">
      <w:pPr>
        <w:widowControl w:val="0"/>
        <w:spacing w:after="0" w:line="360" w:lineRule="auto"/>
        <w:jc w:val="both"/>
        <w:rPr>
          <w:rFonts w:ascii="Arial" w:hAnsi="Arial" w:cs="Arial"/>
          <w:bCs/>
          <w:sz w:val="24"/>
          <w:szCs w:val="24"/>
        </w:rPr>
      </w:pPr>
      <w:r w:rsidRPr="00F84117">
        <w:rPr>
          <w:rFonts w:ascii="Arial" w:hAnsi="Arial" w:cs="Arial"/>
          <w:b/>
          <w:bCs/>
          <w:sz w:val="24"/>
          <w:szCs w:val="24"/>
          <w:u w:val="single"/>
        </w:rPr>
        <w:t>Costs</w:t>
      </w:r>
    </w:p>
    <w:p w14:paraId="7DDA95C8" w14:textId="77777777" w:rsidR="003C0D4B" w:rsidRPr="00F84117" w:rsidRDefault="003C0D4B" w:rsidP="00F84117">
      <w:pPr>
        <w:pStyle w:val="ListParagraph"/>
        <w:widowControl w:val="0"/>
        <w:spacing w:after="0" w:line="360" w:lineRule="auto"/>
        <w:ind w:left="630"/>
        <w:jc w:val="both"/>
        <w:rPr>
          <w:rFonts w:ascii="Arial" w:hAnsi="Arial" w:cs="Arial"/>
          <w:bCs/>
          <w:sz w:val="24"/>
          <w:szCs w:val="24"/>
        </w:rPr>
      </w:pPr>
    </w:p>
    <w:p w14:paraId="656587D5" w14:textId="77777777" w:rsidR="003C0D4B" w:rsidRPr="00F84117" w:rsidRDefault="00A04F9E" w:rsidP="00F84117">
      <w:pPr>
        <w:pStyle w:val="ListParagraph"/>
        <w:widowControl w:val="0"/>
        <w:numPr>
          <w:ilvl w:val="0"/>
          <w:numId w:val="3"/>
        </w:numPr>
        <w:spacing w:after="0" w:line="360" w:lineRule="auto"/>
        <w:ind w:left="630" w:hanging="630"/>
        <w:jc w:val="both"/>
        <w:rPr>
          <w:rFonts w:ascii="Arial" w:hAnsi="Arial" w:cs="Arial"/>
          <w:bCs/>
          <w:sz w:val="24"/>
          <w:szCs w:val="24"/>
        </w:rPr>
      </w:pPr>
      <w:r w:rsidRPr="00F84117">
        <w:rPr>
          <w:rFonts w:ascii="Arial" w:hAnsi="Arial" w:cs="Arial"/>
          <w:sz w:val="24"/>
          <w:szCs w:val="24"/>
        </w:rPr>
        <w:t xml:space="preserve">The </w:t>
      </w:r>
      <w:r w:rsidR="003B7D5A" w:rsidRPr="00F84117">
        <w:rPr>
          <w:rFonts w:ascii="Arial" w:hAnsi="Arial" w:cs="Arial"/>
          <w:sz w:val="24"/>
          <w:szCs w:val="24"/>
        </w:rPr>
        <w:t>Blue Café</w:t>
      </w:r>
      <w:r w:rsidRPr="00F84117">
        <w:rPr>
          <w:rFonts w:ascii="Arial" w:hAnsi="Arial" w:cs="Arial"/>
          <w:sz w:val="24"/>
          <w:szCs w:val="24"/>
        </w:rPr>
        <w:t xml:space="preserve"> seek</w:t>
      </w:r>
      <w:r w:rsidR="003B7D5A" w:rsidRPr="00F84117">
        <w:rPr>
          <w:rFonts w:ascii="Arial" w:hAnsi="Arial" w:cs="Arial"/>
          <w:sz w:val="24"/>
          <w:szCs w:val="24"/>
        </w:rPr>
        <w:t>s</w:t>
      </w:r>
      <w:r w:rsidRPr="00F84117">
        <w:rPr>
          <w:rFonts w:ascii="Arial" w:hAnsi="Arial" w:cs="Arial"/>
          <w:sz w:val="24"/>
          <w:szCs w:val="24"/>
        </w:rPr>
        <w:t xml:space="preserve"> a punitive costs order from the </w:t>
      </w:r>
      <w:r w:rsidR="003B7D5A" w:rsidRPr="00F84117">
        <w:rPr>
          <w:rFonts w:ascii="Arial" w:hAnsi="Arial" w:cs="Arial"/>
          <w:sz w:val="24"/>
          <w:szCs w:val="24"/>
        </w:rPr>
        <w:t>applicants</w:t>
      </w:r>
      <w:r w:rsidRPr="00F84117">
        <w:rPr>
          <w:rFonts w:ascii="Arial" w:hAnsi="Arial" w:cs="Arial"/>
          <w:sz w:val="24"/>
          <w:szCs w:val="24"/>
        </w:rPr>
        <w:t>.</w:t>
      </w:r>
      <w:r w:rsidR="003B7D5A" w:rsidRPr="00F84117">
        <w:rPr>
          <w:rFonts w:ascii="Arial" w:hAnsi="Arial" w:cs="Arial"/>
          <w:sz w:val="24"/>
          <w:szCs w:val="24"/>
        </w:rPr>
        <w:t xml:space="preserve">  </w:t>
      </w:r>
      <w:r w:rsidR="00A80C68" w:rsidRPr="00F84117">
        <w:rPr>
          <w:rFonts w:ascii="Arial" w:hAnsi="Arial" w:cs="Arial"/>
          <w:sz w:val="24"/>
          <w:szCs w:val="24"/>
        </w:rPr>
        <w:t xml:space="preserve">The </w:t>
      </w:r>
      <w:r w:rsidR="003B7D5A" w:rsidRPr="00F84117">
        <w:rPr>
          <w:rFonts w:ascii="Arial" w:hAnsi="Arial" w:cs="Arial"/>
          <w:sz w:val="24"/>
          <w:szCs w:val="24"/>
        </w:rPr>
        <w:t>respondents</w:t>
      </w:r>
      <w:r w:rsidR="00A80C68" w:rsidRPr="00F84117">
        <w:rPr>
          <w:rFonts w:ascii="Arial" w:hAnsi="Arial" w:cs="Arial"/>
          <w:sz w:val="24"/>
          <w:szCs w:val="24"/>
        </w:rPr>
        <w:t xml:space="preserve"> were the successful parties in the litigation and I </w:t>
      </w:r>
      <w:r w:rsidR="003B7D5A" w:rsidRPr="00F84117">
        <w:rPr>
          <w:rFonts w:ascii="Arial" w:hAnsi="Arial" w:cs="Arial"/>
          <w:sz w:val="24"/>
          <w:szCs w:val="24"/>
        </w:rPr>
        <w:t xml:space="preserve">can </w:t>
      </w:r>
      <w:r w:rsidR="00A80C68" w:rsidRPr="00F84117">
        <w:rPr>
          <w:rFonts w:ascii="Arial" w:hAnsi="Arial" w:cs="Arial"/>
          <w:sz w:val="24"/>
          <w:szCs w:val="24"/>
        </w:rPr>
        <w:t xml:space="preserve">see no reason for deviating from the general principle that costs </w:t>
      </w:r>
      <w:r w:rsidR="003B7D5A" w:rsidRPr="00F84117">
        <w:rPr>
          <w:rFonts w:ascii="Arial" w:hAnsi="Arial" w:cs="Arial"/>
          <w:sz w:val="24"/>
          <w:szCs w:val="24"/>
        </w:rPr>
        <w:t xml:space="preserve">should </w:t>
      </w:r>
      <w:r w:rsidR="00A80C68" w:rsidRPr="00F84117">
        <w:rPr>
          <w:rFonts w:ascii="Arial" w:hAnsi="Arial" w:cs="Arial"/>
          <w:sz w:val="24"/>
          <w:szCs w:val="24"/>
        </w:rPr>
        <w:t>follow the result.</w:t>
      </w:r>
    </w:p>
    <w:p w14:paraId="6A93FF08" w14:textId="77777777" w:rsidR="003C0D4B" w:rsidRPr="00F84117" w:rsidRDefault="003C0D4B" w:rsidP="00F84117">
      <w:pPr>
        <w:pStyle w:val="ListParagraph"/>
        <w:widowControl w:val="0"/>
        <w:spacing w:after="0" w:line="360" w:lineRule="auto"/>
        <w:ind w:left="630"/>
        <w:jc w:val="both"/>
        <w:rPr>
          <w:rFonts w:ascii="Arial" w:hAnsi="Arial" w:cs="Arial"/>
          <w:bCs/>
          <w:sz w:val="24"/>
          <w:szCs w:val="24"/>
        </w:rPr>
      </w:pPr>
    </w:p>
    <w:p w14:paraId="2F7D0493" w14:textId="0318D445" w:rsidR="003B7D5A" w:rsidRPr="00F84117" w:rsidRDefault="003B7D5A" w:rsidP="00F84117">
      <w:pPr>
        <w:pStyle w:val="ListParagraph"/>
        <w:widowControl w:val="0"/>
        <w:numPr>
          <w:ilvl w:val="0"/>
          <w:numId w:val="3"/>
        </w:numPr>
        <w:spacing w:after="0" w:line="360" w:lineRule="auto"/>
        <w:ind w:left="630" w:hanging="630"/>
        <w:jc w:val="both"/>
        <w:rPr>
          <w:rFonts w:ascii="Arial" w:hAnsi="Arial" w:cs="Arial"/>
          <w:bCs/>
          <w:sz w:val="24"/>
          <w:szCs w:val="24"/>
        </w:rPr>
      </w:pPr>
      <w:r w:rsidRPr="00F84117">
        <w:rPr>
          <w:rFonts w:ascii="Arial" w:hAnsi="Arial" w:cs="Arial"/>
          <w:sz w:val="24"/>
          <w:szCs w:val="24"/>
        </w:rPr>
        <w:t xml:space="preserve">I am, however, not inclined to grant costs on a punitive scale.  </w:t>
      </w:r>
      <w:r w:rsidRPr="00F84117">
        <w:rPr>
          <w:rFonts w:ascii="Arial" w:hAnsi="Arial" w:cs="Arial"/>
          <w:sz w:val="24"/>
          <w:szCs w:val="24"/>
          <w:lang w:val="en-US"/>
        </w:rPr>
        <w:t>Punitive costs orders should generally be reserved for litigants who are guilty of dishonesty or fraud or some other conduct which is to be frowned upon by the Court: “</w:t>
      </w:r>
      <w:r w:rsidRPr="00F84117">
        <w:rPr>
          <w:rFonts w:ascii="Arial" w:hAnsi="Arial" w:cs="Arial"/>
          <w:i/>
          <w:iCs/>
          <w:sz w:val="24"/>
          <w:szCs w:val="24"/>
          <w:shd w:val="clear" w:color="auto" w:fill="FFFFFF"/>
        </w:rPr>
        <w:t>The scale of attorney and client is an extra-ordinary one which should be reserved for cases where it can be found that a litigant conducted itself in a clear and indubitably vexatious and reprehensible conduct. Such an award is exceptional and is intended to be very punitive and indicative of extreme opprobrium</w:t>
      </w:r>
      <w:r w:rsidRPr="00F84117">
        <w:rPr>
          <w:rFonts w:ascii="Arial" w:hAnsi="Arial" w:cs="Arial"/>
          <w:sz w:val="24"/>
          <w:szCs w:val="24"/>
          <w:shd w:val="clear" w:color="auto" w:fill="FFFFFF"/>
        </w:rPr>
        <w:t>”</w:t>
      </w:r>
      <w:r w:rsidR="003C0D4B" w:rsidRPr="00F84117">
        <w:rPr>
          <w:rFonts w:ascii="Arial" w:hAnsi="Arial" w:cs="Arial"/>
          <w:sz w:val="24"/>
          <w:szCs w:val="24"/>
          <w:shd w:val="clear" w:color="auto" w:fill="FFFFFF"/>
        </w:rPr>
        <w:t xml:space="preserve"> (</w:t>
      </w:r>
      <w:r w:rsidR="003C0D4B" w:rsidRPr="00F84117">
        <w:rPr>
          <w:rFonts w:ascii="Arial" w:hAnsi="Arial" w:cs="Arial"/>
          <w:i/>
          <w:iCs/>
          <w:sz w:val="24"/>
          <w:szCs w:val="24"/>
        </w:rPr>
        <w:t>Plastic Converters Association of South Africa (PCASA) Obo Members v National Union of Metalworkers Union of South Africa and Others</w:t>
      </w:r>
      <w:r w:rsidR="003C0D4B" w:rsidRPr="00F84117">
        <w:rPr>
          <w:rFonts w:ascii="Arial" w:hAnsi="Arial" w:cs="Arial"/>
          <w:b/>
          <w:bCs/>
          <w:sz w:val="24"/>
          <w:szCs w:val="24"/>
        </w:rPr>
        <w:t xml:space="preserve"> </w:t>
      </w:r>
      <w:r w:rsidR="003C0D4B" w:rsidRPr="00F84117">
        <w:rPr>
          <w:rFonts w:ascii="Arial" w:hAnsi="Arial" w:cs="Arial"/>
          <w:sz w:val="24"/>
          <w:szCs w:val="24"/>
        </w:rPr>
        <w:t>(JA112/14) [2016] ZALAC 37 (6 July 2016) at para [46])</w:t>
      </w:r>
      <w:r w:rsidRPr="00F84117">
        <w:rPr>
          <w:rFonts w:ascii="Arial" w:hAnsi="Arial" w:cs="Arial"/>
          <w:sz w:val="24"/>
          <w:szCs w:val="24"/>
          <w:shd w:val="clear" w:color="auto" w:fill="FFFFFF"/>
        </w:rPr>
        <w:t xml:space="preserve">.  I do not think that the applicants conducted themselves in a manner to be frowned upon by the Court, even though </w:t>
      </w:r>
      <w:r w:rsidR="003C0D4B" w:rsidRPr="00F84117">
        <w:rPr>
          <w:rFonts w:ascii="Arial" w:hAnsi="Arial" w:cs="Arial"/>
          <w:sz w:val="24"/>
          <w:szCs w:val="24"/>
          <w:shd w:val="clear" w:color="auto" w:fill="FFFFFF"/>
        </w:rPr>
        <w:t>the relief sought was far-reaching.</w:t>
      </w:r>
    </w:p>
    <w:p w14:paraId="5D196EE7" w14:textId="77777777" w:rsidR="00A80C68" w:rsidRPr="00F84117" w:rsidRDefault="00A80C68" w:rsidP="00F84117">
      <w:pPr>
        <w:pStyle w:val="FootnoteText"/>
        <w:widowControl w:val="0"/>
        <w:tabs>
          <w:tab w:val="left" w:pos="90"/>
        </w:tabs>
        <w:spacing w:line="360" w:lineRule="auto"/>
        <w:jc w:val="both"/>
        <w:rPr>
          <w:rFonts w:ascii="Arial" w:hAnsi="Arial" w:cs="Arial"/>
          <w:sz w:val="24"/>
          <w:szCs w:val="24"/>
        </w:rPr>
      </w:pPr>
    </w:p>
    <w:p w14:paraId="33C06F68" w14:textId="77777777" w:rsidR="00A80C68" w:rsidRPr="00F84117" w:rsidRDefault="00A80C68" w:rsidP="00F84117">
      <w:pPr>
        <w:pStyle w:val="FootnoteText"/>
        <w:widowControl w:val="0"/>
        <w:tabs>
          <w:tab w:val="left" w:pos="90"/>
        </w:tabs>
        <w:spacing w:line="360" w:lineRule="auto"/>
        <w:jc w:val="both"/>
        <w:rPr>
          <w:rFonts w:ascii="Arial" w:hAnsi="Arial" w:cs="Arial"/>
          <w:b/>
          <w:bCs/>
          <w:sz w:val="24"/>
          <w:szCs w:val="24"/>
          <w:u w:val="single"/>
        </w:rPr>
      </w:pPr>
      <w:r w:rsidRPr="00F84117">
        <w:rPr>
          <w:rFonts w:ascii="Arial" w:hAnsi="Arial" w:cs="Arial"/>
          <w:b/>
          <w:bCs/>
          <w:sz w:val="24"/>
          <w:szCs w:val="24"/>
          <w:u w:val="single"/>
        </w:rPr>
        <w:t>Order</w:t>
      </w:r>
    </w:p>
    <w:p w14:paraId="787EBA4D" w14:textId="77777777" w:rsidR="00A80C68" w:rsidRPr="00F84117" w:rsidRDefault="00A80C68" w:rsidP="00F84117">
      <w:pPr>
        <w:pStyle w:val="FootnoteText"/>
        <w:widowControl w:val="0"/>
        <w:tabs>
          <w:tab w:val="left" w:pos="90"/>
        </w:tabs>
        <w:spacing w:line="360" w:lineRule="auto"/>
        <w:ind w:left="720"/>
        <w:jc w:val="both"/>
        <w:rPr>
          <w:rFonts w:ascii="Arial" w:hAnsi="Arial" w:cs="Arial"/>
          <w:sz w:val="24"/>
          <w:szCs w:val="24"/>
        </w:rPr>
      </w:pPr>
    </w:p>
    <w:p w14:paraId="30BE0DCA" w14:textId="65EB73B3" w:rsidR="00A80C68" w:rsidRPr="00F84117" w:rsidRDefault="00A80C68" w:rsidP="00F84117">
      <w:pPr>
        <w:pStyle w:val="FootnoteText"/>
        <w:widowControl w:val="0"/>
        <w:numPr>
          <w:ilvl w:val="0"/>
          <w:numId w:val="3"/>
        </w:numPr>
        <w:tabs>
          <w:tab w:val="left" w:pos="540"/>
        </w:tabs>
        <w:spacing w:line="360" w:lineRule="auto"/>
        <w:ind w:left="630" w:hanging="630"/>
        <w:jc w:val="both"/>
        <w:rPr>
          <w:rFonts w:ascii="Arial" w:hAnsi="Arial" w:cs="Arial"/>
          <w:sz w:val="24"/>
          <w:szCs w:val="24"/>
        </w:rPr>
      </w:pPr>
      <w:r w:rsidRPr="00F84117">
        <w:rPr>
          <w:rFonts w:ascii="Arial" w:hAnsi="Arial" w:cs="Arial"/>
          <w:sz w:val="24"/>
          <w:szCs w:val="24"/>
        </w:rPr>
        <w:t xml:space="preserve">In all of these circumstances, </w:t>
      </w:r>
      <w:r w:rsidR="003B7D5A" w:rsidRPr="00F84117">
        <w:rPr>
          <w:rFonts w:ascii="Arial" w:hAnsi="Arial" w:cs="Arial"/>
          <w:sz w:val="24"/>
          <w:szCs w:val="24"/>
        </w:rPr>
        <w:t>it is ordered as follows:</w:t>
      </w:r>
    </w:p>
    <w:p w14:paraId="306F8937" w14:textId="77777777" w:rsidR="003B7D5A" w:rsidRPr="00F84117" w:rsidRDefault="003B7D5A" w:rsidP="00F84117">
      <w:pPr>
        <w:pStyle w:val="FootnoteText"/>
        <w:widowControl w:val="0"/>
        <w:tabs>
          <w:tab w:val="left" w:pos="90"/>
        </w:tabs>
        <w:spacing w:line="360" w:lineRule="auto"/>
        <w:ind w:left="360"/>
        <w:jc w:val="both"/>
        <w:rPr>
          <w:rFonts w:ascii="Arial" w:hAnsi="Arial" w:cs="Arial"/>
          <w:b/>
          <w:bCs/>
          <w:sz w:val="24"/>
          <w:szCs w:val="24"/>
          <w:u w:val="single"/>
        </w:rPr>
      </w:pPr>
    </w:p>
    <w:p w14:paraId="0DB56DF6" w14:textId="2F06D275" w:rsidR="003B7D5A" w:rsidRPr="00F84117" w:rsidRDefault="003B7D5A" w:rsidP="00F84117">
      <w:pPr>
        <w:pStyle w:val="FootnoteText"/>
        <w:widowControl w:val="0"/>
        <w:tabs>
          <w:tab w:val="left" w:pos="90"/>
        </w:tabs>
        <w:spacing w:line="360" w:lineRule="auto"/>
        <w:ind w:left="720"/>
        <w:jc w:val="both"/>
        <w:rPr>
          <w:rFonts w:ascii="Arial" w:hAnsi="Arial" w:cs="Arial"/>
          <w:b/>
          <w:bCs/>
          <w:sz w:val="24"/>
          <w:szCs w:val="24"/>
          <w:u w:val="single"/>
        </w:rPr>
      </w:pPr>
      <w:r w:rsidRPr="00F84117">
        <w:rPr>
          <w:rFonts w:ascii="Arial" w:hAnsi="Arial" w:cs="Arial"/>
          <w:b/>
          <w:bCs/>
          <w:sz w:val="24"/>
          <w:szCs w:val="24"/>
          <w:u w:val="single"/>
        </w:rPr>
        <w:t>The application is dismissed, with costs, including the costs of two counsel where employed.</w:t>
      </w:r>
    </w:p>
    <w:p w14:paraId="0623D4EE" w14:textId="77777777" w:rsidR="00A80C68" w:rsidRPr="00F84117" w:rsidRDefault="00A80C68" w:rsidP="00F84117">
      <w:pPr>
        <w:widowControl w:val="0"/>
        <w:spacing w:after="0" w:line="360" w:lineRule="auto"/>
        <w:jc w:val="both"/>
        <w:rPr>
          <w:rFonts w:ascii="Arial" w:hAnsi="Arial" w:cs="Arial"/>
          <w:sz w:val="24"/>
          <w:szCs w:val="24"/>
        </w:rPr>
      </w:pPr>
    </w:p>
    <w:p w14:paraId="27AC5A12" w14:textId="77777777" w:rsidR="00A80C68" w:rsidRPr="00387C8B" w:rsidRDefault="00A80C68" w:rsidP="00F84117">
      <w:pPr>
        <w:widowControl w:val="0"/>
        <w:spacing w:after="0" w:line="360" w:lineRule="auto"/>
        <w:ind w:left="4680" w:firstLine="720"/>
        <w:jc w:val="both"/>
        <w:rPr>
          <w:rFonts w:ascii="Arial" w:hAnsi="Arial" w:cs="Arial"/>
          <w:b/>
          <w:sz w:val="24"/>
          <w:szCs w:val="24"/>
        </w:rPr>
      </w:pPr>
      <w:r w:rsidRPr="00387C8B">
        <w:rPr>
          <w:rFonts w:ascii="Arial" w:hAnsi="Arial" w:cs="Arial"/>
          <w:b/>
          <w:sz w:val="24"/>
          <w:szCs w:val="24"/>
        </w:rPr>
        <w:lastRenderedPageBreak/>
        <w:t>__________________</w:t>
      </w:r>
    </w:p>
    <w:p w14:paraId="1A083371" w14:textId="77777777" w:rsidR="00A80C68" w:rsidRPr="00B83D53" w:rsidRDefault="00A80C68" w:rsidP="00F84117">
      <w:pPr>
        <w:widowControl w:val="0"/>
        <w:spacing w:after="0" w:line="360" w:lineRule="auto"/>
        <w:ind w:left="4680" w:firstLine="720"/>
        <w:jc w:val="both"/>
        <w:rPr>
          <w:rFonts w:ascii="Arial" w:hAnsi="Arial" w:cs="Arial"/>
          <w:b/>
          <w:bCs/>
          <w:sz w:val="24"/>
          <w:szCs w:val="24"/>
        </w:rPr>
      </w:pPr>
      <w:r w:rsidRPr="00B83D53">
        <w:rPr>
          <w:rFonts w:ascii="Arial" w:hAnsi="Arial" w:cs="Arial"/>
          <w:b/>
          <w:bCs/>
          <w:sz w:val="24"/>
          <w:szCs w:val="24"/>
        </w:rPr>
        <w:t>P. S. VAN ZYL</w:t>
      </w:r>
    </w:p>
    <w:p w14:paraId="47AA33CB" w14:textId="77777777" w:rsidR="00A80C68" w:rsidRPr="00B83D53" w:rsidRDefault="00A80C68" w:rsidP="00F84117">
      <w:pPr>
        <w:widowControl w:val="0"/>
        <w:spacing w:after="0" w:line="360" w:lineRule="auto"/>
        <w:ind w:left="5400"/>
        <w:jc w:val="both"/>
        <w:rPr>
          <w:rFonts w:ascii="Arial" w:hAnsi="Arial" w:cs="Arial"/>
          <w:b/>
          <w:bCs/>
          <w:sz w:val="24"/>
          <w:szCs w:val="24"/>
        </w:rPr>
      </w:pPr>
      <w:r w:rsidRPr="00B83D53">
        <w:rPr>
          <w:rFonts w:ascii="Arial" w:hAnsi="Arial" w:cs="Arial"/>
          <w:b/>
          <w:bCs/>
          <w:sz w:val="24"/>
          <w:szCs w:val="24"/>
        </w:rPr>
        <w:t>Acting judge of the High Court</w:t>
      </w:r>
    </w:p>
    <w:p w14:paraId="6791BFFF" w14:textId="77777777" w:rsidR="00A80C68" w:rsidRPr="00B83D53" w:rsidRDefault="00A80C68" w:rsidP="00B83D53">
      <w:pPr>
        <w:widowControl w:val="0"/>
        <w:spacing w:after="0" w:line="360" w:lineRule="auto"/>
        <w:ind w:left="360"/>
        <w:jc w:val="both"/>
        <w:rPr>
          <w:rFonts w:ascii="Arial" w:hAnsi="Arial" w:cs="Arial"/>
          <w:sz w:val="24"/>
          <w:szCs w:val="24"/>
        </w:rPr>
      </w:pPr>
    </w:p>
    <w:p w14:paraId="5D7F7DE4" w14:textId="77777777" w:rsidR="00A80C68" w:rsidRPr="00B83D53" w:rsidRDefault="00A80C68" w:rsidP="00B83D53">
      <w:pPr>
        <w:widowControl w:val="0"/>
        <w:spacing w:after="0" w:line="360" w:lineRule="auto"/>
        <w:ind w:left="360"/>
        <w:jc w:val="both"/>
        <w:rPr>
          <w:rFonts w:ascii="Arial" w:hAnsi="Arial" w:cs="Arial"/>
          <w:sz w:val="24"/>
          <w:szCs w:val="24"/>
        </w:rPr>
      </w:pPr>
      <w:r w:rsidRPr="00B83D53">
        <w:rPr>
          <w:rFonts w:ascii="Arial" w:hAnsi="Arial" w:cs="Arial"/>
          <w:b/>
          <w:bCs/>
          <w:sz w:val="24"/>
          <w:szCs w:val="24"/>
          <w:u w:val="single"/>
        </w:rPr>
        <w:t>Appearances</w:t>
      </w:r>
      <w:r w:rsidRPr="00B83D53">
        <w:rPr>
          <w:rFonts w:ascii="Arial" w:hAnsi="Arial" w:cs="Arial"/>
          <w:sz w:val="24"/>
          <w:szCs w:val="24"/>
        </w:rPr>
        <w:t>:</w:t>
      </w:r>
    </w:p>
    <w:p w14:paraId="7F0D6F03" w14:textId="77777777" w:rsidR="00A80C68" w:rsidRPr="00B83D53" w:rsidRDefault="00A80C68" w:rsidP="00B83D53">
      <w:pPr>
        <w:widowControl w:val="0"/>
        <w:spacing w:after="0" w:line="360" w:lineRule="auto"/>
        <w:ind w:left="360"/>
        <w:jc w:val="both"/>
        <w:rPr>
          <w:rFonts w:ascii="Arial" w:hAnsi="Arial" w:cs="Arial"/>
          <w:sz w:val="24"/>
          <w:szCs w:val="24"/>
        </w:rPr>
      </w:pPr>
    </w:p>
    <w:p w14:paraId="4168C877" w14:textId="719F2BAF" w:rsidR="00A80C68" w:rsidRPr="00B83D53" w:rsidRDefault="00A80C68" w:rsidP="00B83D53">
      <w:pPr>
        <w:widowControl w:val="0"/>
        <w:spacing w:after="0" w:line="360" w:lineRule="auto"/>
        <w:ind w:left="5040" w:hanging="4680"/>
        <w:jc w:val="both"/>
        <w:rPr>
          <w:rFonts w:ascii="Arial" w:hAnsi="Arial" w:cs="Arial"/>
          <w:sz w:val="24"/>
          <w:szCs w:val="24"/>
        </w:rPr>
      </w:pPr>
      <w:r w:rsidRPr="00B83D53">
        <w:rPr>
          <w:rFonts w:ascii="Arial" w:hAnsi="Arial" w:cs="Arial"/>
          <w:b/>
          <w:bCs/>
          <w:sz w:val="24"/>
          <w:szCs w:val="24"/>
          <w:u w:val="single"/>
        </w:rPr>
        <w:t>For the applicants:</w:t>
      </w:r>
      <w:r w:rsidRPr="00B83D53">
        <w:rPr>
          <w:rFonts w:ascii="Arial" w:hAnsi="Arial" w:cs="Arial"/>
          <w:b/>
          <w:bCs/>
          <w:sz w:val="24"/>
          <w:szCs w:val="24"/>
        </w:rPr>
        <w:tab/>
      </w:r>
      <w:r w:rsidRPr="00B83D53">
        <w:rPr>
          <w:rFonts w:ascii="Arial" w:hAnsi="Arial" w:cs="Arial"/>
          <w:sz w:val="24"/>
          <w:szCs w:val="24"/>
        </w:rPr>
        <w:t xml:space="preserve">T. Barnard SC, instructed by </w:t>
      </w:r>
      <w:r w:rsidR="009F52CB" w:rsidRPr="00B83D53">
        <w:rPr>
          <w:rFonts w:ascii="Arial" w:hAnsi="Arial" w:cs="Arial"/>
          <w:sz w:val="24"/>
          <w:szCs w:val="24"/>
        </w:rPr>
        <w:t>Vaughan Ulyate &amp; Associates</w:t>
      </w:r>
      <w:r w:rsidRPr="00B83D53">
        <w:rPr>
          <w:rFonts w:ascii="Arial" w:hAnsi="Arial" w:cs="Arial"/>
          <w:sz w:val="24"/>
          <w:szCs w:val="24"/>
        </w:rPr>
        <w:t>.</w:t>
      </w:r>
    </w:p>
    <w:p w14:paraId="6BDF592A" w14:textId="77777777" w:rsidR="00A80C68" w:rsidRPr="00B83D53" w:rsidRDefault="00A80C68" w:rsidP="00B83D53">
      <w:pPr>
        <w:widowControl w:val="0"/>
        <w:spacing w:after="0" w:line="360" w:lineRule="auto"/>
        <w:ind w:left="360"/>
        <w:jc w:val="both"/>
        <w:rPr>
          <w:rFonts w:ascii="Arial" w:hAnsi="Arial" w:cs="Arial"/>
          <w:sz w:val="24"/>
          <w:szCs w:val="24"/>
          <w:u w:val="single"/>
        </w:rPr>
      </w:pPr>
    </w:p>
    <w:p w14:paraId="726C9B96" w14:textId="2467CF05" w:rsidR="00A80C68" w:rsidRPr="00B83D53" w:rsidRDefault="00A80C68" w:rsidP="00B83D53">
      <w:pPr>
        <w:widowControl w:val="0"/>
        <w:spacing w:after="0" w:line="360" w:lineRule="auto"/>
        <w:ind w:left="5040" w:hanging="4680"/>
        <w:jc w:val="both"/>
        <w:rPr>
          <w:rFonts w:ascii="Arial" w:hAnsi="Arial" w:cs="Arial"/>
          <w:sz w:val="24"/>
          <w:szCs w:val="24"/>
        </w:rPr>
      </w:pPr>
      <w:r w:rsidRPr="00B83D53">
        <w:rPr>
          <w:rFonts w:ascii="Arial" w:hAnsi="Arial" w:cs="Arial"/>
          <w:b/>
          <w:bCs/>
          <w:sz w:val="24"/>
          <w:szCs w:val="24"/>
          <w:u w:val="single"/>
        </w:rPr>
        <w:t>For the first respondent:</w:t>
      </w:r>
      <w:r w:rsidRPr="00B83D53">
        <w:rPr>
          <w:rFonts w:ascii="Arial" w:hAnsi="Arial" w:cs="Arial"/>
          <w:sz w:val="24"/>
          <w:szCs w:val="24"/>
        </w:rPr>
        <w:tab/>
        <w:t>R. Paschke SC</w:t>
      </w:r>
      <w:r w:rsidR="00F77045" w:rsidRPr="00B83D53">
        <w:rPr>
          <w:rFonts w:ascii="Arial" w:hAnsi="Arial" w:cs="Arial"/>
          <w:sz w:val="24"/>
          <w:szCs w:val="24"/>
        </w:rPr>
        <w:t xml:space="preserve"> and A. du Toit</w:t>
      </w:r>
      <w:r w:rsidRPr="00B83D53">
        <w:rPr>
          <w:rFonts w:ascii="Arial" w:hAnsi="Arial" w:cs="Arial"/>
          <w:sz w:val="24"/>
          <w:szCs w:val="24"/>
        </w:rPr>
        <w:t xml:space="preserve">, instructed by </w:t>
      </w:r>
      <w:r w:rsidR="00F77045" w:rsidRPr="00B83D53">
        <w:rPr>
          <w:rFonts w:ascii="Arial" w:hAnsi="Arial" w:cs="Arial"/>
          <w:sz w:val="24"/>
          <w:szCs w:val="24"/>
        </w:rPr>
        <w:t>Timothy &amp; Timothy Inc.</w:t>
      </w:r>
    </w:p>
    <w:p w14:paraId="2FF259B5" w14:textId="77777777" w:rsidR="00493428" w:rsidRPr="00B83D53" w:rsidRDefault="00493428" w:rsidP="00B83D53">
      <w:pPr>
        <w:widowControl w:val="0"/>
        <w:spacing w:after="0" w:line="360" w:lineRule="auto"/>
        <w:ind w:left="5040" w:hanging="4680"/>
        <w:jc w:val="both"/>
        <w:rPr>
          <w:rFonts w:ascii="Arial" w:hAnsi="Arial" w:cs="Arial"/>
          <w:b/>
          <w:bCs/>
          <w:sz w:val="24"/>
          <w:szCs w:val="24"/>
          <w:u w:val="single"/>
        </w:rPr>
      </w:pPr>
    </w:p>
    <w:p w14:paraId="1F32C389" w14:textId="5F8DE635" w:rsidR="003848E6" w:rsidRPr="00B83D53" w:rsidRDefault="003848E6" w:rsidP="00B83D53">
      <w:pPr>
        <w:widowControl w:val="0"/>
        <w:spacing w:after="0" w:line="360" w:lineRule="auto"/>
        <w:ind w:left="5040" w:hanging="4680"/>
        <w:jc w:val="both"/>
        <w:rPr>
          <w:rFonts w:ascii="Arial" w:hAnsi="Arial" w:cs="Arial"/>
          <w:sz w:val="24"/>
          <w:szCs w:val="24"/>
          <w:u w:val="single"/>
        </w:rPr>
      </w:pPr>
      <w:r w:rsidRPr="00B83D53">
        <w:rPr>
          <w:rFonts w:ascii="Arial" w:hAnsi="Arial" w:cs="Arial"/>
          <w:b/>
          <w:bCs/>
          <w:sz w:val="24"/>
          <w:szCs w:val="24"/>
          <w:u w:val="single"/>
        </w:rPr>
        <w:t>For the second and third respondents:</w:t>
      </w:r>
      <w:r w:rsidRPr="00B83D53">
        <w:rPr>
          <w:rFonts w:ascii="Arial" w:hAnsi="Arial" w:cs="Arial"/>
          <w:b/>
          <w:bCs/>
          <w:sz w:val="24"/>
          <w:szCs w:val="24"/>
        </w:rPr>
        <w:tab/>
      </w:r>
      <w:r w:rsidRPr="00B83D53">
        <w:rPr>
          <w:rFonts w:ascii="Arial" w:hAnsi="Arial" w:cs="Arial"/>
          <w:sz w:val="24"/>
          <w:szCs w:val="24"/>
        </w:rPr>
        <w:t xml:space="preserve">G. Quixley and </w:t>
      </w:r>
      <w:r w:rsidR="003B7D5A" w:rsidRPr="00B83D53">
        <w:rPr>
          <w:rFonts w:ascii="Arial" w:hAnsi="Arial" w:cs="Arial"/>
          <w:sz w:val="24"/>
          <w:szCs w:val="24"/>
        </w:rPr>
        <w:t>G Loubser</w:t>
      </w:r>
    </w:p>
    <w:p w14:paraId="65C48472" w14:textId="77777777" w:rsidR="00A80C68" w:rsidRPr="00B83D53" w:rsidRDefault="00A80C68" w:rsidP="00B83D53">
      <w:pPr>
        <w:pStyle w:val="ListParagraph"/>
        <w:widowControl w:val="0"/>
        <w:spacing w:after="0" w:line="360" w:lineRule="auto"/>
        <w:rPr>
          <w:rFonts w:ascii="Arial" w:hAnsi="Arial" w:cs="Arial"/>
          <w:sz w:val="24"/>
          <w:szCs w:val="24"/>
          <w:lang w:val="en-US"/>
        </w:rPr>
      </w:pPr>
    </w:p>
    <w:p w14:paraId="57E7AEA1" w14:textId="77777777" w:rsidR="00A80C68" w:rsidRPr="00B83D53" w:rsidRDefault="00A80C68" w:rsidP="00B83D53">
      <w:pPr>
        <w:widowControl w:val="0"/>
        <w:spacing w:after="0" w:line="360" w:lineRule="auto"/>
        <w:jc w:val="both"/>
        <w:rPr>
          <w:rFonts w:ascii="Arial" w:hAnsi="Arial" w:cs="Arial"/>
          <w:sz w:val="24"/>
          <w:szCs w:val="24"/>
        </w:rPr>
      </w:pPr>
    </w:p>
    <w:sectPr w:rsidR="00A80C68" w:rsidRPr="00B83D53" w:rsidSect="00057D19">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852D" w14:textId="77777777" w:rsidR="009A61FD" w:rsidRDefault="009A61FD" w:rsidP="00057D19">
      <w:pPr>
        <w:spacing w:after="0" w:line="240" w:lineRule="auto"/>
      </w:pPr>
      <w:r>
        <w:separator/>
      </w:r>
    </w:p>
  </w:endnote>
  <w:endnote w:type="continuationSeparator" w:id="0">
    <w:p w14:paraId="0C3C80BE" w14:textId="77777777" w:rsidR="009A61FD" w:rsidRDefault="009A61FD" w:rsidP="0005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A7CA" w14:textId="77777777" w:rsidR="009A61FD" w:rsidRDefault="009A61FD" w:rsidP="00057D19">
      <w:pPr>
        <w:spacing w:after="0" w:line="240" w:lineRule="auto"/>
      </w:pPr>
      <w:r>
        <w:separator/>
      </w:r>
    </w:p>
  </w:footnote>
  <w:footnote w:type="continuationSeparator" w:id="0">
    <w:p w14:paraId="699F7E4E" w14:textId="77777777" w:rsidR="009A61FD" w:rsidRDefault="009A61FD" w:rsidP="0005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20302"/>
      <w:docPartObj>
        <w:docPartGallery w:val="Page Numbers (Top of Page)"/>
        <w:docPartUnique/>
      </w:docPartObj>
    </w:sdtPr>
    <w:sdtEndPr>
      <w:rPr>
        <w:rFonts w:ascii="Arial" w:hAnsi="Arial" w:cs="Arial"/>
        <w:noProof/>
      </w:rPr>
    </w:sdtEndPr>
    <w:sdtContent>
      <w:p w14:paraId="0F2A3F1C" w14:textId="687AB276" w:rsidR="005447BB" w:rsidRPr="00057D19" w:rsidRDefault="005447BB">
        <w:pPr>
          <w:pStyle w:val="Header"/>
          <w:jc w:val="right"/>
          <w:rPr>
            <w:rFonts w:ascii="Arial" w:hAnsi="Arial" w:cs="Arial"/>
          </w:rPr>
        </w:pPr>
        <w:r w:rsidRPr="00057D19">
          <w:rPr>
            <w:rFonts w:ascii="Arial" w:hAnsi="Arial" w:cs="Arial"/>
          </w:rPr>
          <w:fldChar w:fldCharType="begin"/>
        </w:r>
        <w:r w:rsidRPr="00057D19">
          <w:rPr>
            <w:rFonts w:ascii="Arial" w:hAnsi="Arial" w:cs="Arial"/>
          </w:rPr>
          <w:instrText xml:space="preserve"> PAGE   \* MERGEFORMAT </w:instrText>
        </w:r>
        <w:r w:rsidRPr="00057D19">
          <w:rPr>
            <w:rFonts w:ascii="Arial" w:hAnsi="Arial" w:cs="Arial"/>
          </w:rPr>
          <w:fldChar w:fldCharType="separate"/>
        </w:r>
        <w:r w:rsidR="00A61D89">
          <w:rPr>
            <w:rFonts w:ascii="Arial" w:hAnsi="Arial" w:cs="Arial"/>
            <w:noProof/>
          </w:rPr>
          <w:t>21</w:t>
        </w:r>
        <w:r w:rsidRPr="00057D19">
          <w:rPr>
            <w:rFonts w:ascii="Arial" w:hAnsi="Arial" w:cs="Arial"/>
            <w:noProof/>
          </w:rPr>
          <w:fldChar w:fldCharType="end"/>
        </w:r>
      </w:p>
    </w:sdtContent>
  </w:sdt>
  <w:p w14:paraId="62C3D65C" w14:textId="77777777" w:rsidR="005447BB" w:rsidRDefault="005447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3D"/>
    <w:multiLevelType w:val="hybridMultilevel"/>
    <w:tmpl w:val="82FA1E62"/>
    <w:lvl w:ilvl="0" w:tplc="3D902352">
      <w:start w:val="1"/>
      <w:numFmt w:val="decimal"/>
      <w:lvlText w:val="%1."/>
      <w:lvlJc w:val="left"/>
      <w:pPr>
        <w:ind w:left="134" w:hanging="360"/>
      </w:pPr>
      <w:rPr>
        <w:rFonts w:hint="default"/>
      </w:rPr>
    </w:lvl>
    <w:lvl w:ilvl="1" w:tplc="1C090019">
      <w:start w:val="1"/>
      <w:numFmt w:val="lowerLetter"/>
      <w:lvlText w:val="%2."/>
      <w:lvlJc w:val="left"/>
      <w:pPr>
        <w:ind w:left="854" w:hanging="360"/>
      </w:pPr>
    </w:lvl>
    <w:lvl w:ilvl="2" w:tplc="1C09001B" w:tentative="1">
      <w:start w:val="1"/>
      <w:numFmt w:val="lowerRoman"/>
      <w:lvlText w:val="%3."/>
      <w:lvlJc w:val="right"/>
      <w:pPr>
        <w:ind w:left="1574" w:hanging="180"/>
      </w:pPr>
    </w:lvl>
    <w:lvl w:ilvl="3" w:tplc="1C09000F" w:tentative="1">
      <w:start w:val="1"/>
      <w:numFmt w:val="decimal"/>
      <w:lvlText w:val="%4."/>
      <w:lvlJc w:val="left"/>
      <w:pPr>
        <w:ind w:left="2294" w:hanging="360"/>
      </w:pPr>
    </w:lvl>
    <w:lvl w:ilvl="4" w:tplc="1C090019" w:tentative="1">
      <w:start w:val="1"/>
      <w:numFmt w:val="lowerLetter"/>
      <w:lvlText w:val="%5."/>
      <w:lvlJc w:val="left"/>
      <w:pPr>
        <w:ind w:left="3014" w:hanging="360"/>
      </w:pPr>
    </w:lvl>
    <w:lvl w:ilvl="5" w:tplc="1C09001B" w:tentative="1">
      <w:start w:val="1"/>
      <w:numFmt w:val="lowerRoman"/>
      <w:lvlText w:val="%6."/>
      <w:lvlJc w:val="right"/>
      <w:pPr>
        <w:ind w:left="3734" w:hanging="180"/>
      </w:pPr>
    </w:lvl>
    <w:lvl w:ilvl="6" w:tplc="1C09000F" w:tentative="1">
      <w:start w:val="1"/>
      <w:numFmt w:val="decimal"/>
      <w:lvlText w:val="%7."/>
      <w:lvlJc w:val="left"/>
      <w:pPr>
        <w:ind w:left="4454" w:hanging="360"/>
      </w:pPr>
    </w:lvl>
    <w:lvl w:ilvl="7" w:tplc="1C090019" w:tentative="1">
      <w:start w:val="1"/>
      <w:numFmt w:val="lowerLetter"/>
      <w:lvlText w:val="%8."/>
      <w:lvlJc w:val="left"/>
      <w:pPr>
        <w:ind w:left="5174" w:hanging="360"/>
      </w:pPr>
    </w:lvl>
    <w:lvl w:ilvl="8" w:tplc="1C09001B" w:tentative="1">
      <w:start w:val="1"/>
      <w:numFmt w:val="lowerRoman"/>
      <w:lvlText w:val="%9."/>
      <w:lvlJc w:val="right"/>
      <w:pPr>
        <w:ind w:left="5894" w:hanging="180"/>
      </w:pPr>
    </w:lvl>
  </w:abstractNum>
  <w:abstractNum w:abstractNumId="1" w15:restartNumberingAfterBreak="0">
    <w:nsid w:val="0F770D65"/>
    <w:multiLevelType w:val="hybridMultilevel"/>
    <w:tmpl w:val="B82AC9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7F0826"/>
    <w:multiLevelType w:val="multilevel"/>
    <w:tmpl w:val="485E9304"/>
    <w:lvl w:ilvl="0">
      <w:start w:val="1"/>
      <w:numFmt w:val="decimal"/>
      <w:lvlText w:val="%1."/>
      <w:lvlJc w:val="left"/>
      <w:pPr>
        <w:ind w:left="360" w:hanging="360"/>
      </w:pPr>
      <w:rPr>
        <w:rFonts w:ascii="Arial" w:hAnsi="Arial" w:cs="Arial"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82943"/>
    <w:multiLevelType w:val="multilevel"/>
    <w:tmpl w:val="6A780A36"/>
    <w:lvl w:ilvl="0">
      <w:start w:val="8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8C1C0C"/>
    <w:multiLevelType w:val="hybridMultilevel"/>
    <w:tmpl w:val="B19AD822"/>
    <w:lvl w:ilvl="0" w:tplc="93E68618">
      <w:start w:val="1"/>
      <w:numFmt w:val="lowerLetter"/>
      <w:lvlText w:val="(%1)"/>
      <w:lvlJc w:val="left"/>
      <w:pPr>
        <w:ind w:left="2877" w:hanging="720"/>
      </w:pPr>
      <w:rPr>
        <w:rFonts w:hint="default"/>
      </w:rPr>
    </w:lvl>
    <w:lvl w:ilvl="1" w:tplc="1C090019" w:tentative="1">
      <w:start w:val="1"/>
      <w:numFmt w:val="lowerLetter"/>
      <w:lvlText w:val="%2."/>
      <w:lvlJc w:val="left"/>
      <w:pPr>
        <w:ind w:left="3237" w:hanging="360"/>
      </w:pPr>
    </w:lvl>
    <w:lvl w:ilvl="2" w:tplc="1C09001B" w:tentative="1">
      <w:start w:val="1"/>
      <w:numFmt w:val="lowerRoman"/>
      <w:lvlText w:val="%3."/>
      <w:lvlJc w:val="right"/>
      <w:pPr>
        <w:ind w:left="3957" w:hanging="180"/>
      </w:pPr>
    </w:lvl>
    <w:lvl w:ilvl="3" w:tplc="1C09000F" w:tentative="1">
      <w:start w:val="1"/>
      <w:numFmt w:val="decimal"/>
      <w:lvlText w:val="%4."/>
      <w:lvlJc w:val="left"/>
      <w:pPr>
        <w:ind w:left="4677" w:hanging="360"/>
      </w:pPr>
    </w:lvl>
    <w:lvl w:ilvl="4" w:tplc="1C090019" w:tentative="1">
      <w:start w:val="1"/>
      <w:numFmt w:val="lowerLetter"/>
      <w:lvlText w:val="%5."/>
      <w:lvlJc w:val="left"/>
      <w:pPr>
        <w:ind w:left="5397" w:hanging="360"/>
      </w:pPr>
    </w:lvl>
    <w:lvl w:ilvl="5" w:tplc="1C09001B" w:tentative="1">
      <w:start w:val="1"/>
      <w:numFmt w:val="lowerRoman"/>
      <w:lvlText w:val="%6."/>
      <w:lvlJc w:val="right"/>
      <w:pPr>
        <w:ind w:left="6117" w:hanging="180"/>
      </w:pPr>
    </w:lvl>
    <w:lvl w:ilvl="6" w:tplc="1C09000F" w:tentative="1">
      <w:start w:val="1"/>
      <w:numFmt w:val="decimal"/>
      <w:lvlText w:val="%7."/>
      <w:lvlJc w:val="left"/>
      <w:pPr>
        <w:ind w:left="6837" w:hanging="360"/>
      </w:pPr>
    </w:lvl>
    <w:lvl w:ilvl="7" w:tplc="1C090019" w:tentative="1">
      <w:start w:val="1"/>
      <w:numFmt w:val="lowerLetter"/>
      <w:lvlText w:val="%8."/>
      <w:lvlJc w:val="left"/>
      <w:pPr>
        <w:ind w:left="7557" w:hanging="360"/>
      </w:pPr>
    </w:lvl>
    <w:lvl w:ilvl="8" w:tplc="1C09001B" w:tentative="1">
      <w:start w:val="1"/>
      <w:numFmt w:val="lowerRoman"/>
      <w:lvlText w:val="%9."/>
      <w:lvlJc w:val="right"/>
      <w:pPr>
        <w:ind w:left="8277" w:hanging="180"/>
      </w:pPr>
    </w:lvl>
  </w:abstractNum>
  <w:abstractNum w:abstractNumId="6" w15:restartNumberingAfterBreak="0">
    <w:nsid w:val="3B155B16"/>
    <w:multiLevelType w:val="hybridMultilevel"/>
    <w:tmpl w:val="F4F2A1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933EF3"/>
    <w:multiLevelType w:val="multilevel"/>
    <w:tmpl w:val="738068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C5C1F"/>
    <w:multiLevelType w:val="hybridMultilevel"/>
    <w:tmpl w:val="67A0ED60"/>
    <w:lvl w:ilvl="0" w:tplc="3FBC5C24">
      <w:start w:val="1"/>
      <w:numFmt w:val="decimal"/>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9" w15:restartNumberingAfterBreak="0">
    <w:nsid w:val="500F052E"/>
    <w:multiLevelType w:val="hybridMultilevel"/>
    <w:tmpl w:val="39642AD8"/>
    <w:lvl w:ilvl="0" w:tplc="58402B2A">
      <w:start w:val="118"/>
      <w:numFmt w:val="decimal"/>
      <w:lvlText w:val="%1."/>
      <w:lvlJc w:val="left"/>
      <w:pPr>
        <w:ind w:left="1905" w:hanging="465"/>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536D4CFD"/>
    <w:multiLevelType w:val="hybridMultilevel"/>
    <w:tmpl w:val="125E1366"/>
    <w:lvl w:ilvl="0" w:tplc="65AE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60C5E58"/>
    <w:multiLevelType w:val="hybridMultilevel"/>
    <w:tmpl w:val="1B968C28"/>
    <w:lvl w:ilvl="0" w:tplc="C1CAD9E8">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5AC91868"/>
    <w:multiLevelType w:val="multilevel"/>
    <w:tmpl w:val="2828E578"/>
    <w:lvl w:ilvl="0">
      <w:start w:val="1"/>
      <w:numFmt w:val="decimal"/>
      <w:lvlText w:val="%1."/>
      <w:lvlJc w:val="left"/>
      <w:pPr>
        <w:tabs>
          <w:tab w:val="num" w:pos="720"/>
        </w:tabs>
        <w:ind w:left="720" w:hanging="720"/>
      </w:pPr>
      <w:rPr>
        <w:b w:val="0"/>
        <w:bCs w:val="0"/>
      </w:rPr>
    </w:lvl>
    <w:lvl w:ilvl="1">
      <w:start w:val="1"/>
      <w:numFmt w:val="decimal"/>
      <w:isLgl/>
      <w:lvlText w:val="%1.%2"/>
      <w:lvlJc w:val="left"/>
      <w:pPr>
        <w:tabs>
          <w:tab w:val="num" w:pos="1713"/>
        </w:tabs>
        <w:ind w:left="1713" w:hanging="720"/>
      </w:pPr>
      <w:rPr>
        <w:b w:val="0"/>
        <w:bCs w:val="0"/>
        <w:i w:val="0"/>
        <w:iCs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3" w15:restartNumberingAfterBreak="0">
    <w:nsid w:val="5CBA05A6"/>
    <w:multiLevelType w:val="hybridMultilevel"/>
    <w:tmpl w:val="14160B6E"/>
    <w:lvl w:ilvl="0" w:tplc="AB068934">
      <w:start w:val="1"/>
      <w:numFmt w:val="lowerRoman"/>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4" w15:restartNumberingAfterBreak="0">
    <w:nsid w:val="66DA078E"/>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7102C9"/>
    <w:multiLevelType w:val="multilevel"/>
    <w:tmpl w:val="A80AFAF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EB43DED"/>
    <w:multiLevelType w:val="hybridMultilevel"/>
    <w:tmpl w:val="EF62329A"/>
    <w:lvl w:ilvl="0" w:tplc="CC0ED39E">
      <w:start w:val="1"/>
      <w:numFmt w:val="decimal"/>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6F19537D"/>
    <w:multiLevelType w:val="hybridMultilevel"/>
    <w:tmpl w:val="EE642E04"/>
    <w:lvl w:ilvl="0" w:tplc="8CB6874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726B4B08"/>
    <w:multiLevelType w:val="hybridMultilevel"/>
    <w:tmpl w:val="2696A090"/>
    <w:lvl w:ilvl="0" w:tplc="407096E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14"/>
  </w:num>
  <w:num w:numId="3">
    <w:abstractNumId w:val="2"/>
  </w:num>
  <w:num w:numId="4">
    <w:abstractNumId w:val="9"/>
  </w:num>
  <w:num w:numId="5">
    <w:abstractNumId w:val="16"/>
  </w:num>
  <w:num w:numId="6">
    <w:abstractNumId w:val="8"/>
  </w:num>
  <w:num w:numId="7">
    <w:abstractNumId w:val="5"/>
  </w:num>
  <w:num w:numId="8">
    <w:abstractNumId w:val="13"/>
  </w:num>
  <w:num w:numId="9">
    <w:abstractNumId w:val="17"/>
  </w:num>
  <w:num w:numId="10">
    <w:abstractNumId w:val="6"/>
  </w:num>
  <w:num w:numId="11">
    <w:abstractNumId w:val="0"/>
  </w:num>
  <w:num w:numId="12">
    <w:abstractNumId w:val="3"/>
  </w:num>
  <w:num w:numId="13">
    <w:abstractNumId w:val="4"/>
  </w:num>
  <w:num w:numId="14">
    <w:abstractNumId w:val="12"/>
  </w:num>
  <w:num w:numId="15">
    <w:abstractNumId w:val="10"/>
  </w:num>
  <w:num w:numId="16">
    <w:abstractNumId w:val="18"/>
  </w:num>
  <w:num w:numId="17">
    <w:abstractNumId w:val="1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271C23-90AE-4FB1-8368-DFAC0668942A}"/>
    <w:docVar w:name="dgnword-eventsink" w:val="1894788760128"/>
  </w:docVars>
  <w:rsids>
    <w:rsidRoot w:val="00365D4A"/>
    <w:rsid w:val="0000105D"/>
    <w:rsid w:val="00002A11"/>
    <w:rsid w:val="00007207"/>
    <w:rsid w:val="00012C03"/>
    <w:rsid w:val="00021083"/>
    <w:rsid w:val="000228FB"/>
    <w:rsid w:val="0002295F"/>
    <w:rsid w:val="0003525F"/>
    <w:rsid w:val="00057D19"/>
    <w:rsid w:val="0006460B"/>
    <w:rsid w:val="000806AD"/>
    <w:rsid w:val="0008189E"/>
    <w:rsid w:val="000855F3"/>
    <w:rsid w:val="00091EB6"/>
    <w:rsid w:val="000A1FE6"/>
    <w:rsid w:val="000B05C2"/>
    <w:rsid w:val="000B30D2"/>
    <w:rsid w:val="000D615E"/>
    <w:rsid w:val="000D6999"/>
    <w:rsid w:val="000E0610"/>
    <w:rsid w:val="000F60DC"/>
    <w:rsid w:val="00101E14"/>
    <w:rsid w:val="0011068E"/>
    <w:rsid w:val="00112208"/>
    <w:rsid w:val="00113976"/>
    <w:rsid w:val="00122496"/>
    <w:rsid w:val="001415CE"/>
    <w:rsid w:val="00145E19"/>
    <w:rsid w:val="0015056B"/>
    <w:rsid w:val="00150662"/>
    <w:rsid w:val="0015219B"/>
    <w:rsid w:val="001522E2"/>
    <w:rsid w:val="001544E4"/>
    <w:rsid w:val="001669F1"/>
    <w:rsid w:val="00173055"/>
    <w:rsid w:val="0018245B"/>
    <w:rsid w:val="001843CA"/>
    <w:rsid w:val="001A286A"/>
    <w:rsid w:val="001B50D8"/>
    <w:rsid w:val="002013D6"/>
    <w:rsid w:val="002151A0"/>
    <w:rsid w:val="00217C67"/>
    <w:rsid w:val="002410AC"/>
    <w:rsid w:val="00243FDD"/>
    <w:rsid w:val="00247520"/>
    <w:rsid w:val="0025204A"/>
    <w:rsid w:val="00256CE8"/>
    <w:rsid w:val="00260378"/>
    <w:rsid w:val="00265B6F"/>
    <w:rsid w:val="00275B36"/>
    <w:rsid w:val="00280325"/>
    <w:rsid w:val="00287294"/>
    <w:rsid w:val="00292436"/>
    <w:rsid w:val="002959B8"/>
    <w:rsid w:val="00297963"/>
    <w:rsid w:val="002A0A11"/>
    <w:rsid w:val="002B2867"/>
    <w:rsid w:val="002E69D3"/>
    <w:rsid w:val="002F342C"/>
    <w:rsid w:val="003079CA"/>
    <w:rsid w:val="00316567"/>
    <w:rsid w:val="00317D68"/>
    <w:rsid w:val="003268B6"/>
    <w:rsid w:val="003321CC"/>
    <w:rsid w:val="003370E3"/>
    <w:rsid w:val="003430B9"/>
    <w:rsid w:val="00355E5D"/>
    <w:rsid w:val="00363575"/>
    <w:rsid w:val="00365D4A"/>
    <w:rsid w:val="0036650B"/>
    <w:rsid w:val="00370C07"/>
    <w:rsid w:val="0038275D"/>
    <w:rsid w:val="003848E6"/>
    <w:rsid w:val="003864D2"/>
    <w:rsid w:val="00387C8B"/>
    <w:rsid w:val="003B7D5A"/>
    <w:rsid w:val="003C0D4B"/>
    <w:rsid w:val="003C2B4C"/>
    <w:rsid w:val="003D05AA"/>
    <w:rsid w:val="003D1A2D"/>
    <w:rsid w:val="003E48D1"/>
    <w:rsid w:val="003F720C"/>
    <w:rsid w:val="00405217"/>
    <w:rsid w:val="00412D85"/>
    <w:rsid w:val="00420194"/>
    <w:rsid w:val="00424E53"/>
    <w:rsid w:val="00431F89"/>
    <w:rsid w:val="00433341"/>
    <w:rsid w:val="00440655"/>
    <w:rsid w:val="004523AB"/>
    <w:rsid w:val="00455961"/>
    <w:rsid w:val="00461F54"/>
    <w:rsid w:val="00473F68"/>
    <w:rsid w:val="004740A3"/>
    <w:rsid w:val="00474B7E"/>
    <w:rsid w:val="0048418F"/>
    <w:rsid w:val="00485995"/>
    <w:rsid w:val="00493428"/>
    <w:rsid w:val="0049724E"/>
    <w:rsid w:val="004B69AD"/>
    <w:rsid w:val="004C0914"/>
    <w:rsid w:val="004C4C57"/>
    <w:rsid w:val="004E1BC3"/>
    <w:rsid w:val="004F0B80"/>
    <w:rsid w:val="004F27EB"/>
    <w:rsid w:val="004F34CC"/>
    <w:rsid w:val="005047E0"/>
    <w:rsid w:val="00523A39"/>
    <w:rsid w:val="00523EBE"/>
    <w:rsid w:val="0052655A"/>
    <w:rsid w:val="00530C48"/>
    <w:rsid w:val="00532801"/>
    <w:rsid w:val="005330D6"/>
    <w:rsid w:val="0053646D"/>
    <w:rsid w:val="00540163"/>
    <w:rsid w:val="005440D3"/>
    <w:rsid w:val="005447BB"/>
    <w:rsid w:val="00544B1F"/>
    <w:rsid w:val="00552B70"/>
    <w:rsid w:val="00553FA8"/>
    <w:rsid w:val="0056698C"/>
    <w:rsid w:val="00571876"/>
    <w:rsid w:val="00591E55"/>
    <w:rsid w:val="00596661"/>
    <w:rsid w:val="005A6F51"/>
    <w:rsid w:val="005C39C8"/>
    <w:rsid w:val="005D3818"/>
    <w:rsid w:val="00600B38"/>
    <w:rsid w:val="006148F2"/>
    <w:rsid w:val="00616AA0"/>
    <w:rsid w:val="00624325"/>
    <w:rsid w:val="00664B2B"/>
    <w:rsid w:val="00671CCD"/>
    <w:rsid w:val="00674441"/>
    <w:rsid w:val="006753DC"/>
    <w:rsid w:val="0067662A"/>
    <w:rsid w:val="00693AC8"/>
    <w:rsid w:val="00693D96"/>
    <w:rsid w:val="00694513"/>
    <w:rsid w:val="006977EE"/>
    <w:rsid w:val="006B78AF"/>
    <w:rsid w:val="006C0120"/>
    <w:rsid w:val="006C1CA9"/>
    <w:rsid w:val="006D1426"/>
    <w:rsid w:val="006D20C2"/>
    <w:rsid w:val="006E331C"/>
    <w:rsid w:val="00702B49"/>
    <w:rsid w:val="00730BC8"/>
    <w:rsid w:val="00736BFC"/>
    <w:rsid w:val="00740A86"/>
    <w:rsid w:val="00741D99"/>
    <w:rsid w:val="00745FD5"/>
    <w:rsid w:val="00746257"/>
    <w:rsid w:val="00760889"/>
    <w:rsid w:val="00766A15"/>
    <w:rsid w:val="00774D08"/>
    <w:rsid w:val="007A15A4"/>
    <w:rsid w:val="007B2AC7"/>
    <w:rsid w:val="007C3D2C"/>
    <w:rsid w:val="007C51EF"/>
    <w:rsid w:val="007C7596"/>
    <w:rsid w:val="007D1283"/>
    <w:rsid w:val="007D4CBE"/>
    <w:rsid w:val="007E20F7"/>
    <w:rsid w:val="007E469F"/>
    <w:rsid w:val="00812FF7"/>
    <w:rsid w:val="00813ADD"/>
    <w:rsid w:val="00833C38"/>
    <w:rsid w:val="0084345F"/>
    <w:rsid w:val="00847CE8"/>
    <w:rsid w:val="00852E1B"/>
    <w:rsid w:val="008573D1"/>
    <w:rsid w:val="00877E94"/>
    <w:rsid w:val="008833FF"/>
    <w:rsid w:val="00890DED"/>
    <w:rsid w:val="00893B3A"/>
    <w:rsid w:val="008946D1"/>
    <w:rsid w:val="00895C5E"/>
    <w:rsid w:val="008A15DF"/>
    <w:rsid w:val="008A3743"/>
    <w:rsid w:val="008A6282"/>
    <w:rsid w:val="008A65D0"/>
    <w:rsid w:val="008B4CD0"/>
    <w:rsid w:val="008C2DE7"/>
    <w:rsid w:val="008D183D"/>
    <w:rsid w:val="008D72E7"/>
    <w:rsid w:val="008F0CDF"/>
    <w:rsid w:val="008F2A05"/>
    <w:rsid w:val="00910D21"/>
    <w:rsid w:val="00912AAF"/>
    <w:rsid w:val="0091637B"/>
    <w:rsid w:val="00920855"/>
    <w:rsid w:val="00920A46"/>
    <w:rsid w:val="009225DF"/>
    <w:rsid w:val="0092278C"/>
    <w:rsid w:val="00935A4F"/>
    <w:rsid w:val="00936DC5"/>
    <w:rsid w:val="0094247A"/>
    <w:rsid w:val="009432B9"/>
    <w:rsid w:val="009471F9"/>
    <w:rsid w:val="00954F57"/>
    <w:rsid w:val="00956935"/>
    <w:rsid w:val="0098052B"/>
    <w:rsid w:val="0098203A"/>
    <w:rsid w:val="00990B4D"/>
    <w:rsid w:val="00993BE9"/>
    <w:rsid w:val="009948E0"/>
    <w:rsid w:val="00995AFA"/>
    <w:rsid w:val="009A0A57"/>
    <w:rsid w:val="009A21D0"/>
    <w:rsid w:val="009A61FD"/>
    <w:rsid w:val="009D1537"/>
    <w:rsid w:val="009D6D84"/>
    <w:rsid w:val="009D7300"/>
    <w:rsid w:val="009F0495"/>
    <w:rsid w:val="009F52CB"/>
    <w:rsid w:val="00A0034A"/>
    <w:rsid w:val="00A017BB"/>
    <w:rsid w:val="00A04F9E"/>
    <w:rsid w:val="00A17DA2"/>
    <w:rsid w:val="00A24A7E"/>
    <w:rsid w:val="00A441C4"/>
    <w:rsid w:val="00A51F27"/>
    <w:rsid w:val="00A57FE1"/>
    <w:rsid w:val="00A61D89"/>
    <w:rsid w:val="00A80C68"/>
    <w:rsid w:val="00A97C05"/>
    <w:rsid w:val="00AA2131"/>
    <w:rsid w:val="00AA3E15"/>
    <w:rsid w:val="00AA612A"/>
    <w:rsid w:val="00AC175D"/>
    <w:rsid w:val="00AC2DA5"/>
    <w:rsid w:val="00AC4525"/>
    <w:rsid w:val="00AD1575"/>
    <w:rsid w:val="00AD3ABC"/>
    <w:rsid w:val="00AE40B1"/>
    <w:rsid w:val="00AE4E81"/>
    <w:rsid w:val="00AF545C"/>
    <w:rsid w:val="00B02670"/>
    <w:rsid w:val="00B12817"/>
    <w:rsid w:val="00B16DB4"/>
    <w:rsid w:val="00B26CAA"/>
    <w:rsid w:val="00B3001D"/>
    <w:rsid w:val="00B30EF4"/>
    <w:rsid w:val="00B33341"/>
    <w:rsid w:val="00B45C85"/>
    <w:rsid w:val="00B53302"/>
    <w:rsid w:val="00B5707D"/>
    <w:rsid w:val="00B63693"/>
    <w:rsid w:val="00B63883"/>
    <w:rsid w:val="00B7000C"/>
    <w:rsid w:val="00B71336"/>
    <w:rsid w:val="00B713C8"/>
    <w:rsid w:val="00B73194"/>
    <w:rsid w:val="00B823B1"/>
    <w:rsid w:val="00B82CBF"/>
    <w:rsid w:val="00B83D53"/>
    <w:rsid w:val="00B92557"/>
    <w:rsid w:val="00B95D8B"/>
    <w:rsid w:val="00BB0FD5"/>
    <w:rsid w:val="00BC6499"/>
    <w:rsid w:val="00BD01B5"/>
    <w:rsid w:val="00BD2403"/>
    <w:rsid w:val="00BD3E8E"/>
    <w:rsid w:val="00BE2B3E"/>
    <w:rsid w:val="00BE5FD4"/>
    <w:rsid w:val="00BF4C9A"/>
    <w:rsid w:val="00BF4F3D"/>
    <w:rsid w:val="00C05BE8"/>
    <w:rsid w:val="00C12677"/>
    <w:rsid w:val="00C16AF9"/>
    <w:rsid w:val="00C20BBB"/>
    <w:rsid w:val="00C23793"/>
    <w:rsid w:val="00C33A34"/>
    <w:rsid w:val="00C724C2"/>
    <w:rsid w:val="00C74293"/>
    <w:rsid w:val="00C74CC7"/>
    <w:rsid w:val="00C77621"/>
    <w:rsid w:val="00C93532"/>
    <w:rsid w:val="00C9770E"/>
    <w:rsid w:val="00CB6997"/>
    <w:rsid w:val="00CC4A8F"/>
    <w:rsid w:val="00CC5D2D"/>
    <w:rsid w:val="00CD4FAC"/>
    <w:rsid w:val="00CD5F21"/>
    <w:rsid w:val="00CE4A6E"/>
    <w:rsid w:val="00CF7A36"/>
    <w:rsid w:val="00D116A5"/>
    <w:rsid w:val="00D148F7"/>
    <w:rsid w:val="00D16307"/>
    <w:rsid w:val="00D218EC"/>
    <w:rsid w:val="00D30792"/>
    <w:rsid w:val="00D421A4"/>
    <w:rsid w:val="00D4482C"/>
    <w:rsid w:val="00D506E7"/>
    <w:rsid w:val="00D50E50"/>
    <w:rsid w:val="00D51FC7"/>
    <w:rsid w:val="00D5566A"/>
    <w:rsid w:val="00D55DD5"/>
    <w:rsid w:val="00D629D9"/>
    <w:rsid w:val="00D65029"/>
    <w:rsid w:val="00D71929"/>
    <w:rsid w:val="00D7194E"/>
    <w:rsid w:val="00D76469"/>
    <w:rsid w:val="00D850E5"/>
    <w:rsid w:val="00D9150D"/>
    <w:rsid w:val="00D968D2"/>
    <w:rsid w:val="00DA4936"/>
    <w:rsid w:val="00DC6133"/>
    <w:rsid w:val="00DD2DCA"/>
    <w:rsid w:val="00DD4D3D"/>
    <w:rsid w:val="00DF102B"/>
    <w:rsid w:val="00DF4CD8"/>
    <w:rsid w:val="00DF5FC7"/>
    <w:rsid w:val="00DF6535"/>
    <w:rsid w:val="00E01469"/>
    <w:rsid w:val="00E0544D"/>
    <w:rsid w:val="00E24929"/>
    <w:rsid w:val="00E31C83"/>
    <w:rsid w:val="00E34CF8"/>
    <w:rsid w:val="00E37AFB"/>
    <w:rsid w:val="00E47622"/>
    <w:rsid w:val="00E5405E"/>
    <w:rsid w:val="00E56485"/>
    <w:rsid w:val="00E62EE1"/>
    <w:rsid w:val="00E67DBE"/>
    <w:rsid w:val="00E77E14"/>
    <w:rsid w:val="00E832C8"/>
    <w:rsid w:val="00E8795A"/>
    <w:rsid w:val="00E87AE1"/>
    <w:rsid w:val="00E90DA5"/>
    <w:rsid w:val="00E94244"/>
    <w:rsid w:val="00EA0246"/>
    <w:rsid w:val="00EB4A9F"/>
    <w:rsid w:val="00EC370B"/>
    <w:rsid w:val="00EE7B03"/>
    <w:rsid w:val="00EF4C59"/>
    <w:rsid w:val="00EF62F5"/>
    <w:rsid w:val="00F05A32"/>
    <w:rsid w:val="00F26405"/>
    <w:rsid w:val="00F30E7D"/>
    <w:rsid w:val="00F52BF5"/>
    <w:rsid w:val="00F579C2"/>
    <w:rsid w:val="00F620E1"/>
    <w:rsid w:val="00F62171"/>
    <w:rsid w:val="00F737FE"/>
    <w:rsid w:val="00F753EB"/>
    <w:rsid w:val="00F77045"/>
    <w:rsid w:val="00F81B80"/>
    <w:rsid w:val="00F84117"/>
    <w:rsid w:val="00F84EA4"/>
    <w:rsid w:val="00F8764E"/>
    <w:rsid w:val="00FA29C3"/>
    <w:rsid w:val="00FA3C36"/>
    <w:rsid w:val="00FA7E77"/>
    <w:rsid w:val="00FB1647"/>
    <w:rsid w:val="00FB1E60"/>
    <w:rsid w:val="00FC14EB"/>
    <w:rsid w:val="00FC281D"/>
    <w:rsid w:val="00FD0954"/>
    <w:rsid w:val="00FD4910"/>
    <w:rsid w:val="00FD5765"/>
    <w:rsid w:val="00FF1657"/>
    <w:rsid w:val="00FF17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88CB"/>
  <w15:chartTrackingRefBased/>
  <w15:docId w15:val="{E9774BF3-91A2-4BBA-AFFF-C33EE74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2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D5A"/>
    <w:pPr>
      <w:keepNext/>
      <w:spacing w:before="240" w:after="60" w:line="240"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365D4A"/>
    <w:pPr>
      <w:ind w:left="720"/>
      <w:contextualSpacing/>
    </w:pPr>
  </w:style>
  <w:style w:type="character" w:styleId="Hyperlink">
    <w:name w:val="Hyperlink"/>
    <w:basedOn w:val="DefaultParagraphFont"/>
    <w:uiPriority w:val="99"/>
    <w:unhideWhenUsed/>
    <w:rsid w:val="00D5566A"/>
    <w:rPr>
      <w:color w:val="0563C1" w:themeColor="hyperlink"/>
      <w:u w:val="single"/>
    </w:rPr>
  </w:style>
  <w:style w:type="paragraph" w:styleId="Header">
    <w:name w:val="header"/>
    <w:basedOn w:val="Normal"/>
    <w:link w:val="HeaderChar"/>
    <w:uiPriority w:val="99"/>
    <w:unhideWhenUsed/>
    <w:rsid w:val="0005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19"/>
  </w:style>
  <w:style w:type="paragraph" w:styleId="Footer">
    <w:name w:val="footer"/>
    <w:basedOn w:val="Normal"/>
    <w:link w:val="FooterChar"/>
    <w:uiPriority w:val="99"/>
    <w:unhideWhenUsed/>
    <w:rsid w:val="0005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19"/>
  </w:style>
  <w:style w:type="paragraph" w:styleId="NormalWeb">
    <w:name w:val="Normal (Web)"/>
    <w:basedOn w:val="Normal"/>
    <w:uiPriority w:val="99"/>
    <w:semiHidden/>
    <w:unhideWhenUsed/>
    <w:rsid w:val="007D4CB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12C03"/>
    <w:rPr>
      <w:sz w:val="16"/>
      <w:szCs w:val="16"/>
    </w:rPr>
  </w:style>
  <w:style w:type="paragraph" w:styleId="CommentText">
    <w:name w:val="annotation text"/>
    <w:basedOn w:val="Normal"/>
    <w:link w:val="CommentTextChar"/>
    <w:uiPriority w:val="99"/>
    <w:semiHidden/>
    <w:unhideWhenUsed/>
    <w:rsid w:val="00012C03"/>
    <w:pPr>
      <w:spacing w:line="240" w:lineRule="auto"/>
    </w:pPr>
    <w:rPr>
      <w:sz w:val="20"/>
      <w:szCs w:val="20"/>
    </w:rPr>
  </w:style>
  <w:style w:type="character" w:customStyle="1" w:styleId="CommentTextChar">
    <w:name w:val="Comment Text Char"/>
    <w:basedOn w:val="DefaultParagraphFont"/>
    <w:link w:val="CommentText"/>
    <w:uiPriority w:val="99"/>
    <w:semiHidden/>
    <w:rsid w:val="00012C03"/>
    <w:rPr>
      <w:sz w:val="20"/>
      <w:szCs w:val="20"/>
    </w:rPr>
  </w:style>
  <w:style w:type="paragraph" w:styleId="CommentSubject">
    <w:name w:val="annotation subject"/>
    <w:basedOn w:val="CommentText"/>
    <w:next w:val="CommentText"/>
    <w:link w:val="CommentSubjectChar"/>
    <w:uiPriority w:val="99"/>
    <w:semiHidden/>
    <w:unhideWhenUsed/>
    <w:rsid w:val="00012C03"/>
    <w:rPr>
      <w:b/>
      <w:bCs/>
    </w:rPr>
  </w:style>
  <w:style w:type="character" w:customStyle="1" w:styleId="CommentSubjectChar">
    <w:name w:val="Comment Subject Char"/>
    <w:basedOn w:val="CommentTextChar"/>
    <w:link w:val="CommentSubject"/>
    <w:uiPriority w:val="99"/>
    <w:semiHidden/>
    <w:rsid w:val="00012C03"/>
    <w:rPr>
      <w:b/>
      <w:bCs/>
      <w:sz w:val="20"/>
      <w:szCs w:val="20"/>
    </w:rPr>
  </w:style>
  <w:style w:type="paragraph" w:styleId="BalloonText">
    <w:name w:val="Balloon Text"/>
    <w:basedOn w:val="Normal"/>
    <w:link w:val="BalloonTextChar"/>
    <w:uiPriority w:val="99"/>
    <w:semiHidden/>
    <w:unhideWhenUsed/>
    <w:rsid w:val="000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C03"/>
    <w:rPr>
      <w:rFonts w:ascii="Segoe UI" w:hAnsi="Segoe UI" w:cs="Segoe UI"/>
      <w:sz w:val="18"/>
      <w:szCs w:val="18"/>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nhideWhenUsed/>
    <w:qFormat/>
    <w:rsid w:val="00012C03"/>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rsid w:val="00012C03"/>
    <w:rPr>
      <w:sz w:val="20"/>
      <w:szCs w:val="20"/>
    </w:rPr>
  </w:style>
  <w:style w:type="character" w:styleId="FootnoteReference">
    <w:name w:val="footnote reference"/>
    <w:aliases w:val="Footnote Reference + Superscript,Ref,de nota al pie,註腳內容,Appel note de bas de page,Footnotes refss,(NECG) Footnote Reference,fr,Heading 6 Char1,do not use4 Char1,Footnote symbol,Style 12,Footnote,4_G"/>
    <w:basedOn w:val="DefaultParagraphFont"/>
    <w:unhideWhenUsed/>
    <w:qFormat/>
    <w:rsid w:val="00012C03"/>
    <w:rPr>
      <w:vertAlign w:val="superscript"/>
    </w:rPr>
  </w:style>
  <w:style w:type="character" w:customStyle="1" w:styleId="ListParagraphChar">
    <w:name w:val="List Paragraph Char"/>
    <w:aliases w:val="List Paragraph 1 Char"/>
    <w:link w:val="ListParagraph"/>
    <w:uiPriority w:val="34"/>
    <w:qFormat/>
    <w:locked/>
    <w:rsid w:val="00A80C68"/>
  </w:style>
  <w:style w:type="paragraph" w:styleId="PlainText">
    <w:name w:val="Plain Text"/>
    <w:basedOn w:val="Normal"/>
    <w:link w:val="PlainTextChar"/>
    <w:uiPriority w:val="99"/>
    <w:unhideWhenUsed/>
    <w:rsid w:val="00A80C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0C68"/>
    <w:rPr>
      <w:rFonts w:ascii="Calibri" w:hAnsi="Calibri"/>
      <w:szCs w:val="21"/>
    </w:rPr>
  </w:style>
  <w:style w:type="character" w:customStyle="1" w:styleId="Heading2Char">
    <w:name w:val="Heading 2 Char"/>
    <w:basedOn w:val="DefaultParagraphFont"/>
    <w:link w:val="Heading2"/>
    <w:uiPriority w:val="9"/>
    <w:rsid w:val="003B7D5A"/>
    <w:rPr>
      <w:rFonts w:ascii="Calibri Light" w:eastAsia="Times New Roman" w:hAnsi="Calibri Light" w:cs="Times New Roman"/>
      <w:b/>
      <w:bCs/>
      <w:i/>
      <w:iCs/>
      <w:sz w:val="28"/>
      <w:szCs w:val="28"/>
      <w:lang w:val="en-GB"/>
    </w:rPr>
  </w:style>
  <w:style w:type="paragraph" w:customStyle="1" w:styleId="lrpara">
    <w:name w:val="lrpara"/>
    <w:basedOn w:val="Normal"/>
    <w:rsid w:val="00812F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anchor">
    <w:name w:val="footnoteanchor"/>
    <w:basedOn w:val="DefaultParagraphFont"/>
    <w:rsid w:val="00812FF7"/>
  </w:style>
  <w:style w:type="character" w:customStyle="1" w:styleId="mc">
    <w:name w:val="mc"/>
    <w:basedOn w:val="DefaultParagraphFont"/>
    <w:rsid w:val="00812FF7"/>
  </w:style>
  <w:style w:type="paragraph" w:customStyle="1" w:styleId="lrquote">
    <w:name w:val="lrquote"/>
    <w:basedOn w:val="Normal"/>
    <w:rsid w:val="00812F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02295F"/>
    <w:rPr>
      <w:rFonts w:asciiTheme="majorHAnsi" w:eastAsiaTheme="majorEastAsia" w:hAnsiTheme="majorHAnsi" w:cstheme="majorBidi"/>
      <w:color w:val="2E74B5" w:themeColor="accent1" w:themeShade="BF"/>
      <w:sz w:val="32"/>
      <w:szCs w:val="32"/>
    </w:rPr>
  </w:style>
  <w:style w:type="paragraph" w:customStyle="1" w:styleId="pageno">
    <w:name w:val="pageno"/>
    <w:basedOn w:val="Normal"/>
    <w:rsid w:val="0002295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02295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headbold">
    <w:name w:val="lrheadbold"/>
    <w:basedOn w:val="Normal"/>
    <w:rsid w:val="00002A1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0A1FE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casename">
    <w:name w:val="lrcasename"/>
    <w:basedOn w:val="Normal"/>
    <w:rsid w:val="0015219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466">
      <w:bodyDiv w:val="1"/>
      <w:marLeft w:val="0"/>
      <w:marRight w:val="0"/>
      <w:marTop w:val="0"/>
      <w:marBottom w:val="0"/>
      <w:divBdr>
        <w:top w:val="none" w:sz="0" w:space="0" w:color="auto"/>
        <w:left w:val="none" w:sz="0" w:space="0" w:color="auto"/>
        <w:bottom w:val="none" w:sz="0" w:space="0" w:color="auto"/>
        <w:right w:val="none" w:sz="0" w:space="0" w:color="auto"/>
      </w:divBdr>
    </w:div>
    <w:div w:id="68505401">
      <w:bodyDiv w:val="1"/>
      <w:marLeft w:val="0"/>
      <w:marRight w:val="0"/>
      <w:marTop w:val="0"/>
      <w:marBottom w:val="0"/>
      <w:divBdr>
        <w:top w:val="none" w:sz="0" w:space="0" w:color="auto"/>
        <w:left w:val="none" w:sz="0" w:space="0" w:color="auto"/>
        <w:bottom w:val="none" w:sz="0" w:space="0" w:color="auto"/>
        <w:right w:val="none" w:sz="0" w:space="0" w:color="auto"/>
      </w:divBdr>
    </w:div>
    <w:div w:id="127361711">
      <w:bodyDiv w:val="1"/>
      <w:marLeft w:val="0"/>
      <w:marRight w:val="0"/>
      <w:marTop w:val="0"/>
      <w:marBottom w:val="0"/>
      <w:divBdr>
        <w:top w:val="none" w:sz="0" w:space="0" w:color="auto"/>
        <w:left w:val="none" w:sz="0" w:space="0" w:color="auto"/>
        <w:bottom w:val="none" w:sz="0" w:space="0" w:color="auto"/>
        <w:right w:val="none" w:sz="0" w:space="0" w:color="auto"/>
      </w:divBdr>
    </w:div>
    <w:div w:id="145125975">
      <w:bodyDiv w:val="1"/>
      <w:marLeft w:val="0"/>
      <w:marRight w:val="0"/>
      <w:marTop w:val="0"/>
      <w:marBottom w:val="0"/>
      <w:divBdr>
        <w:top w:val="none" w:sz="0" w:space="0" w:color="auto"/>
        <w:left w:val="none" w:sz="0" w:space="0" w:color="auto"/>
        <w:bottom w:val="none" w:sz="0" w:space="0" w:color="auto"/>
        <w:right w:val="none" w:sz="0" w:space="0" w:color="auto"/>
      </w:divBdr>
    </w:div>
    <w:div w:id="270015617">
      <w:bodyDiv w:val="1"/>
      <w:marLeft w:val="0"/>
      <w:marRight w:val="0"/>
      <w:marTop w:val="0"/>
      <w:marBottom w:val="0"/>
      <w:divBdr>
        <w:top w:val="none" w:sz="0" w:space="0" w:color="auto"/>
        <w:left w:val="none" w:sz="0" w:space="0" w:color="auto"/>
        <w:bottom w:val="none" w:sz="0" w:space="0" w:color="auto"/>
        <w:right w:val="none" w:sz="0" w:space="0" w:color="auto"/>
      </w:divBdr>
    </w:div>
    <w:div w:id="340621373">
      <w:bodyDiv w:val="1"/>
      <w:marLeft w:val="0"/>
      <w:marRight w:val="0"/>
      <w:marTop w:val="0"/>
      <w:marBottom w:val="0"/>
      <w:divBdr>
        <w:top w:val="none" w:sz="0" w:space="0" w:color="auto"/>
        <w:left w:val="none" w:sz="0" w:space="0" w:color="auto"/>
        <w:bottom w:val="none" w:sz="0" w:space="0" w:color="auto"/>
        <w:right w:val="none" w:sz="0" w:space="0" w:color="auto"/>
      </w:divBdr>
    </w:div>
    <w:div w:id="678124015">
      <w:bodyDiv w:val="1"/>
      <w:marLeft w:val="0"/>
      <w:marRight w:val="0"/>
      <w:marTop w:val="0"/>
      <w:marBottom w:val="0"/>
      <w:divBdr>
        <w:top w:val="none" w:sz="0" w:space="0" w:color="auto"/>
        <w:left w:val="none" w:sz="0" w:space="0" w:color="auto"/>
        <w:bottom w:val="none" w:sz="0" w:space="0" w:color="auto"/>
        <w:right w:val="none" w:sz="0" w:space="0" w:color="auto"/>
      </w:divBdr>
    </w:div>
    <w:div w:id="778573661">
      <w:bodyDiv w:val="1"/>
      <w:marLeft w:val="0"/>
      <w:marRight w:val="0"/>
      <w:marTop w:val="0"/>
      <w:marBottom w:val="0"/>
      <w:divBdr>
        <w:top w:val="none" w:sz="0" w:space="0" w:color="auto"/>
        <w:left w:val="none" w:sz="0" w:space="0" w:color="auto"/>
        <w:bottom w:val="none" w:sz="0" w:space="0" w:color="auto"/>
        <w:right w:val="none" w:sz="0" w:space="0" w:color="auto"/>
      </w:divBdr>
    </w:div>
    <w:div w:id="889805430">
      <w:bodyDiv w:val="1"/>
      <w:marLeft w:val="0"/>
      <w:marRight w:val="0"/>
      <w:marTop w:val="0"/>
      <w:marBottom w:val="0"/>
      <w:divBdr>
        <w:top w:val="none" w:sz="0" w:space="0" w:color="auto"/>
        <w:left w:val="none" w:sz="0" w:space="0" w:color="auto"/>
        <w:bottom w:val="none" w:sz="0" w:space="0" w:color="auto"/>
        <w:right w:val="none" w:sz="0" w:space="0" w:color="auto"/>
      </w:divBdr>
    </w:div>
    <w:div w:id="935864000">
      <w:bodyDiv w:val="1"/>
      <w:marLeft w:val="0"/>
      <w:marRight w:val="0"/>
      <w:marTop w:val="0"/>
      <w:marBottom w:val="0"/>
      <w:divBdr>
        <w:top w:val="none" w:sz="0" w:space="0" w:color="auto"/>
        <w:left w:val="none" w:sz="0" w:space="0" w:color="auto"/>
        <w:bottom w:val="none" w:sz="0" w:space="0" w:color="auto"/>
        <w:right w:val="none" w:sz="0" w:space="0" w:color="auto"/>
      </w:divBdr>
    </w:div>
    <w:div w:id="944115745">
      <w:bodyDiv w:val="1"/>
      <w:marLeft w:val="0"/>
      <w:marRight w:val="0"/>
      <w:marTop w:val="0"/>
      <w:marBottom w:val="0"/>
      <w:divBdr>
        <w:top w:val="none" w:sz="0" w:space="0" w:color="auto"/>
        <w:left w:val="none" w:sz="0" w:space="0" w:color="auto"/>
        <w:bottom w:val="none" w:sz="0" w:space="0" w:color="auto"/>
        <w:right w:val="none" w:sz="0" w:space="0" w:color="auto"/>
      </w:divBdr>
      <w:divsChild>
        <w:div w:id="126510333">
          <w:marLeft w:val="675"/>
          <w:marRight w:val="0"/>
          <w:marTop w:val="0"/>
          <w:marBottom w:val="0"/>
          <w:divBdr>
            <w:top w:val="none" w:sz="0" w:space="0" w:color="auto"/>
            <w:left w:val="none" w:sz="0" w:space="0" w:color="auto"/>
            <w:bottom w:val="none" w:sz="0" w:space="0" w:color="auto"/>
            <w:right w:val="none" w:sz="0" w:space="0" w:color="auto"/>
          </w:divBdr>
        </w:div>
        <w:div w:id="1997491014">
          <w:marLeft w:val="675"/>
          <w:marRight w:val="0"/>
          <w:marTop w:val="0"/>
          <w:marBottom w:val="0"/>
          <w:divBdr>
            <w:top w:val="none" w:sz="0" w:space="0" w:color="auto"/>
            <w:left w:val="none" w:sz="0" w:space="0" w:color="auto"/>
            <w:bottom w:val="none" w:sz="0" w:space="0" w:color="auto"/>
            <w:right w:val="none" w:sz="0" w:space="0" w:color="auto"/>
          </w:divBdr>
        </w:div>
        <w:div w:id="1403061129">
          <w:marLeft w:val="675"/>
          <w:marRight w:val="0"/>
          <w:marTop w:val="0"/>
          <w:marBottom w:val="0"/>
          <w:divBdr>
            <w:top w:val="none" w:sz="0" w:space="0" w:color="auto"/>
            <w:left w:val="none" w:sz="0" w:space="0" w:color="auto"/>
            <w:bottom w:val="none" w:sz="0" w:space="0" w:color="auto"/>
            <w:right w:val="none" w:sz="0" w:space="0" w:color="auto"/>
          </w:divBdr>
        </w:div>
      </w:divsChild>
    </w:div>
    <w:div w:id="963080045">
      <w:bodyDiv w:val="1"/>
      <w:marLeft w:val="0"/>
      <w:marRight w:val="0"/>
      <w:marTop w:val="0"/>
      <w:marBottom w:val="0"/>
      <w:divBdr>
        <w:top w:val="none" w:sz="0" w:space="0" w:color="auto"/>
        <w:left w:val="none" w:sz="0" w:space="0" w:color="auto"/>
        <w:bottom w:val="none" w:sz="0" w:space="0" w:color="auto"/>
        <w:right w:val="none" w:sz="0" w:space="0" w:color="auto"/>
      </w:divBdr>
    </w:div>
    <w:div w:id="1148017203">
      <w:bodyDiv w:val="1"/>
      <w:marLeft w:val="0"/>
      <w:marRight w:val="0"/>
      <w:marTop w:val="0"/>
      <w:marBottom w:val="0"/>
      <w:divBdr>
        <w:top w:val="none" w:sz="0" w:space="0" w:color="auto"/>
        <w:left w:val="none" w:sz="0" w:space="0" w:color="auto"/>
        <w:bottom w:val="none" w:sz="0" w:space="0" w:color="auto"/>
        <w:right w:val="none" w:sz="0" w:space="0" w:color="auto"/>
      </w:divBdr>
    </w:div>
    <w:div w:id="1356926542">
      <w:bodyDiv w:val="1"/>
      <w:marLeft w:val="0"/>
      <w:marRight w:val="0"/>
      <w:marTop w:val="0"/>
      <w:marBottom w:val="0"/>
      <w:divBdr>
        <w:top w:val="none" w:sz="0" w:space="0" w:color="auto"/>
        <w:left w:val="none" w:sz="0" w:space="0" w:color="auto"/>
        <w:bottom w:val="none" w:sz="0" w:space="0" w:color="auto"/>
        <w:right w:val="none" w:sz="0" w:space="0" w:color="auto"/>
      </w:divBdr>
    </w:div>
    <w:div w:id="1407726964">
      <w:bodyDiv w:val="1"/>
      <w:marLeft w:val="0"/>
      <w:marRight w:val="0"/>
      <w:marTop w:val="0"/>
      <w:marBottom w:val="0"/>
      <w:divBdr>
        <w:top w:val="none" w:sz="0" w:space="0" w:color="auto"/>
        <w:left w:val="none" w:sz="0" w:space="0" w:color="auto"/>
        <w:bottom w:val="none" w:sz="0" w:space="0" w:color="auto"/>
        <w:right w:val="none" w:sz="0" w:space="0" w:color="auto"/>
      </w:divBdr>
    </w:div>
    <w:div w:id="1446537873">
      <w:bodyDiv w:val="1"/>
      <w:marLeft w:val="0"/>
      <w:marRight w:val="0"/>
      <w:marTop w:val="0"/>
      <w:marBottom w:val="0"/>
      <w:divBdr>
        <w:top w:val="none" w:sz="0" w:space="0" w:color="auto"/>
        <w:left w:val="none" w:sz="0" w:space="0" w:color="auto"/>
        <w:bottom w:val="none" w:sz="0" w:space="0" w:color="auto"/>
        <w:right w:val="none" w:sz="0" w:space="0" w:color="auto"/>
      </w:divBdr>
      <w:divsChild>
        <w:div w:id="1682852516">
          <w:marLeft w:val="675"/>
          <w:marRight w:val="0"/>
          <w:marTop w:val="0"/>
          <w:marBottom w:val="0"/>
          <w:divBdr>
            <w:top w:val="none" w:sz="0" w:space="0" w:color="auto"/>
            <w:left w:val="none" w:sz="0" w:space="0" w:color="auto"/>
            <w:bottom w:val="none" w:sz="0" w:space="0" w:color="auto"/>
            <w:right w:val="none" w:sz="0" w:space="0" w:color="auto"/>
          </w:divBdr>
        </w:div>
        <w:div w:id="321129153">
          <w:marLeft w:val="1350"/>
          <w:marRight w:val="0"/>
          <w:marTop w:val="0"/>
          <w:marBottom w:val="0"/>
          <w:divBdr>
            <w:top w:val="none" w:sz="0" w:space="0" w:color="auto"/>
            <w:left w:val="none" w:sz="0" w:space="0" w:color="auto"/>
            <w:bottom w:val="none" w:sz="0" w:space="0" w:color="auto"/>
            <w:right w:val="none" w:sz="0" w:space="0" w:color="auto"/>
          </w:divBdr>
        </w:div>
        <w:div w:id="494347983">
          <w:marLeft w:val="1350"/>
          <w:marRight w:val="0"/>
          <w:marTop w:val="0"/>
          <w:marBottom w:val="0"/>
          <w:divBdr>
            <w:top w:val="none" w:sz="0" w:space="0" w:color="auto"/>
            <w:left w:val="none" w:sz="0" w:space="0" w:color="auto"/>
            <w:bottom w:val="none" w:sz="0" w:space="0" w:color="auto"/>
            <w:right w:val="none" w:sz="0" w:space="0" w:color="auto"/>
          </w:divBdr>
        </w:div>
        <w:div w:id="1959337980">
          <w:marLeft w:val="1350"/>
          <w:marRight w:val="0"/>
          <w:marTop w:val="0"/>
          <w:marBottom w:val="0"/>
          <w:divBdr>
            <w:top w:val="none" w:sz="0" w:space="0" w:color="auto"/>
            <w:left w:val="none" w:sz="0" w:space="0" w:color="auto"/>
            <w:bottom w:val="none" w:sz="0" w:space="0" w:color="auto"/>
            <w:right w:val="none" w:sz="0" w:space="0" w:color="auto"/>
          </w:divBdr>
        </w:div>
        <w:div w:id="600453655">
          <w:marLeft w:val="1350"/>
          <w:marRight w:val="0"/>
          <w:marTop w:val="0"/>
          <w:marBottom w:val="0"/>
          <w:divBdr>
            <w:top w:val="none" w:sz="0" w:space="0" w:color="auto"/>
            <w:left w:val="none" w:sz="0" w:space="0" w:color="auto"/>
            <w:bottom w:val="none" w:sz="0" w:space="0" w:color="auto"/>
            <w:right w:val="none" w:sz="0" w:space="0" w:color="auto"/>
          </w:divBdr>
        </w:div>
        <w:div w:id="691540433">
          <w:marLeft w:val="1350"/>
          <w:marRight w:val="0"/>
          <w:marTop w:val="0"/>
          <w:marBottom w:val="0"/>
          <w:divBdr>
            <w:top w:val="none" w:sz="0" w:space="0" w:color="auto"/>
            <w:left w:val="none" w:sz="0" w:space="0" w:color="auto"/>
            <w:bottom w:val="none" w:sz="0" w:space="0" w:color="auto"/>
            <w:right w:val="none" w:sz="0" w:space="0" w:color="auto"/>
          </w:divBdr>
        </w:div>
        <w:div w:id="200478143">
          <w:marLeft w:val="1350"/>
          <w:marRight w:val="0"/>
          <w:marTop w:val="0"/>
          <w:marBottom w:val="0"/>
          <w:divBdr>
            <w:top w:val="none" w:sz="0" w:space="0" w:color="auto"/>
            <w:left w:val="none" w:sz="0" w:space="0" w:color="auto"/>
            <w:bottom w:val="none" w:sz="0" w:space="0" w:color="auto"/>
            <w:right w:val="none" w:sz="0" w:space="0" w:color="auto"/>
          </w:divBdr>
        </w:div>
      </w:divsChild>
    </w:div>
    <w:div w:id="1447697073">
      <w:bodyDiv w:val="1"/>
      <w:marLeft w:val="0"/>
      <w:marRight w:val="0"/>
      <w:marTop w:val="0"/>
      <w:marBottom w:val="0"/>
      <w:divBdr>
        <w:top w:val="none" w:sz="0" w:space="0" w:color="auto"/>
        <w:left w:val="none" w:sz="0" w:space="0" w:color="auto"/>
        <w:bottom w:val="none" w:sz="0" w:space="0" w:color="auto"/>
        <w:right w:val="none" w:sz="0" w:space="0" w:color="auto"/>
      </w:divBdr>
    </w:div>
    <w:div w:id="1510410185">
      <w:bodyDiv w:val="1"/>
      <w:marLeft w:val="0"/>
      <w:marRight w:val="0"/>
      <w:marTop w:val="0"/>
      <w:marBottom w:val="0"/>
      <w:divBdr>
        <w:top w:val="none" w:sz="0" w:space="0" w:color="auto"/>
        <w:left w:val="none" w:sz="0" w:space="0" w:color="auto"/>
        <w:bottom w:val="none" w:sz="0" w:space="0" w:color="auto"/>
        <w:right w:val="none" w:sz="0" w:space="0" w:color="auto"/>
      </w:divBdr>
      <w:divsChild>
        <w:div w:id="1894655162">
          <w:marLeft w:val="0"/>
          <w:marRight w:val="0"/>
          <w:marTop w:val="240"/>
          <w:marBottom w:val="0"/>
          <w:divBdr>
            <w:top w:val="none" w:sz="0" w:space="0" w:color="auto"/>
            <w:left w:val="none" w:sz="0" w:space="0" w:color="auto"/>
            <w:bottom w:val="none" w:sz="0" w:space="0" w:color="auto"/>
            <w:right w:val="none" w:sz="0" w:space="0" w:color="auto"/>
          </w:divBdr>
        </w:div>
        <w:div w:id="2093618457">
          <w:marLeft w:val="0"/>
          <w:marRight w:val="0"/>
          <w:marTop w:val="120"/>
          <w:marBottom w:val="0"/>
          <w:divBdr>
            <w:top w:val="none" w:sz="0" w:space="0" w:color="auto"/>
            <w:left w:val="none" w:sz="0" w:space="0" w:color="auto"/>
            <w:bottom w:val="none" w:sz="0" w:space="0" w:color="auto"/>
            <w:right w:val="none" w:sz="0" w:space="0" w:color="auto"/>
          </w:divBdr>
        </w:div>
        <w:div w:id="1552229751">
          <w:marLeft w:val="1134"/>
          <w:marRight w:val="0"/>
          <w:marTop w:val="60"/>
          <w:marBottom w:val="0"/>
          <w:divBdr>
            <w:top w:val="none" w:sz="0" w:space="0" w:color="auto"/>
            <w:left w:val="none" w:sz="0" w:space="0" w:color="auto"/>
            <w:bottom w:val="none" w:sz="0" w:space="0" w:color="auto"/>
            <w:right w:val="none" w:sz="0" w:space="0" w:color="auto"/>
          </w:divBdr>
        </w:div>
        <w:div w:id="1679842901">
          <w:marLeft w:val="1134"/>
          <w:marRight w:val="0"/>
          <w:marTop w:val="60"/>
          <w:marBottom w:val="0"/>
          <w:divBdr>
            <w:top w:val="none" w:sz="0" w:space="0" w:color="auto"/>
            <w:left w:val="none" w:sz="0" w:space="0" w:color="auto"/>
            <w:bottom w:val="none" w:sz="0" w:space="0" w:color="auto"/>
            <w:right w:val="none" w:sz="0" w:space="0" w:color="auto"/>
          </w:divBdr>
        </w:div>
        <w:div w:id="115877923">
          <w:marLeft w:val="1985"/>
          <w:marRight w:val="0"/>
          <w:marTop w:val="60"/>
          <w:marBottom w:val="0"/>
          <w:divBdr>
            <w:top w:val="none" w:sz="0" w:space="0" w:color="auto"/>
            <w:left w:val="none" w:sz="0" w:space="0" w:color="auto"/>
            <w:bottom w:val="none" w:sz="0" w:space="0" w:color="auto"/>
            <w:right w:val="none" w:sz="0" w:space="0" w:color="auto"/>
          </w:divBdr>
        </w:div>
        <w:div w:id="1363281640">
          <w:marLeft w:val="1985"/>
          <w:marRight w:val="0"/>
          <w:marTop w:val="60"/>
          <w:marBottom w:val="0"/>
          <w:divBdr>
            <w:top w:val="none" w:sz="0" w:space="0" w:color="auto"/>
            <w:left w:val="none" w:sz="0" w:space="0" w:color="auto"/>
            <w:bottom w:val="none" w:sz="0" w:space="0" w:color="auto"/>
            <w:right w:val="none" w:sz="0" w:space="0" w:color="auto"/>
          </w:divBdr>
        </w:div>
        <w:div w:id="36899199">
          <w:marLeft w:val="1985"/>
          <w:marRight w:val="0"/>
          <w:marTop w:val="60"/>
          <w:marBottom w:val="0"/>
          <w:divBdr>
            <w:top w:val="none" w:sz="0" w:space="0" w:color="auto"/>
            <w:left w:val="none" w:sz="0" w:space="0" w:color="auto"/>
            <w:bottom w:val="none" w:sz="0" w:space="0" w:color="auto"/>
            <w:right w:val="none" w:sz="0" w:space="0" w:color="auto"/>
          </w:divBdr>
        </w:div>
        <w:div w:id="1737236728">
          <w:marLeft w:val="1134"/>
          <w:marRight w:val="0"/>
          <w:marTop w:val="60"/>
          <w:marBottom w:val="0"/>
          <w:divBdr>
            <w:top w:val="none" w:sz="0" w:space="0" w:color="auto"/>
            <w:left w:val="none" w:sz="0" w:space="0" w:color="auto"/>
            <w:bottom w:val="none" w:sz="0" w:space="0" w:color="auto"/>
            <w:right w:val="none" w:sz="0" w:space="0" w:color="auto"/>
          </w:divBdr>
        </w:div>
        <w:div w:id="1744251814">
          <w:marLeft w:val="0"/>
          <w:marRight w:val="0"/>
          <w:marTop w:val="120"/>
          <w:marBottom w:val="0"/>
          <w:divBdr>
            <w:top w:val="none" w:sz="0" w:space="0" w:color="auto"/>
            <w:left w:val="none" w:sz="0" w:space="0" w:color="auto"/>
            <w:bottom w:val="none" w:sz="0" w:space="0" w:color="auto"/>
            <w:right w:val="none" w:sz="0" w:space="0" w:color="auto"/>
          </w:divBdr>
        </w:div>
        <w:div w:id="471481351">
          <w:marLeft w:val="1134"/>
          <w:marRight w:val="0"/>
          <w:marTop w:val="60"/>
          <w:marBottom w:val="0"/>
          <w:divBdr>
            <w:top w:val="none" w:sz="0" w:space="0" w:color="auto"/>
            <w:left w:val="none" w:sz="0" w:space="0" w:color="auto"/>
            <w:bottom w:val="none" w:sz="0" w:space="0" w:color="auto"/>
            <w:right w:val="none" w:sz="0" w:space="0" w:color="auto"/>
          </w:divBdr>
        </w:div>
        <w:div w:id="2112508439">
          <w:marLeft w:val="1985"/>
          <w:marRight w:val="0"/>
          <w:marTop w:val="60"/>
          <w:marBottom w:val="0"/>
          <w:divBdr>
            <w:top w:val="none" w:sz="0" w:space="0" w:color="auto"/>
            <w:left w:val="none" w:sz="0" w:space="0" w:color="auto"/>
            <w:bottom w:val="none" w:sz="0" w:space="0" w:color="auto"/>
            <w:right w:val="none" w:sz="0" w:space="0" w:color="auto"/>
          </w:divBdr>
        </w:div>
        <w:div w:id="1731734435">
          <w:marLeft w:val="1985"/>
          <w:marRight w:val="0"/>
          <w:marTop w:val="60"/>
          <w:marBottom w:val="0"/>
          <w:divBdr>
            <w:top w:val="none" w:sz="0" w:space="0" w:color="auto"/>
            <w:left w:val="none" w:sz="0" w:space="0" w:color="auto"/>
            <w:bottom w:val="none" w:sz="0" w:space="0" w:color="auto"/>
            <w:right w:val="none" w:sz="0" w:space="0" w:color="auto"/>
          </w:divBdr>
        </w:div>
        <w:div w:id="722173079">
          <w:marLeft w:val="1134"/>
          <w:marRight w:val="0"/>
          <w:marTop w:val="60"/>
          <w:marBottom w:val="0"/>
          <w:divBdr>
            <w:top w:val="none" w:sz="0" w:space="0" w:color="auto"/>
            <w:left w:val="none" w:sz="0" w:space="0" w:color="auto"/>
            <w:bottom w:val="none" w:sz="0" w:space="0" w:color="auto"/>
            <w:right w:val="none" w:sz="0" w:space="0" w:color="auto"/>
          </w:divBdr>
        </w:div>
        <w:div w:id="1393769728">
          <w:marLeft w:val="1134"/>
          <w:marRight w:val="0"/>
          <w:marTop w:val="60"/>
          <w:marBottom w:val="0"/>
          <w:divBdr>
            <w:top w:val="none" w:sz="0" w:space="0" w:color="auto"/>
            <w:left w:val="none" w:sz="0" w:space="0" w:color="auto"/>
            <w:bottom w:val="none" w:sz="0" w:space="0" w:color="auto"/>
            <w:right w:val="none" w:sz="0" w:space="0" w:color="auto"/>
          </w:divBdr>
        </w:div>
        <w:div w:id="1277324077">
          <w:marLeft w:val="1985"/>
          <w:marRight w:val="0"/>
          <w:marTop w:val="60"/>
          <w:marBottom w:val="0"/>
          <w:divBdr>
            <w:top w:val="none" w:sz="0" w:space="0" w:color="auto"/>
            <w:left w:val="none" w:sz="0" w:space="0" w:color="auto"/>
            <w:bottom w:val="none" w:sz="0" w:space="0" w:color="auto"/>
            <w:right w:val="none" w:sz="0" w:space="0" w:color="auto"/>
          </w:divBdr>
        </w:div>
        <w:div w:id="1045325145">
          <w:marLeft w:val="1985"/>
          <w:marRight w:val="0"/>
          <w:marTop w:val="60"/>
          <w:marBottom w:val="0"/>
          <w:divBdr>
            <w:top w:val="none" w:sz="0" w:space="0" w:color="auto"/>
            <w:left w:val="none" w:sz="0" w:space="0" w:color="auto"/>
            <w:bottom w:val="none" w:sz="0" w:space="0" w:color="auto"/>
            <w:right w:val="none" w:sz="0" w:space="0" w:color="auto"/>
          </w:divBdr>
        </w:div>
        <w:div w:id="985745008">
          <w:marLeft w:val="1134"/>
          <w:marRight w:val="0"/>
          <w:marTop w:val="60"/>
          <w:marBottom w:val="0"/>
          <w:divBdr>
            <w:top w:val="none" w:sz="0" w:space="0" w:color="auto"/>
            <w:left w:val="none" w:sz="0" w:space="0" w:color="auto"/>
            <w:bottom w:val="none" w:sz="0" w:space="0" w:color="auto"/>
            <w:right w:val="none" w:sz="0" w:space="0" w:color="auto"/>
          </w:divBdr>
        </w:div>
      </w:divsChild>
    </w:div>
    <w:div w:id="1528255065">
      <w:bodyDiv w:val="1"/>
      <w:marLeft w:val="0"/>
      <w:marRight w:val="0"/>
      <w:marTop w:val="0"/>
      <w:marBottom w:val="0"/>
      <w:divBdr>
        <w:top w:val="none" w:sz="0" w:space="0" w:color="auto"/>
        <w:left w:val="none" w:sz="0" w:space="0" w:color="auto"/>
        <w:bottom w:val="none" w:sz="0" w:space="0" w:color="auto"/>
        <w:right w:val="none" w:sz="0" w:space="0" w:color="auto"/>
      </w:divBdr>
    </w:div>
    <w:div w:id="1572883388">
      <w:bodyDiv w:val="1"/>
      <w:marLeft w:val="0"/>
      <w:marRight w:val="0"/>
      <w:marTop w:val="0"/>
      <w:marBottom w:val="0"/>
      <w:divBdr>
        <w:top w:val="none" w:sz="0" w:space="0" w:color="auto"/>
        <w:left w:val="none" w:sz="0" w:space="0" w:color="auto"/>
        <w:bottom w:val="none" w:sz="0" w:space="0" w:color="auto"/>
        <w:right w:val="none" w:sz="0" w:space="0" w:color="auto"/>
      </w:divBdr>
      <w:divsChild>
        <w:div w:id="84421329">
          <w:marLeft w:val="0"/>
          <w:marRight w:val="0"/>
          <w:marTop w:val="240"/>
          <w:marBottom w:val="0"/>
          <w:divBdr>
            <w:top w:val="none" w:sz="0" w:space="0" w:color="auto"/>
            <w:left w:val="none" w:sz="0" w:space="0" w:color="auto"/>
            <w:bottom w:val="none" w:sz="0" w:space="0" w:color="auto"/>
            <w:right w:val="none" w:sz="0" w:space="0" w:color="auto"/>
          </w:divBdr>
        </w:div>
        <w:div w:id="846675730">
          <w:marLeft w:val="0"/>
          <w:marRight w:val="0"/>
          <w:marTop w:val="120"/>
          <w:marBottom w:val="0"/>
          <w:divBdr>
            <w:top w:val="none" w:sz="0" w:space="0" w:color="auto"/>
            <w:left w:val="none" w:sz="0" w:space="0" w:color="auto"/>
            <w:bottom w:val="none" w:sz="0" w:space="0" w:color="auto"/>
            <w:right w:val="none" w:sz="0" w:space="0" w:color="auto"/>
          </w:divBdr>
        </w:div>
        <w:div w:id="1068649635">
          <w:marLeft w:val="1134"/>
          <w:marRight w:val="0"/>
          <w:marTop w:val="60"/>
          <w:marBottom w:val="0"/>
          <w:divBdr>
            <w:top w:val="none" w:sz="0" w:space="0" w:color="auto"/>
            <w:left w:val="none" w:sz="0" w:space="0" w:color="auto"/>
            <w:bottom w:val="none" w:sz="0" w:space="0" w:color="auto"/>
            <w:right w:val="none" w:sz="0" w:space="0" w:color="auto"/>
          </w:divBdr>
        </w:div>
        <w:div w:id="713194323">
          <w:marLeft w:val="1134"/>
          <w:marRight w:val="0"/>
          <w:marTop w:val="60"/>
          <w:marBottom w:val="0"/>
          <w:divBdr>
            <w:top w:val="none" w:sz="0" w:space="0" w:color="auto"/>
            <w:left w:val="none" w:sz="0" w:space="0" w:color="auto"/>
            <w:bottom w:val="none" w:sz="0" w:space="0" w:color="auto"/>
            <w:right w:val="none" w:sz="0" w:space="0" w:color="auto"/>
          </w:divBdr>
        </w:div>
        <w:div w:id="1070150744">
          <w:marLeft w:val="1134"/>
          <w:marRight w:val="0"/>
          <w:marTop w:val="60"/>
          <w:marBottom w:val="0"/>
          <w:divBdr>
            <w:top w:val="none" w:sz="0" w:space="0" w:color="auto"/>
            <w:left w:val="none" w:sz="0" w:space="0" w:color="auto"/>
            <w:bottom w:val="none" w:sz="0" w:space="0" w:color="auto"/>
            <w:right w:val="none" w:sz="0" w:space="0" w:color="auto"/>
          </w:divBdr>
        </w:div>
        <w:div w:id="865286622">
          <w:marLeft w:val="1134"/>
          <w:marRight w:val="0"/>
          <w:marTop w:val="60"/>
          <w:marBottom w:val="0"/>
          <w:divBdr>
            <w:top w:val="none" w:sz="0" w:space="0" w:color="auto"/>
            <w:left w:val="none" w:sz="0" w:space="0" w:color="auto"/>
            <w:bottom w:val="none" w:sz="0" w:space="0" w:color="auto"/>
            <w:right w:val="none" w:sz="0" w:space="0" w:color="auto"/>
          </w:divBdr>
        </w:div>
        <w:div w:id="18355479">
          <w:marLeft w:val="1134"/>
          <w:marRight w:val="0"/>
          <w:marTop w:val="60"/>
          <w:marBottom w:val="0"/>
          <w:divBdr>
            <w:top w:val="none" w:sz="0" w:space="0" w:color="auto"/>
            <w:left w:val="none" w:sz="0" w:space="0" w:color="auto"/>
            <w:bottom w:val="none" w:sz="0" w:space="0" w:color="auto"/>
            <w:right w:val="none" w:sz="0" w:space="0" w:color="auto"/>
          </w:divBdr>
        </w:div>
        <w:div w:id="819730467">
          <w:marLeft w:val="1134"/>
          <w:marRight w:val="0"/>
          <w:marTop w:val="60"/>
          <w:marBottom w:val="0"/>
          <w:divBdr>
            <w:top w:val="none" w:sz="0" w:space="0" w:color="auto"/>
            <w:left w:val="none" w:sz="0" w:space="0" w:color="auto"/>
            <w:bottom w:val="none" w:sz="0" w:space="0" w:color="auto"/>
            <w:right w:val="none" w:sz="0" w:space="0" w:color="auto"/>
          </w:divBdr>
        </w:div>
        <w:div w:id="2062973619">
          <w:marLeft w:val="1134"/>
          <w:marRight w:val="0"/>
          <w:marTop w:val="60"/>
          <w:marBottom w:val="0"/>
          <w:divBdr>
            <w:top w:val="none" w:sz="0" w:space="0" w:color="auto"/>
            <w:left w:val="none" w:sz="0" w:space="0" w:color="auto"/>
            <w:bottom w:val="none" w:sz="0" w:space="0" w:color="auto"/>
            <w:right w:val="none" w:sz="0" w:space="0" w:color="auto"/>
          </w:divBdr>
        </w:div>
        <w:div w:id="1228688468">
          <w:marLeft w:val="1134"/>
          <w:marRight w:val="0"/>
          <w:marTop w:val="60"/>
          <w:marBottom w:val="0"/>
          <w:divBdr>
            <w:top w:val="none" w:sz="0" w:space="0" w:color="auto"/>
            <w:left w:val="none" w:sz="0" w:space="0" w:color="auto"/>
            <w:bottom w:val="none" w:sz="0" w:space="0" w:color="auto"/>
            <w:right w:val="none" w:sz="0" w:space="0" w:color="auto"/>
          </w:divBdr>
        </w:div>
        <w:div w:id="1165510807">
          <w:marLeft w:val="1134"/>
          <w:marRight w:val="0"/>
          <w:marTop w:val="60"/>
          <w:marBottom w:val="0"/>
          <w:divBdr>
            <w:top w:val="none" w:sz="0" w:space="0" w:color="auto"/>
            <w:left w:val="none" w:sz="0" w:space="0" w:color="auto"/>
            <w:bottom w:val="none" w:sz="0" w:space="0" w:color="auto"/>
            <w:right w:val="none" w:sz="0" w:space="0" w:color="auto"/>
          </w:divBdr>
        </w:div>
        <w:div w:id="1833061795">
          <w:marLeft w:val="0"/>
          <w:marRight w:val="0"/>
          <w:marTop w:val="120"/>
          <w:marBottom w:val="0"/>
          <w:divBdr>
            <w:top w:val="none" w:sz="0" w:space="0" w:color="auto"/>
            <w:left w:val="none" w:sz="0" w:space="0" w:color="auto"/>
            <w:bottom w:val="none" w:sz="0" w:space="0" w:color="auto"/>
            <w:right w:val="none" w:sz="0" w:space="0" w:color="auto"/>
          </w:divBdr>
        </w:div>
        <w:div w:id="48968186">
          <w:marLeft w:val="1134"/>
          <w:marRight w:val="0"/>
          <w:marTop w:val="60"/>
          <w:marBottom w:val="0"/>
          <w:divBdr>
            <w:top w:val="none" w:sz="0" w:space="0" w:color="auto"/>
            <w:left w:val="none" w:sz="0" w:space="0" w:color="auto"/>
            <w:bottom w:val="none" w:sz="0" w:space="0" w:color="auto"/>
            <w:right w:val="none" w:sz="0" w:space="0" w:color="auto"/>
          </w:divBdr>
        </w:div>
        <w:div w:id="1802189494">
          <w:marLeft w:val="1134"/>
          <w:marRight w:val="0"/>
          <w:marTop w:val="60"/>
          <w:marBottom w:val="0"/>
          <w:divBdr>
            <w:top w:val="none" w:sz="0" w:space="0" w:color="auto"/>
            <w:left w:val="none" w:sz="0" w:space="0" w:color="auto"/>
            <w:bottom w:val="none" w:sz="0" w:space="0" w:color="auto"/>
            <w:right w:val="none" w:sz="0" w:space="0" w:color="auto"/>
          </w:divBdr>
        </w:div>
        <w:div w:id="1639841878">
          <w:marLeft w:val="1134"/>
          <w:marRight w:val="0"/>
          <w:marTop w:val="60"/>
          <w:marBottom w:val="0"/>
          <w:divBdr>
            <w:top w:val="none" w:sz="0" w:space="0" w:color="auto"/>
            <w:left w:val="none" w:sz="0" w:space="0" w:color="auto"/>
            <w:bottom w:val="none" w:sz="0" w:space="0" w:color="auto"/>
            <w:right w:val="none" w:sz="0" w:space="0" w:color="auto"/>
          </w:divBdr>
        </w:div>
      </w:divsChild>
    </w:div>
    <w:div w:id="1599488903">
      <w:bodyDiv w:val="1"/>
      <w:marLeft w:val="0"/>
      <w:marRight w:val="0"/>
      <w:marTop w:val="0"/>
      <w:marBottom w:val="0"/>
      <w:divBdr>
        <w:top w:val="none" w:sz="0" w:space="0" w:color="auto"/>
        <w:left w:val="none" w:sz="0" w:space="0" w:color="auto"/>
        <w:bottom w:val="none" w:sz="0" w:space="0" w:color="auto"/>
        <w:right w:val="none" w:sz="0" w:space="0" w:color="auto"/>
      </w:divBdr>
      <w:divsChild>
        <w:div w:id="1216626370">
          <w:marLeft w:val="675"/>
          <w:marRight w:val="0"/>
          <w:marTop w:val="0"/>
          <w:marBottom w:val="0"/>
          <w:divBdr>
            <w:top w:val="none" w:sz="0" w:space="0" w:color="auto"/>
            <w:left w:val="none" w:sz="0" w:space="0" w:color="auto"/>
            <w:bottom w:val="none" w:sz="0" w:space="0" w:color="auto"/>
            <w:right w:val="none" w:sz="0" w:space="0" w:color="auto"/>
          </w:divBdr>
        </w:div>
        <w:div w:id="998534034">
          <w:marLeft w:val="1350"/>
          <w:marRight w:val="0"/>
          <w:marTop w:val="0"/>
          <w:marBottom w:val="0"/>
          <w:divBdr>
            <w:top w:val="none" w:sz="0" w:space="0" w:color="auto"/>
            <w:left w:val="none" w:sz="0" w:space="0" w:color="auto"/>
            <w:bottom w:val="none" w:sz="0" w:space="0" w:color="auto"/>
            <w:right w:val="none" w:sz="0" w:space="0" w:color="auto"/>
          </w:divBdr>
        </w:div>
        <w:div w:id="1561817984">
          <w:marLeft w:val="1350"/>
          <w:marRight w:val="0"/>
          <w:marTop w:val="0"/>
          <w:marBottom w:val="0"/>
          <w:divBdr>
            <w:top w:val="none" w:sz="0" w:space="0" w:color="auto"/>
            <w:left w:val="none" w:sz="0" w:space="0" w:color="auto"/>
            <w:bottom w:val="none" w:sz="0" w:space="0" w:color="auto"/>
            <w:right w:val="none" w:sz="0" w:space="0" w:color="auto"/>
          </w:divBdr>
        </w:div>
        <w:div w:id="660277920">
          <w:marLeft w:val="1350"/>
          <w:marRight w:val="0"/>
          <w:marTop w:val="0"/>
          <w:marBottom w:val="0"/>
          <w:divBdr>
            <w:top w:val="none" w:sz="0" w:space="0" w:color="auto"/>
            <w:left w:val="none" w:sz="0" w:space="0" w:color="auto"/>
            <w:bottom w:val="none" w:sz="0" w:space="0" w:color="auto"/>
            <w:right w:val="none" w:sz="0" w:space="0" w:color="auto"/>
          </w:divBdr>
        </w:div>
        <w:div w:id="841969336">
          <w:marLeft w:val="1350"/>
          <w:marRight w:val="0"/>
          <w:marTop w:val="0"/>
          <w:marBottom w:val="0"/>
          <w:divBdr>
            <w:top w:val="none" w:sz="0" w:space="0" w:color="auto"/>
            <w:left w:val="none" w:sz="0" w:space="0" w:color="auto"/>
            <w:bottom w:val="none" w:sz="0" w:space="0" w:color="auto"/>
            <w:right w:val="none" w:sz="0" w:space="0" w:color="auto"/>
          </w:divBdr>
        </w:div>
        <w:div w:id="1041980016">
          <w:marLeft w:val="1350"/>
          <w:marRight w:val="0"/>
          <w:marTop w:val="0"/>
          <w:marBottom w:val="0"/>
          <w:divBdr>
            <w:top w:val="none" w:sz="0" w:space="0" w:color="auto"/>
            <w:left w:val="none" w:sz="0" w:space="0" w:color="auto"/>
            <w:bottom w:val="none" w:sz="0" w:space="0" w:color="auto"/>
            <w:right w:val="none" w:sz="0" w:space="0" w:color="auto"/>
          </w:divBdr>
        </w:div>
        <w:div w:id="692003748">
          <w:marLeft w:val="1350"/>
          <w:marRight w:val="0"/>
          <w:marTop w:val="0"/>
          <w:marBottom w:val="0"/>
          <w:divBdr>
            <w:top w:val="none" w:sz="0" w:space="0" w:color="auto"/>
            <w:left w:val="none" w:sz="0" w:space="0" w:color="auto"/>
            <w:bottom w:val="none" w:sz="0" w:space="0" w:color="auto"/>
            <w:right w:val="none" w:sz="0" w:space="0" w:color="auto"/>
          </w:divBdr>
        </w:div>
      </w:divsChild>
    </w:div>
    <w:div w:id="1650938038">
      <w:bodyDiv w:val="1"/>
      <w:marLeft w:val="0"/>
      <w:marRight w:val="0"/>
      <w:marTop w:val="0"/>
      <w:marBottom w:val="0"/>
      <w:divBdr>
        <w:top w:val="none" w:sz="0" w:space="0" w:color="auto"/>
        <w:left w:val="none" w:sz="0" w:space="0" w:color="auto"/>
        <w:bottom w:val="none" w:sz="0" w:space="0" w:color="auto"/>
        <w:right w:val="none" w:sz="0" w:space="0" w:color="auto"/>
      </w:divBdr>
    </w:div>
    <w:div w:id="1663004153">
      <w:bodyDiv w:val="1"/>
      <w:marLeft w:val="0"/>
      <w:marRight w:val="0"/>
      <w:marTop w:val="0"/>
      <w:marBottom w:val="0"/>
      <w:divBdr>
        <w:top w:val="none" w:sz="0" w:space="0" w:color="auto"/>
        <w:left w:val="none" w:sz="0" w:space="0" w:color="auto"/>
        <w:bottom w:val="none" w:sz="0" w:space="0" w:color="auto"/>
        <w:right w:val="none" w:sz="0" w:space="0" w:color="auto"/>
      </w:divBdr>
    </w:div>
    <w:div w:id="1721200513">
      <w:bodyDiv w:val="1"/>
      <w:marLeft w:val="0"/>
      <w:marRight w:val="0"/>
      <w:marTop w:val="0"/>
      <w:marBottom w:val="0"/>
      <w:divBdr>
        <w:top w:val="none" w:sz="0" w:space="0" w:color="auto"/>
        <w:left w:val="none" w:sz="0" w:space="0" w:color="auto"/>
        <w:bottom w:val="none" w:sz="0" w:space="0" w:color="auto"/>
        <w:right w:val="none" w:sz="0" w:space="0" w:color="auto"/>
      </w:divBdr>
    </w:div>
    <w:div w:id="1724601209">
      <w:bodyDiv w:val="1"/>
      <w:marLeft w:val="0"/>
      <w:marRight w:val="0"/>
      <w:marTop w:val="0"/>
      <w:marBottom w:val="0"/>
      <w:divBdr>
        <w:top w:val="none" w:sz="0" w:space="0" w:color="auto"/>
        <w:left w:val="none" w:sz="0" w:space="0" w:color="auto"/>
        <w:bottom w:val="none" w:sz="0" w:space="0" w:color="auto"/>
        <w:right w:val="none" w:sz="0" w:space="0" w:color="auto"/>
      </w:divBdr>
    </w:div>
    <w:div w:id="1858035240">
      <w:bodyDiv w:val="1"/>
      <w:marLeft w:val="0"/>
      <w:marRight w:val="0"/>
      <w:marTop w:val="0"/>
      <w:marBottom w:val="0"/>
      <w:divBdr>
        <w:top w:val="none" w:sz="0" w:space="0" w:color="auto"/>
        <w:left w:val="none" w:sz="0" w:space="0" w:color="auto"/>
        <w:bottom w:val="none" w:sz="0" w:space="0" w:color="auto"/>
        <w:right w:val="none" w:sz="0" w:space="0" w:color="auto"/>
      </w:divBdr>
    </w:div>
    <w:div w:id="19095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y2003v6SApg190" TargetMode="External"/><Relationship Id="rId4" Type="http://schemas.openxmlformats.org/officeDocument/2006/relationships/settings" Target="settings.xml"/><Relationship Id="rId9" Type="http://schemas.openxmlformats.org/officeDocument/2006/relationships/hyperlink" Target="https://app.jutastatevolve.co.za/y1985v1SApg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C839-8F91-4D18-B244-A7D1A6E4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10695</Words>
  <Characters>60967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Dewald van Jaarsveld</dc:creator>
  <cp:keywords/>
  <dc:description/>
  <cp:lastModifiedBy>Sharon Veerapen</cp:lastModifiedBy>
  <cp:revision>2</cp:revision>
  <cp:lastPrinted>2022-02-24T08:14:00Z</cp:lastPrinted>
  <dcterms:created xsi:type="dcterms:W3CDTF">2022-12-07T10:25:00Z</dcterms:created>
  <dcterms:modified xsi:type="dcterms:W3CDTF">2022-12-07T10:25:00Z</dcterms:modified>
</cp:coreProperties>
</file>