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776D" w14:textId="02783C7C" w:rsidR="007839D3" w:rsidRDefault="007839D3" w:rsidP="001D5C2E">
      <w:pPr>
        <w:spacing w:after="0" w:line="240" w:lineRule="auto"/>
        <w:outlineLvl w:val="0"/>
        <w:rPr>
          <w:rFonts w:eastAsia="Times New Roman" w:cstheme="minorHAnsi"/>
          <w:kern w:val="36"/>
          <w:lang w:eastAsia="en-ZA"/>
        </w:rPr>
      </w:pPr>
      <w:r w:rsidRPr="007839D3">
        <w:rPr>
          <w:rFonts w:eastAsia="Times New Roman" w:cstheme="minorHAnsi"/>
          <w:b/>
          <w:bCs/>
          <w:kern w:val="36"/>
          <w:sz w:val="28"/>
          <w:szCs w:val="28"/>
          <w:lang w:eastAsia="en-ZA"/>
        </w:rPr>
        <w:t>X and Others v Bulgaria</w:t>
      </w:r>
      <w:r w:rsidR="001D5C2E">
        <w:rPr>
          <w:rFonts w:eastAsia="Times New Roman" w:cstheme="minorHAnsi"/>
          <w:b/>
          <w:bCs/>
          <w:kern w:val="36"/>
          <w:sz w:val="28"/>
          <w:szCs w:val="28"/>
          <w:lang w:eastAsia="en-ZA"/>
        </w:rPr>
        <w:t xml:space="preserve"> (European Court of Human Rights, 2 February 2021)</w:t>
      </w:r>
    </w:p>
    <w:p w14:paraId="59B507C9" w14:textId="0F86E436" w:rsidR="001D5C2E" w:rsidRPr="001D5C2E" w:rsidRDefault="001D5C2E" w:rsidP="001D5C2E">
      <w:pPr>
        <w:spacing w:after="0" w:line="240" w:lineRule="auto"/>
        <w:outlineLvl w:val="0"/>
        <w:rPr>
          <w:rFonts w:eastAsia="Times New Roman" w:cstheme="minorHAnsi"/>
          <w:i/>
          <w:iCs/>
          <w:kern w:val="36"/>
          <w:lang w:eastAsia="en-ZA"/>
        </w:rPr>
      </w:pPr>
      <w:r w:rsidRPr="001D5C2E">
        <w:rPr>
          <w:rFonts w:eastAsia="Times New Roman" w:cstheme="minorHAnsi"/>
          <w:i/>
          <w:iCs/>
          <w:kern w:val="36"/>
          <w:lang w:eastAsia="en-ZA"/>
        </w:rPr>
        <w:t xml:space="preserve">Submitted by the Child Witness Institute </w:t>
      </w:r>
    </w:p>
    <w:p w14:paraId="44EDAF47" w14:textId="6D6A1174" w:rsidR="001D5C2E" w:rsidRDefault="001D5C2E" w:rsidP="001D5C2E">
      <w:pPr>
        <w:spacing w:after="0" w:line="240" w:lineRule="auto"/>
        <w:outlineLvl w:val="0"/>
        <w:rPr>
          <w:rFonts w:eastAsia="Times New Roman" w:cstheme="minorHAnsi"/>
          <w:kern w:val="36"/>
          <w:lang w:eastAsia="en-ZA"/>
        </w:rPr>
      </w:pPr>
    </w:p>
    <w:p w14:paraId="192C871B" w14:textId="77777777" w:rsidR="001D5C2E" w:rsidRPr="001D5C2E" w:rsidRDefault="001D5C2E" w:rsidP="001D5C2E">
      <w:pPr>
        <w:spacing w:after="0" w:line="240" w:lineRule="auto"/>
        <w:outlineLvl w:val="0"/>
        <w:rPr>
          <w:rFonts w:eastAsia="Times New Roman" w:cstheme="minorHAnsi"/>
          <w:kern w:val="36"/>
          <w:lang w:eastAsia="en-ZA"/>
        </w:rPr>
      </w:pPr>
    </w:p>
    <w:tbl>
      <w:tblPr>
        <w:tblStyle w:val="TableGrid"/>
        <w:tblW w:w="0" w:type="auto"/>
        <w:tblInd w:w="108" w:type="dxa"/>
        <w:tblLook w:val="04A0" w:firstRow="1" w:lastRow="0" w:firstColumn="1" w:lastColumn="0" w:noHBand="0" w:noVBand="1"/>
      </w:tblPr>
      <w:tblGrid>
        <w:gridCol w:w="4432"/>
        <w:gridCol w:w="22"/>
        <w:gridCol w:w="4454"/>
      </w:tblGrid>
      <w:tr w:rsidR="001D5C2E" w:rsidRPr="001D5C2E" w14:paraId="6F082E30" w14:textId="77777777" w:rsidTr="004D7482">
        <w:tc>
          <w:tcPr>
            <w:tcW w:w="8908" w:type="dxa"/>
            <w:gridSpan w:val="3"/>
            <w:shd w:val="clear" w:color="auto" w:fill="ACB9CA" w:themeFill="text2" w:themeFillTint="66"/>
          </w:tcPr>
          <w:p w14:paraId="6121F6DC" w14:textId="77777777" w:rsidR="001D5C2E" w:rsidRPr="001D5C2E" w:rsidRDefault="001D5C2E" w:rsidP="001D5C2E">
            <w:pPr>
              <w:spacing w:line="360" w:lineRule="auto"/>
              <w:jc w:val="center"/>
              <w:rPr>
                <w:rFonts w:cs="Tunga"/>
                <w:b/>
                <w:sz w:val="24"/>
                <w:szCs w:val="24"/>
              </w:rPr>
            </w:pPr>
            <w:r w:rsidRPr="001D5C2E">
              <w:rPr>
                <w:rFonts w:cs="Tunga"/>
                <w:b/>
                <w:sz w:val="24"/>
                <w:szCs w:val="24"/>
              </w:rPr>
              <w:t>KEY CONCEPTS</w:t>
            </w:r>
          </w:p>
        </w:tc>
      </w:tr>
      <w:tr w:rsidR="001D5C2E" w:rsidRPr="001D5C2E" w14:paraId="618DEA95" w14:textId="77777777" w:rsidTr="004D7482">
        <w:tc>
          <w:tcPr>
            <w:tcW w:w="4432" w:type="dxa"/>
          </w:tcPr>
          <w:p w14:paraId="27E0D73B" w14:textId="6AD052B2" w:rsidR="001D5C2E" w:rsidRPr="001D5C2E" w:rsidRDefault="00475BF7" w:rsidP="001D5C2E">
            <w:pPr>
              <w:jc w:val="both"/>
              <w:rPr>
                <w:rFonts w:cs="Tunga"/>
              </w:rPr>
            </w:pPr>
            <w:r>
              <w:rPr>
                <w:rFonts w:cs="Tunga"/>
              </w:rPr>
              <w:t>Child Rights</w:t>
            </w:r>
          </w:p>
        </w:tc>
        <w:tc>
          <w:tcPr>
            <w:tcW w:w="4476" w:type="dxa"/>
            <w:gridSpan w:val="2"/>
          </w:tcPr>
          <w:p w14:paraId="77ADCC92" w14:textId="2E53008B" w:rsidR="001D5C2E" w:rsidRPr="001D5C2E" w:rsidRDefault="00475BF7" w:rsidP="001D5C2E">
            <w:pPr>
              <w:spacing w:line="360" w:lineRule="auto"/>
              <w:jc w:val="both"/>
              <w:rPr>
                <w:rFonts w:cs="Tunga"/>
              </w:rPr>
            </w:pPr>
            <w:r>
              <w:rPr>
                <w:rFonts w:cs="Tunga"/>
              </w:rPr>
              <w:t>Children in institutional care</w:t>
            </w:r>
          </w:p>
        </w:tc>
      </w:tr>
      <w:tr w:rsidR="001D5C2E" w:rsidRPr="001D5C2E" w14:paraId="75386F1A" w14:textId="77777777" w:rsidTr="004D7482">
        <w:tc>
          <w:tcPr>
            <w:tcW w:w="4454" w:type="dxa"/>
            <w:gridSpan w:val="2"/>
          </w:tcPr>
          <w:p w14:paraId="1C6D458D" w14:textId="5648110F" w:rsidR="001D5C2E" w:rsidRPr="001D5C2E" w:rsidRDefault="00475BF7" w:rsidP="001D5C2E">
            <w:pPr>
              <w:spacing w:line="360" w:lineRule="auto"/>
              <w:jc w:val="both"/>
              <w:rPr>
                <w:rFonts w:cs="Tunga"/>
              </w:rPr>
            </w:pPr>
            <w:r>
              <w:rPr>
                <w:rFonts w:cs="Tunga"/>
              </w:rPr>
              <w:t>Child sexual abuse</w:t>
            </w:r>
          </w:p>
        </w:tc>
        <w:tc>
          <w:tcPr>
            <w:tcW w:w="4454" w:type="dxa"/>
          </w:tcPr>
          <w:p w14:paraId="2711E986" w14:textId="1DB59995" w:rsidR="001D5C2E" w:rsidRPr="001D5C2E" w:rsidRDefault="00475BF7" w:rsidP="001D5C2E">
            <w:pPr>
              <w:spacing w:line="360" w:lineRule="auto"/>
              <w:jc w:val="both"/>
              <w:rPr>
                <w:rFonts w:cs="Tunga"/>
              </w:rPr>
            </w:pPr>
            <w:r>
              <w:rPr>
                <w:rFonts w:cs="Tunga"/>
              </w:rPr>
              <w:t>Lanzarote Convention</w:t>
            </w:r>
          </w:p>
        </w:tc>
      </w:tr>
      <w:tr w:rsidR="001D5C2E" w:rsidRPr="001D5C2E" w14:paraId="6346C2A7" w14:textId="77777777" w:rsidTr="004D7482">
        <w:tc>
          <w:tcPr>
            <w:tcW w:w="4454" w:type="dxa"/>
            <w:gridSpan w:val="2"/>
          </w:tcPr>
          <w:p w14:paraId="110B25D8" w14:textId="41279D20" w:rsidR="001D5C2E" w:rsidRPr="001D5C2E" w:rsidRDefault="00475BF7" w:rsidP="001D5C2E">
            <w:pPr>
              <w:spacing w:line="360" w:lineRule="auto"/>
              <w:jc w:val="both"/>
              <w:rPr>
                <w:rFonts w:cs="Tunga"/>
              </w:rPr>
            </w:pPr>
            <w:r>
              <w:rPr>
                <w:rFonts w:cs="Tunga"/>
              </w:rPr>
              <w:t>Access to procedural justice for children</w:t>
            </w:r>
          </w:p>
        </w:tc>
        <w:tc>
          <w:tcPr>
            <w:tcW w:w="4454" w:type="dxa"/>
          </w:tcPr>
          <w:p w14:paraId="73B78A6F" w14:textId="09DC5CB1" w:rsidR="001D5C2E" w:rsidRPr="001D5C2E" w:rsidRDefault="00475BF7" w:rsidP="001D5C2E">
            <w:pPr>
              <w:spacing w:line="360" w:lineRule="auto"/>
              <w:jc w:val="both"/>
              <w:rPr>
                <w:rFonts w:cs="Tunga"/>
              </w:rPr>
            </w:pPr>
            <w:r>
              <w:rPr>
                <w:rFonts w:cs="Tunga"/>
              </w:rPr>
              <w:t>European Court of Human Rights</w:t>
            </w:r>
          </w:p>
        </w:tc>
      </w:tr>
      <w:tr w:rsidR="00475BF7" w:rsidRPr="001D5C2E" w14:paraId="697688F2" w14:textId="77777777" w:rsidTr="00B60D8E">
        <w:tc>
          <w:tcPr>
            <w:tcW w:w="8908" w:type="dxa"/>
            <w:gridSpan w:val="3"/>
          </w:tcPr>
          <w:p w14:paraId="065AEE59" w14:textId="242615C6" w:rsidR="00475BF7" w:rsidRPr="001D5C2E" w:rsidRDefault="00475BF7" w:rsidP="001D5C2E">
            <w:pPr>
              <w:spacing w:line="360" w:lineRule="auto"/>
              <w:jc w:val="both"/>
              <w:rPr>
                <w:rFonts w:cs="Tunga"/>
              </w:rPr>
            </w:pPr>
            <w:r>
              <w:rPr>
                <w:rFonts w:cs="Tunga"/>
              </w:rPr>
              <w:t>Investigations of cases involving sexual abuse of children</w:t>
            </w:r>
          </w:p>
        </w:tc>
      </w:tr>
    </w:tbl>
    <w:p w14:paraId="1AC552E7" w14:textId="77777777" w:rsidR="001D5C2E" w:rsidRDefault="001D5C2E" w:rsidP="00C03973">
      <w:pPr>
        <w:spacing w:after="0" w:line="240" w:lineRule="auto"/>
        <w:jc w:val="both"/>
        <w:outlineLvl w:val="0"/>
        <w:rPr>
          <w:rFonts w:eastAsia="Times New Roman" w:cstheme="minorHAnsi"/>
          <w:kern w:val="36"/>
          <w:lang w:eastAsia="en-ZA"/>
        </w:rPr>
      </w:pPr>
    </w:p>
    <w:p w14:paraId="6478C474" w14:textId="77777777" w:rsidR="001D5C2E" w:rsidRDefault="001D5C2E" w:rsidP="00C03973">
      <w:pPr>
        <w:spacing w:after="0" w:line="240" w:lineRule="auto"/>
        <w:jc w:val="both"/>
        <w:outlineLvl w:val="0"/>
        <w:rPr>
          <w:rFonts w:eastAsia="Times New Roman" w:cstheme="minorHAnsi"/>
          <w:kern w:val="36"/>
          <w:lang w:eastAsia="en-ZA"/>
        </w:rPr>
      </w:pPr>
    </w:p>
    <w:p w14:paraId="49A2EF9F" w14:textId="5BC6DBB5" w:rsidR="007839D3" w:rsidRDefault="007839D3" w:rsidP="00C03973">
      <w:pPr>
        <w:spacing w:after="0" w:line="240" w:lineRule="auto"/>
        <w:jc w:val="both"/>
        <w:outlineLvl w:val="0"/>
        <w:rPr>
          <w:rFonts w:eastAsia="Times New Roman" w:cstheme="minorHAnsi"/>
          <w:kern w:val="36"/>
          <w:lang w:eastAsia="en-ZA"/>
        </w:rPr>
      </w:pPr>
      <w:r>
        <w:rPr>
          <w:rFonts w:eastAsia="Times New Roman" w:cstheme="minorHAnsi"/>
          <w:kern w:val="36"/>
          <w:lang w:eastAsia="en-ZA"/>
        </w:rPr>
        <w:t>This judgment was delivered by a Gran</w:t>
      </w:r>
      <w:r w:rsidR="007F2121">
        <w:rPr>
          <w:rFonts w:eastAsia="Times New Roman" w:cstheme="minorHAnsi"/>
          <w:kern w:val="36"/>
          <w:lang w:eastAsia="en-ZA"/>
        </w:rPr>
        <w:t>d</w:t>
      </w:r>
      <w:r>
        <w:rPr>
          <w:rFonts w:eastAsia="Times New Roman" w:cstheme="minorHAnsi"/>
          <w:kern w:val="36"/>
          <w:lang w:eastAsia="en-ZA"/>
        </w:rPr>
        <w:t xml:space="preserve"> Chamber of the European Court of Human Rights (ECtHR) on </w:t>
      </w:r>
      <w:r w:rsidR="00CC3C3D">
        <w:rPr>
          <w:rFonts w:eastAsia="Times New Roman" w:cstheme="minorHAnsi"/>
          <w:kern w:val="36"/>
          <w:lang w:eastAsia="en-ZA"/>
        </w:rPr>
        <w:t>the 2</w:t>
      </w:r>
      <w:r w:rsidR="00CC3C3D" w:rsidRPr="00CC3C3D">
        <w:rPr>
          <w:rFonts w:eastAsia="Times New Roman" w:cstheme="minorHAnsi"/>
          <w:kern w:val="36"/>
          <w:vertAlign w:val="superscript"/>
          <w:lang w:eastAsia="en-ZA"/>
        </w:rPr>
        <w:t>nd</w:t>
      </w:r>
      <w:r w:rsidR="00CC3C3D">
        <w:rPr>
          <w:rFonts w:eastAsia="Times New Roman" w:cstheme="minorHAnsi"/>
          <w:kern w:val="36"/>
          <w:lang w:eastAsia="en-ZA"/>
        </w:rPr>
        <w:t xml:space="preserve"> February 2021.  </w:t>
      </w:r>
      <w:r w:rsidR="009B1F26">
        <w:rPr>
          <w:rFonts w:eastAsia="Times New Roman" w:cstheme="minorHAnsi"/>
          <w:kern w:val="36"/>
          <w:lang w:eastAsia="en-ZA"/>
        </w:rPr>
        <w:t xml:space="preserve">In this matter, the applicants alleged that they had been abused when resident in an orphanage </w:t>
      </w:r>
      <w:r w:rsidR="005A0842">
        <w:rPr>
          <w:rFonts w:eastAsia="Times New Roman" w:cstheme="minorHAnsi"/>
          <w:kern w:val="36"/>
          <w:lang w:eastAsia="en-ZA"/>
        </w:rPr>
        <w:t xml:space="preserve">in </w:t>
      </w:r>
      <w:r w:rsidR="00B62FC9">
        <w:rPr>
          <w:rFonts w:eastAsia="Times New Roman" w:cstheme="minorHAnsi"/>
          <w:kern w:val="36"/>
          <w:lang w:eastAsia="en-ZA"/>
        </w:rPr>
        <w:t>Bulgaria</w:t>
      </w:r>
      <w:r w:rsidR="005A0842">
        <w:rPr>
          <w:rFonts w:eastAsia="Times New Roman" w:cstheme="minorHAnsi"/>
          <w:kern w:val="36"/>
          <w:lang w:eastAsia="en-ZA"/>
        </w:rPr>
        <w:t xml:space="preserve"> </w:t>
      </w:r>
      <w:r w:rsidR="009B1F26">
        <w:rPr>
          <w:rFonts w:eastAsia="Times New Roman" w:cstheme="minorHAnsi"/>
          <w:kern w:val="36"/>
          <w:lang w:eastAsia="en-ZA"/>
        </w:rPr>
        <w:t xml:space="preserve">and argued that the </w:t>
      </w:r>
      <w:r w:rsidR="00B62FC9">
        <w:rPr>
          <w:rFonts w:eastAsia="Times New Roman" w:cstheme="minorHAnsi"/>
          <w:kern w:val="36"/>
          <w:lang w:eastAsia="en-ZA"/>
        </w:rPr>
        <w:t>Bulgarian</w:t>
      </w:r>
      <w:r w:rsidR="009B1F26">
        <w:rPr>
          <w:rFonts w:eastAsia="Times New Roman" w:cstheme="minorHAnsi"/>
          <w:kern w:val="36"/>
          <w:lang w:eastAsia="en-ZA"/>
        </w:rPr>
        <w:t xml:space="preserve"> authorities had failed in their positive obligation to protect them</w:t>
      </w:r>
      <w:r w:rsidR="005A0842">
        <w:rPr>
          <w:rFonts w:eastAsia="Times New Roman" w:cstheme="minorHAnsi"/>
          <w:kern w:val="36"/>
          <w:lang w:eastAsia="en-ZA"/>
        </w:rPr>
        <w:t xml:space="preserve"> against the abuse as well as in their obligation to conduct an effective investigation into their allegations, following their disclosure.  </w:t>
      </w:r>
      <w:r w:rsidR="00BA0719">
        <w:rPr>
          <w:rFonts w:eastAsia="Times New Roman" w:cstheme="minorHAnsi"/>
          <w:kern w:val="36"/>
          <w:lang w:eastAsia="en-ZA"/>
        </w:rPr>
        <w:t xml:space="preserve">In 2019 the Chamber considered the complaints in terms of Articles 3 and 8 and held that there had been no violation of either article.  The complaint was, however, accepted by the Grand Chamber.  </w:t>
      </w:r>
      <w:r w:rsidR="00CC3C3D">
        <w:rPr>
          <w:rFonts w:eastAsia="Times New Roman" w:cstheme="minorHAnsi"/>
          <w:kern w:val="36"/>
          <w:lang w:eastAsia="en-ZA"/>
        </w:rPr>
        <w:t xml:space="preserve">In a divided judgement, the </w:t>
      </w:r>
      <w:r w:rsidR="007F2121">
        <w:rPr>
          <w:rFonts w:eastAsia="Times New Roman" w:cstheme="minorHAnsi"/>
          <w:kern w:val="36"/>
          <w:lang w:eastAsia="en-ZA"/>
        </w:rPr>
        <w:t xml:space="preserve">Grand Chamber </w:t>
      </w:r>
      <w:r w:rsidR="00CC3C3D">
        <w:rPr>
          <w:rFonts w:eastAsia="Times New Roman" w:cstheme="minorHAnsi"/>
          <w:kern w:val="36"/>
          <w:lang w:eastAsia="en-ZA"/>
        </w:rPr>
        <w:t xml:space="preserve">found that </w:t>
      </w:r>
      <w:r w:rsidR="007F2121">
        <w:rPr>
          <w:rFonts w:eastAsia="Times New Roman" w:cstheme="minorHAnsi"/>
          <w:kern w:val="36"/>
          <w:lang w:eastAsia="en-ZA"/>
        </w:rPr>
        <w:t>the Bulgarian authorities had breached their obligation under Article 3 of the European Convention on Human Rights</w:t>
      </w:r>
      <w:r w:rsidR="009440CD">
        <w:rPr>
          <w:rFonts w:eastAsia="Times New Roman" w:cstheme="minorHAnsi"/>
          <w:kern w:val="36"/>
          <w:lang w:eastAsia="en-ZA"/>
        </w:rPr>
        <w:t xml:space="preserve">, which requires authorities to conduct an effective investigation into claims of torture, inhuman or degrading treatment. Although the Bulgarian authorities had taken steps to investigate allegations that the applicants (3 children) had been sexually abused in </w:t>
      </w:r>
      <w:r w:rsidR="005A0842">
        <w:rPr>
          <w:rFonts w:eastAsia="Times New Roman" w:cstheme="minorHAnsi"/>
          <w:kern w:val="36"/>
          <w:lang w:eastAsia="en-ZA"/>
        </w:rPr>
        <w:t xml:space="preserve">the </w:t>
      </w:r>
      <w:r w:rsidR="009440CD">
        <w:rPr>
          <w:rFonts w:eastAsia="Times New Roman" w:cstheme="minorHAnsi"/>
          <w:kern w:val="36"/>
          <w:lang w:eastAsia="en-ZA"/>
        </w:rPr>
        <w:t>orphanage, the Grand Chamber found that they had not met the requirement of `effective.’  One of the reasons for this failure was that the authorities had not taken any steps to involve the victims in the investigation.</w:t>
      </w:r>
      <w:r w:rsidR="009440CD">
        <w:rPr>
          <w:rStyle w:val="FootnoteReference"/>
          <w:rFonts w:eastAsia="Times New Roman" w:cstheme="minorHAnsi"/>
          <w:kern w:val="36"/>
          <w:lang w:eastAsia="en-ZA"/>
        </w:rPr>
        <w:footnoteReference w:id="1"/>
      </w:r>
    </w:p>
    <w:p w14:paraId="07E26A5D" w14:textId="77777777" w:rsidR="00C03973" w:rsidRDefault="00C03973" w:rsidP="00C03973">
      <w:pPr>
        <w:spacing w:after="0" w:line="240" w:lineRule="auto"/>
        <w:jc w:val="both"/>
        <w:outlineLvl w:val="0"/>
        <w:rPr>
          <w:rFonts w:eastAsia="Times New Roman" w:cstheme="minorHAnsi"/>
          <w:b/>
          <w:bCs/>
          <w:kern w:val="36"/>
          <w:lang w:eastAsia="en-ZA"/>
        </w:rPr>
      </w:pPr>
    </w:p>
    <w:p w14:paraId="26BA2EA5" w14:textId="718B4BA8" w:rsidR="00411FAB" w:rsidRDefault="00411FAB" w:rsidP="00C03973">
      <w:pPr>
        <w:spacing w:after="0" w:line="240" w:lineRule="auto"/>
        <w:jc w:val="both"/>
        <w:outlineLvl w:val="0"/>
        <w:rPr>
          <w:rFonts w:eastAsia="Times New Roman" w:cstheme="minorHAnsi"/>
          <w:kern w:val="36"/>
          <w:lang w:eastAsia="en-ZA"/>
        </w:rPr>
      </w:pPr>
      <w:r w:rsidRPr="00411FAB">
        <w:rPr>
          <w:rFonts w:eastAsia="Times New Roman" w:cstheme="minorHAnsi"/>
          <w:b/>
          <w:bCs/>
          <w:kern w:val="36"/>
          <w:lang w:eastAsia="en-ZA"/>
        </w:rPr>
        <w:t>Facts of the case</w:t>
      </w:r>
    </w:p>
    <w:p w14:paraId="06735779" w14:textId="1419D8BD" w:rsidR="00A55A4F" w:rsidRDefault="00A55A4F" w:rsidP="00A55A4F">
      <w:p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The applicants in this case were </w:t>
      </w:r>
      <w:r w:rsidR="004C309C">
        <w:rPr>
          <w:rFonts w:eastAsia="Times New Roman" w:cstheme="minorHAnsi"/>
          <w:kern w:val="36"/>
          <w:lang w:eastAsia="en-ZA"/>
        </w:rPr>
        <w:t>three minor siblings, a boy and two girls.  They were placed in an orphanage in Bulgaria after they had been abandoned by their mother</w:t>
      </w:r>
      <w:r w:rsidR="00B67102">
        <w:rPr>
          <w:rFonts w:eastAsia="Times New Roman" w:cstheme="minorHAnsi"/>
          <w:kern w:val="36"/>
          <w:lang w:eastAsia="en-ZA"/>
        </w:rPr>
        <w:t>.  When the children were 12, 10 and 9 respectively</w:t>
      </w:r>
      <w:r w:rsidR="00351C26">
        <w:rPr>
          <w:rFonts w:eastAsia="Times New Roman" w:cstheme="minorHAnsi"/>
          <w:kern w:val="36"/>
          <w:lang w:eastAsia="en-ZA"/>
        </w:rPr>
        <w:t xml:space="preserve">, </w:t>
      </w:r>
      <w:r w:rsidR="002950F1">
        <w:rPr>
          <w:rFonts w:eastAsia="Times New Roman" w:cstheme="minorHAnsi"/>
          <w:kern w:val="36"/>
          <w:lang w:eastAsia="en-ZA"/>
        </w:rPr>
        <w:t xml:space="preserve">they were adopted by an Italian couple and moved to Italy.  </w:t>
      </w:r>
      <w:r>
        <w:rPr>
          <w:rFonts w:eastAsia="Times New Roman" w:cstheme="minorHAnsi"/>
          <w:kern w:val="36"/>
          <w:lang w:eastAsia="en-ZA"/>
        </w:rPr>
        <w:t xml:space="preserve"> </w:t>
      </w:r>
      <w:r w:rsidR="002950F1">
        <w:rPr>
          <w:rFonts w:eastAsia="Times New Roman" w:cstheme="minorHAnsi"/>
          <w:kern w:val="36"/>
          <w:lang w:eastAsia="en-ZA"/>
        </w:rPr>
        <w:t>Three months thereafter, the children disclosed to their adoptive parents that they had engaged in sexual practices amongst themselves and that they had been sexually abused</w:t>
      </w:r>
      <w:r w:rsidR="008E0A0F">
        <w:rPr>
          <w:rFonts w:eastAsia="Times New Roman" w:cstheme="minorHAnsi"/>
          <w:kern w:val="36"/>
          <w:lang w:eastAsia="en-ZA"/>
        </w:rPr>
        <w:t xml:space="preserve"> while</w:t>
      </w:r>
      <w:r w:rsidR="002950F1">
        <w:rPr>
          <w:rFonts w:eastAsia="Times New Roman" w:cstheme="minorHAnsi"/>
          <w:kern w:val="36"/>
          <w:lang w:eastAsia="en-ZA"/>
        </w:rPr>
        <w:t xml:space="preserve"> at the orphanage</w:t>
      </w:r>
      <w:r w:rsidR="008E0A0F">
        <w:rPr>
          <w:rFonts w:eastAsia="Times New Roman" w:cstheme="minorHAnsi"/>
          <w:kern w:val="36"/>
          <w:lang w:eastAsia="en-ZA"/>
        </w:rPr>
        <w:t xml:space="preserve">.  The adoptive parents reported this to various Italian authorities.  Eventually the Bulgarian authorities were made aware of the complaints and they took steps to investigate, including checks by social services and opening a preliminary police investigation.  </w:t>
      </w:r>
      <w:r w:rsidR="00825422">
        <w:rPr>
          <w:rFonts w:eastAsia="Times New Roman" w:cstheme="minorHAnsi"/>
          <w:kern w:val="36"/>
          <w:lang w:eastAsia="en-ZA"/>
        </w:rPr>
        <w:t>The case was discontinued as the office of the public prosecutor was of the opinion that there was not sufficient evidence to prove that any offences had been committed.</w:t>
      </w:r>
    </w:p>
    <w:p w14:paraId="3E9C961D" w14:textId="1837AD01" w:rsidR="00F249BE" w:rsidRDefault="00F249BE" w:rsidP="00A55A4F">
      <w:pPr>
        <w:spacing w:after="0" w:line="240" w:lineRule="auto"/>
        <w:jc w:val="both"/>
        <w:outlineLvl w:val="0"/>
        <w:rPr>
          <w:rFonts w:eastAsia="Times New Roman" w:cstheme="minorHAnsi"/>
          <w:kern w:val="36"/>
          <w:lang w:eastAsia="en-ZA"/>
        </w:rPr>
      </w:pPr>
    </w:p>
    <w:p w14:paraId="2AF4CA5E" w14:textId="36B323B7" w:rsidR="00F249BE" w:rsidRPr="00F249BE" w:rsidRDefault="00F249BE" w:rsidP="00A55A4F">
      <w:pPr>
        <w:spacing w:after="0" w:line="240" w:lineRule="auto"/>
        <w:jc w:val="both"/>
        <w:outlineLvl w:val="0"/>
        <w:rPr>
          <w:rFonts w:eastAsia="Times New Roman" w:cstheme="minorHAnsi"/>
          <w:b/>
          <w:bCs/>
          <w:kern w:val="36"/>
          <w:lang w:eastAsia="en-ZA"/>
        </w:rPr>
      </w:pPr>
      <w:r w:rsidRPr="00F249BE">
        <w:rPr>
          <w:rFonts w:eastAsia="Times New Roman" w:cstheme="minorHAnsi"/>
          <w:b/>
          <w:bCs/>
          <w:kern w:val="36"/>
          <w:lang w:eastAsia="en-ZA"/>
        </w:rPr>
        <w:t>Judgement</w:t>
      </w:r>
    </w:p>
    <w:p w14:paraId="3077275B" w14:textId="61793575" w:rsidR="00A55A4F" w:rsidRDefault="00F249BE" w:rsidP="00A55A4F">
      <w:p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The Grand Chamber of the Court examined the complaints under Article 3, taking into account other applicable international instruments and, in particular, the </w:t>
      </w:r>
      <w:r w:rsidR="00536229">
        <w:rPr>
          <w:rFonts w:eastAsia="Times New Roman" w:cstheme="minorHAnsi"/>
          <w:kern w:val="36"/>
          <w:lang w:eastAsia="en-ZA"/>
        </w:rPr>
        <w:t xml:space="preserve">Council of Europe Convention on the Protection of Children against Sexual Exploitation and Sexual Abuse (the Lanzarote Convention).  The Grand Chamber examined the complaint </w:t>
      </w:r>
      <w:r w:rsidR="00CF7316">
        <w:rPr>
          <w:rFonts w:eastAsia="Times New Roman" w:cstheme="minorHAnsi"/>
          <w:kern w:val="36"/>
          <w:lang w:eastAsia="en-ZA"/>
        </w:rPr>
        <w:t xml:space="preserve">in terms of both the substantive and procedural limbs of the Article and found that there had been </w:t>
      </w:r>
      <w:r w:rsidRPr="00F249BE">
        <w:rPr>
          <w:rFonts w:eastAsia="Times New Roman" w:cstheme="minorHAnsi"/>
          <w:kern w:val="36"/>
          <w:lang w:eastAsia="en-ZA"/>
        </w:rPr>
        <w:t xml:space="preserve">no violation of the substantive limb of Article 3 of the </w:t>
      </w:r>
      <w:r w:rsidRPr="00F249BE">
        <w:rPr>
          <w:rFonts w:eastAsia="Times New Roman" w:cstheme="minorHAnsi"/>
          <w:kern w:val="36"/>
          <w:lang w:eastAsia="en-ZA"/>
        </w:rPr>
        <w:lastRenderedPageBreak/>
        <w:t xml:space="preserve">Convention. </w:t>
      </w:r>
      <w:r w:rsidR="00CF7316">
        <w:rPr>
          <w:rFonts w:eastAsia="Times New Roman" w:cstheme="minorHAnsi"/>
          <w:kern w:val="36"/>
          <w:lang w:eastAsia="en-ZA"/>
        </w:rPr>
        <w:t xml:space="preserve"> They ruled, however, by nine votes to eight, that </w:t>
      </w:r>
      <w:r w:rsidRPr="00F249BE">
        <w:rPr>
          <w:rFonts w:eastAsia="Times New Roman" w:cstheme="minorHAnsi"/>
          <w:kern w:val="36"/>
          <w:lang w:eastAsia="en-ZA"/>
        </w:rPr>
        <w:t>there had been a violation of the procedural limb of Article 3</w:t>
      </w:r>
      <w:r w:rsidR="00CF7316">
        <w:rPr>
          <w:rFonts w:eastAsia="Times New Roman" w:cstheme="minorHAnsi"/>
          <w:kern w:val="36"/>
          <w:lang w:eastAsia="en-ZA"/>
        </w:rPr>
        <w:t xml:space="preserve">.  </w:t>
      </w:r>
    </w:p>
    <w:p w14:paraId="0204B135" w14:textId="238F38D4" w:rsidR="00B22296" w:rsidRDefault="00B22296" w:rsidP="00A55A4F">
      <w:pPr>
        <w:spacing w:after="0" w:line="240" w:lineRule="auto"/>
        <w:jc w:val="both"/>
        <w:outlineLvl w:val="0"/>
        <w:rPr>
          <w:rFonts w:eastAsia="Times New Roman" w:cstheme="minorHAnsi"/>
          <w:kern w:val="36"/>
          <w:lang w:eastAsia="en-ZA"/>
        </w:rPr>
      </w:pPr>
    </w:p>
    <w:p w14:paraId="4883D121" w14:textId="189D5F53" w:rsidR="00B22296" w:rsidRPr="00B22296" w:rsidRDefault="00B22296" w:rsidP="00A55A4F">
      <w:pPr>
        <w:spacing w:after="0" w:line="240" w:lineRule="auto"/>
        <w:jc w:val="both"/>
        <w:outlineLvl w:val="0"/>
        <w:rPr>
          <w:rFonts w:eastAsia="Times New Roman" w:cstheme="minorHAnsi"/>
          <w:i/>
          <w:iCs/>
          <w:kern w:val="36"/>
          <w:lang w:eastAsia="en-ZA"/>
        </w:rPr>
      </w:pPr>
      <w:r w:rsidRPr="00B22296">
        <w:rPr>
          <w:rFonts w:eastAsia="Times New Roman" w:cstheme="minorHAnsi"/>
          <w:i/>
          <w:iCs/>
          <w:kern w:val="36"/>
          <w:lang w:eastAsia="en-ZA"/>
        </w:rPr>
        <w:t>Substantive limb of Article 3</w:t>
      </w:r>
      <w:r w:rsidR="002F2B46">
        <w:rPr>
          <w:rFonts w:eastAsia="Times New Roman" w:cstheme="minorHAnsi"/>
          <w:i/>
          <w:iCs/>
          <w:kern w:val="36"/>
          <w:lang w:eastAsia="en-ZA"/>
        </w:rPr>
        <w:t xml:space="preserve"> of the Convention</w:t>
      </w:r>
    </w:p>
    <w:p w14:paraId="077B0C6A" w14:textId="4A201D8F" w:rsidR="00B22296" w:rsidRDefault="00E37168" w:rsidP="00A55A4F">
      <w:p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In examining the positive obligation required by Article 3 to put in place an appropriate legislative and regulatory framework, </w:t>
      </w:r>
      <w:r w:rsidR="00B84E8A">
        <w:rPr>
          <w:rFonts w:eastAsia="Times New Roman" w:cstheme="minorHAnsi"/>
          <w:kern w:val="36"/>
          <w:lang w:eastAsia="en-ZA"/>
        </w:rPr>
        <w:t>it found that the legislative and regulatory framework of Bulgaria was satisfactory with respect to the protection of children living in institutions against serious breaches of their integrity.  This finding was based on the fact that:</w:t>
      </w:r>
    </w:p>
    <w:p w14:paraId="69E1D138" w14:textId="77777777" w:rsidR="00B84E8A" w:rsidRPr="00B84E8A" w:rsidRDefault="0006511A" w:rsidP="00B84E8A">
      <w:pPr>
        <w:pStyle w:val="ListParagraph"/>
        <w:numPr>
          <w:ilvl w:val="0"/>
          <w:numId w:val="1"/>
        </w:numPr>
        <w:spacing w:after="0" w:line="240" w:lineRule="auto"/>
        <w:jc w:val="both"/>
        <w:outlineLvl w:val="0"/>
        <w:rPr>
          <w:rFonts w:eastAsia="Times New Roman" w:cstheme="minorHAnsi"/>
          <w:kern w:val="36"/>
          <w:lang w:eastAsia="en-ZA"/>
        </w:rPr>
      </w:pPr>
      <w:r w:rsidRPr="00B84E8A">
        <w:rPr>
          <w:rFonts w:eastAsia="Times New Roman" w:cstheme="minorHAnsi"/>
          <w:lang w:eastAsia="en-ZA"/>
        </w:rPr>
        <w:t xml:space="preserve">the </w:t>
      </w:r>
      <w:r w:rsidRPr="00B84E8A">
        <w:rPr>
          <w:rFonts w:eastAsia="Times New Roman" w:cstheme="minorHAnsi"/>
          <w:i/>
          <w:iCs/>
          <w:lang w:eastAsia="en-ZA"/>
        </w:rPr>
        <w:t>Bulgarian Criminal Code</w:t>
      </w:r>
      <w:r w:rsidRPr="00B84E8A">
        <w:rPr>
          <w:rFonts w:eastAsia="Times New Roman" w:cstheme="minorHAnsi"/>
          <w:lang w:eastAsia="en-ZA"/>
        </w:rPr>
        <w:t xml:space="preserve"> punishes sexual abuse of minors</w:t>
      </w:r>
    </w:p>
    <w:p w14:paraId="2E3A347E" w14:textId="77777777" w:rsidR="00B84E8A" w:rsidRPr="00B84E8A" w:rsidRDefault="0006511A" w:rsidP="00B84E8A">
      <w:pPr>
        <w:pStyle w:val="ListParagraph"/>
        <w:numPr>
          <w:ilvl w:val="0"/>
          <w:numId w:val="1"/>
        </w:numPr>
        <w:spacing w:after="0" w:line="240" w:lineRule="auto"/>
        <w:jc w:val="both"/>
        <w:outlineLvl w:val="0"/>
        <w:rPr>
          <w:rFonts w:eastAsia="Times New Roman" w:cstheme="minorHAnsi"/>
          <w:kern w:val="36"/>
          <w:lang w:eastAsia="en-ZA"/>
        </w:rPr>
      </w:pPr>
      <w:r w:rsidRPr="00B84E8A">
        <w:rPr>
          <w:rFonts w:eastAsia="Times New Roman" w:cstheme="minorHAnsi"/>
          <w:lang w:eastAsia="en-ZA"/>
        </w:rPr>
        <w:t xml:space="preserve">the </w:t>
      </w:r>
      <w:r w:rsidRPr="00B84E8A">
        <w:rPr>
          <w:rFonts w:eastAsia="Times New Roman" w:cstheme="minorHAnsi"/>
          <w:i/>
          <w:iCs/>
          <w:lang w:eastAsia="en-ZA"/>
        </w:rPr>
        <w:t>Child Protection Act</w:t>
      </w:r>
      <w:r w:rsidRPr="00B84E8A">
        <w:rPr>
          <w:rFonts w:eastAsia="Times New Roman" w:cstheme="minorHAnsi"/>
          <w:lang w:eastAsia="en-ZA"/>
        </w:rPr>
        <w:t xml:space="preserve"> protects children from all forms of violence</w:t>
      </w:r>
      <w:r w:rsidR="00B84E8A">
        <w:rPr>
          <w:rFonts w:eastAsia="Times New Roman" w:cstheme="minorHAnsi"/>
          <w:lang w:eastAsia="en-ZA"/>
        </w:rPr>
        <w:t xml:space="preserve"> and incorporates </w:t>
      </w:r>
      <w:r w:rsidRPr="00B84E8A">
        <w:rPr>
          <w:rFonts w:eastAsia="Times New Roman" w:cstheme="minorHAnsi"/>
          <w:lang w:eastAsia="en-ZA"/>
        </w:rPr>
        <w:t>the child’s best interests as a guiding principle</w:t>
      </w:r>
    </w:p>
    <w:p w14:paraId="3D229DA0" w14:textId="77777777" w:rsidR="008E2590" w:rsidRPr="008E2590" w:rsidRDefault="0006511A" w:rsidP="00B84E8A">
      <w:pPr>
        <w:pStyle w:val="ListParagraph"/>
        <w:numPr>
          <w:ilvl w:val="0"/>
          <w:numId w:val="1"/>
        </w:numPr>
        <w:spacing w:after="0" w:line="240" w:lineRule="auto"/>
        <w:jc w:val="both"/>
        <w:outlineLvl w:val="0"/>
        <w:rPr>
          <w:rFonts w:eastAsia="Times New Roman" w:cstheme="minorHAnsi"/>
          <w:kern w:val="36"/>
          <w:lang w:eastAsia="en-ZA"/>
        </w:rPr>
      </w:pPr>
      <w:r w:rsidRPr="00B84E8A">
        <w:rPr>
          <w:rFonts w:eastAsia="Times New Roman" w:cstheme="minorHAnsi"/>
          <w:lang w:eastAsia="en-ZA"/>
        </w:rPr>
        <w:t xml:space="preserve">a specialised authority, the State Agency for Child Protection, is tasked with carrying out periodic inspections of children’s residential facilities and </w:t>
      </w:r>
      <w:r w:rsidR="008E2590">
        <w:rPr>
          <w:rFonts w:eastAsia="Times New Roman" w:cstheme="minorHAnsi"/>
          <w:lang w:eastAsia="en-ZA"/>
        </w:rPr>
        <w:t xml:space="preserve">has the authority </w:t>
      </w:r>
      <w:r w:rsidRPr="00B84E8A">
        <w:rPr>
          <w:rFonts w:eastAsia="Times New Roman" w:cstheme="minorHAnsi"/>
          <w:lang w:eastAsia="en-ZA"/>
        </w:rPr>
        <w:t>to take steps to protect children where shortcomings are detected</w:t>
      </w:r>
    </w:p>
    <w:p w14:paraId="2A4AEBC6" w14:textId="77777777" w:rsidR="008E2590" w:rsidRPr="008E2590" w:rsidRDefault="0006511A" w:rsidP="00B84E8A">
      <w:pPr>
        <w:pStyle w:val="ListParagraph"/>
        <w:numPr>
          <w:ilvl w:val="0"/>
          <w:numId w:val="1"/>
        </w:numPr>
        <w:spacing w:after="0" w:line="240" w:lineRule="auto"/>
        <w:jc w:val="both"/>
        <w:outlineLvl w:val="0"/>
        <w:rPr>
          <w:rFonts w:eastAsia="Times New Roman" w:cstheme="minorHAnsi"/>
          <w:kern w:val="36"/>
          <w:lang w:eastAsia="en-ZA"/>
        </w:rPr>
      </w:pPr>
      <w:r w:rsidRPr="00B84E8A">
        <w:rPr>
          <w:rFonts w:eastAsia="Times New Roman" w:cstheme="minorHAnsi"/>
          <w:lang w:eastAsia="en-ZA"/>
        </w:rPr>
        <w:t>the children’s facilities prevented outsiders from accessing the orphanage</w:t>
      </w:r>
    </w:p>
    <w:p w14:paraId="70CD00B3" w14:textId="77777777" w:rsidR="008E2590" w:rsidRPr="008E2590" w:rsidRDefault="0006511A" w:rsidP="00B84E8A">
      <w:pPr>
        <w:pStyle w:val="ListParagraph"/>
        <w:numPr>
          <w:ilvl w:val="0"/>
          <w:numId w:val="1"/>
        </w:numPr>
        <w:spacing w:after="0" w:line="240" w:lineRule="auto"/>
        <w:jc w:val="both"/>
        <w:outlineLvl w:val="0"/>
        <w:rPr>
          <w:rFonts w:eastAsia="Times New Roman" w:cstheme="minorHAnsi"/>
          <w:kern w:val="36"/>
          <w:lang w:eastAsia="en-ZA"/>
        </w:rPr>
      </w:pPr>
      <w:r w:rsidRPr="00B84E8A">
        <w:rPr>
          <w:rFonts w:eastAsia="Times New Roman" w:cstheme="minorHAnsi"/>
          <w:lang w:eastAsia="en-ZA"/>
        </w:rPr>
        <w:t>the children were always under supervision</w:t>
      </w:r>
    </w:p>
    <w:p w14:paraId="0CEEA9BD" w14:textId="77777777" w:rsidR="008E2590" w:rsidRPr="008E2590" w:rsidRDefault="0006511A" w:rsidP="00B84E8A">
      <w:pPr>
        <w:pStyle w:val="ListParagraph"/>
        <w:numPr>
          <w:ilvl w:val="0"/>
          <w:numId w:val="1"/>
        </w:numPr>
        <w:spacing w:after="0" w:line="240" w:lineRule="auto"/>
        <w:jc w:val="both"/>
        <w:outlineLvl w:val="0"/>
        <w:rPr>
          <w:rFonts w:eastAsia="Times New Roman" w:cstheme="minorHAnsi"/>
          <w:kern w:val="36"/>
          <w:lang w:eastAsia="en-ZA"/>
        </w:rPr>
      </w:pPr>
      <w:r w:rsidRPr="00B84E8A">
        <w:rPr>
          <w:rFonts w:eastAsia="Times New Roman" w:cstheme="minorHAnsi"/>
          <w:lang w:eastAsia="en-ZA"/>
        </w:rPr>
        <w:t>they had visits from an outside general practitioner and psychologist</w:t>
      </w:r>
    </w:p>
    <w:p w14:paraId="5974F7E5" w14:textId="580040D8" w:rsidR="0006511A" w:rsidRPr="008E2590" w:rsidRDefault="008E2590" w:rsidP="00B84E8A">
      <w:pPr>
        <w:pStyle w:val="ListParagraph"/>
        <w:numPr>
          <w:ilvl w:val="0"/>
          <w:numId w:val="1"/>
        </w:numPr>
        <w:spacing w:after="0" w:line="240" w:lineRule="auto"/>
        <w:jc w:val="both"/>
        <w:outlineLvl w:val="0"/>
        <w:rPr>
          <w:rFonts w:eastAsia="Times New Roman" w:cstheme="minorHAnsi"/>
          <w:kern w:val="36"/>
          <w:lang w:eastAsia="en-ZA"/>
        </w:rPr>
      </w:pPr>
      <w:r>
        <w:rPr>
          <w:rFonts w:eastAsia="Times New Roman" w:cstheme="minorHAnsi"/>
          <w:lang w:eastAsia="en-ZA"/>
        </w:rPr>
        <w:t xml:space="preserve">they had </w:t>
      </w:r>
      <w:r w:rsidR="0006511A" w:rsidRPr="00B84E8A">
        <w:rPr>
          <w:rFonts w:eastAsia="Times New Roman" w:cstheme="minorHAnsi"/>
          <w:lang w:eastAsia="en-ZA"/>
        </w:rPr>
        <w:t>access to a telephone and the number of a helpline for children in danger.</w:t>
      </w:r>
    </w:p>
    <w:p w14:paraId="1CC486EC" w14:textId="529C5614" w:rsidR="008E2590" w:rsidRDefault="008E2590" w:rsidP="008E2590">
      <w:pPr>
        <w:spacing w:after="0" w:line="240" w:lineRule="auto"/>
        <w:jc w:val="both"/>
        <w:outlineLvl w:val="0"/>
        <w:rPr>
          <w:rFonts w:eastAsia="Times New Roman" w:cstheme="minorHAnsi"/>
          <w:kern w:val="36"/>
          <w:lang w:eastAsia="en-ZA"/>
        </w:rPr>
      </w:pPr>
    </w:p>
    <w:p w14:paraId="529F24E4" w14:textId="687DC7E3" w:rsidR="008E2590" w:rsidRDefault="008E2590" w:rsidP="008E2590">
      <w:p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With respect to the positive obligation to take preventative operational measures, the Grand Chamber found that </w:t>
      </w:r>
      <w:r w:rsidR="003F5188">
        <w:rPr>
          <w:rFonts w:eastAsia="Times New Roman" w:cstheme="minorHAnsi"/>
          <w:kern w:val="36"/>
          <w:lang w:eastAsia="en-ZA"/>
        </w:rPr>
        <w:t xml:space="preserve">there was insufficient information to establish </w:t>
      </w:r>
      <w:r w:rsidR="00BC25F4">
        <w:rPr>
          <w:rFonts w:eastAsia="Times New Roman" w:cstheme="minorHAnsi"/>
          <w:kern w:val="36"/>
          <w:lang w:eastAsia="en-ZA"/>
        </w:rPr>
        <w:t>that the authorities should have known of the real and immediate risk that the children were being abused</w:t>
      </w:r>
      <w:r w:rsidR="00610015">
        <w:rPr>
          <w:rFonts w:eastAsia="Times New Roman" w:cstheme="minorHAnsi"/>
          <w:kern w:val="36"/>
          <w:lang w:eastAsia="en-ZA"/>
        </w:rPr>
        <w:t>.  The psychologist and a general practitioner, who monitored the children on a regular basis</w:t>
      </w:r>
      <w:r w:rsidR="00BC40CC">
        <w:rPr>
          <w:rFonts w:eastAsia="Times New Roman" w:cstheme="minorHAnsi"/>
          <w:kern w:val="36"/>
          <w:lang w:eastAsia="en-ZA"/>
        </w:rPr>
        <w:t>, had not detected any signs of violence or sexual abuse.</w:t>
      </w:r>
    </w:p>
    <w:p w14:paraId="3C6A4D92" w14:textId="552EA86A" w:rsidR="002F2B46" w:rsidRDefault="002F2B46" w:rsidP="008E2590">
      <w:pPr>
        <w:spacing w:after="0" w:line="240" w:lineRule="auto"/>
        <w:jc w:val="both"/>
        <w:outlineLvl w:val="0"/>
        <w:rPr>
          <w:rFonts w:eastAsia="Times New Roman" w:cstheme="minorHAnsi"/>
          <w:kern w:val="36"/>
          <w:lang w:eastAsia="en-ZA"/>
        </w:rPr>
      </w:pPr>
    </w:p>
    <w:p w14:paraId="79FFC432" w14:textId="21650032" w:rsidR="002F2B46" w:rsidRDefault="002F2B46" w:rsidP="008E2590">
      <w:pPr>
        <w:spacing w:after="0" w:line="240" w:lineRule="auto"/>
        <w:jc w:val="both"/>
        <w:outlineLvl w:val="0"/>
        <w:rPr>
          <w:rFonts w:eastAsia="Times New Roman" w:cstheme="minorHAnsi"/>
          <w:i/>
          <w:iCs/>
          <w:kern w:val="36"/>
          <w:lang w:eastAsia="en-ZA"/>
        </w:rPr>
      </w:pPr>
      <w:r w:rsidRPr="002F2B46">
        <w:rPr>
          <w:rFonts w:eastAsia="Times New Roman" w:cstheme="minorHAnsi"/>
          <w:i/>
          <w:iCs/>
          <w:kern w:val="36"/>
          <w:lang w:eastAsia="en-ZA"/>
        </w:rPr>
        <w:t>Procedural limb of Article 3</w:t>
      </w:r>
    </w:p>
    <w:p w14:paraId="3AC5305E" w14:textId="5B4D17FF" w:rsidR="007931A4" w:rsidRDefault="007931A4" w:rsidP="008E2590">
      <w:pPr>
        <w:spacing w:after="0" w:line="240" w:lineRule="auto"/>
        <w:jc w:val="both"/>
        <w:outlineLvl w:val="0"/>
        <w:rPr>
          <w:rFonts w:eastAsia="Times New Roman" w:cstheme="minorHAnsi"/>
          <w:kern w:val="36"/>
          <w:lang w:eastAsia="en-ZA"/>
        </w:rPr>
      </w:pPr>
      <w:r>
        <w:rPr>
          <w:rFonts w:eastAsia="Times New Roman" w:cstheme="minorHAnsi"/>
          <w:kern w:val="36"/>
          <w:lang w:eastAsia="en-ZA"/>
        </w:rPr>
        <w:t>The Grand Chamber found that there were several shortcomings</w:t>
      </w:r>
      <w:r w:rsidR="00AF24B6">
        <w:rPr>
          <w:rFonts w:eastAsia="Times New Roman" w:cstheme="minorHAnsi"/>
          <w:kern w:val="36"/>
          <w:lang w:eastAsia="en-ZA"/>
        </w:rPr>
        <w:t xml:space="preserve"> in the investigation that had been undertaken by the Bulgarian authorities, and that this amounted to a violation of the article.  The Grand Chamber found that the investigation was not thorough enough for the following reasons:</w:t>
      </w:r>
    </w:p>
    <w:p w14:paraId="379E79F0" w14:textId="2C5D534E" w:rsidR="00AF24B6" w:rsidRDefault="00AF24B6"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the on-site checks conducted by child protection services and police officials fell short of the standards set out in the Lanzarote Convention</w:t>
      </w:r>
    </w:p>
    <w:p w14:paraId="1351989A" w14:textId="7E5B03ED" w:rsidR="00AF24B6" w:rsidRDefault="00AF24B6"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the children were not interviewed in a manner adapted to their age and level of maturity</w:t>
      </w:r>
    </w:p>
    <w:p w14:paraId="04B28C51" w14:textId="3C3CBB92" w:rsidR="00AF24B6" w:rsidRDefault="001B3987"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interviews were not video-recorded</w:t>
      </w:r>
    </w:p>
    <w:p w14:paraId="00F4B02D" w14:textId="5131D173" w:rsidR="001B3987" w:rsidRDefault="001B3987"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one child had to be interviewed twice</w:t>
      </w:r>
    </w:p>
    <w:p w14:paraId="7F3D0682" w14:textId="59138725" w:rsidR="001B3987" w:rsidRDefault="001B3987"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the authorities also failed to follow certain lines of inquiry</w:t>
      </w:r>
    </w:p>
    <w:p w14:paraId="5D34760C" w14:textId="14ADEB27" w:rsidR="001B3987" w:rsidRDefault="001B3987"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no </w:t>
      </w:r>
      <w:r w:rsidR="00B43903">
        <w:rPr>
          <w:rFonts w:eastAsia="Times New Roman" w:cstheme="minorHAnsi"/>
          <w:kern w:val="36"/>
          <w:lang w:eastAsia="en-ZA"/>
        </w:rPr>
        <w:t>attempt was made assess the need to) interview the applicants and their parents</w:t>
      </w:r>
    </w:p>
    <w:p w14:paraId="6F22FB6D" w14:textId="694BC82C" w:rsidR="00B43903" w:rsidRDefault="00B43903"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no measures were put in place to assist and support the applicants</w:t>
      </w:r>
    </w:p>
    <w:p w14:paraId="1B4B37CC" w14:textId="5DC15299" w:rsidR="00B43903" w:rsidRDefault="00B43903"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no request was made for a medical examination of the applicants</w:t>
      </w:r>
    </w:p>
    <w:p w14:paraId="5C8AB2EA" w14:textId="6357F4D8" w:rsidR="008C1159" w:rsidRDefault="008C1159"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no interviews were conducted with other children who had left the orphanage in the meantime</w:t>
      </w:r>
    </w:p>
    <w:p w14:paraId="4058DF74" w14:textId="3BABEC81" w:rsidR="008C1159" w:rsidRDefault="008C1159" w:rsidP="00AF24B6">
      <w:pPr>
        <w:pStyle w:val="ListParagraph"/>
        <w:numPr>
          <w:ilvl w:val="0"/>
          <w:numId w:val="2"/>
        </w:numPr>
        <w:spacing w:after="0" w:line="240" w:lineRule="auto"/>
        <w:jc w:val="both"/>
        <w:outlineLvl w:val="0"/>
        <w:rPr>
          <w:rFonts w:eastAsia="Times New Roman" w:cstheme="minorHAnsi"/>
          <w:kern w:val="36"/>
          <w:lang w:eastAsia="en-ZA"/>
        </w:rPr>
      </w:pPr>
      <w:r>
        <w:rPr>
          <w:rFonts w:eastAsia="Times New Roman" w:cstheme="minorHAnsi"/>
          <w:kern w:val="36"/>
          <w:lang w:eastAsia="en-ZA"/>
        </w:rPr>
        <w:t>did not consider investigatory measures of a more covert nature, given the nature and seriousness of the alleged abuse.</w:t>
      </w:r>
    </w:p>
    <w:p w14:paraId="4D9CD2BA" w14:textId="446C0266" w:rsidR="00335B96" w:rsidRDefault="00335B96" w:rsidP="00335B96">
      <w:pPr>
        <w:spacing w:after="0" w:line="240" w:lineRule="auto"/>
        <w:jc w:val="both"/>
        <w:outlineLvl w:val="0"/>
        <w:rPr>
          <w:rFonts w:eastAsia="Times New Roman" w:cstheme="minorHAnsi"/>
          <w:kern w:val="36"/>
          <w:lang w:eastAsia="en-ZA"/>
        </w:rPr>
      </w:pPr>
    </w:p>
    <w:p w14:paraId="274FC374" w14:textId="77777777" w:rsidR="00D27E26" w:rsidRDefault="00335B96" w:rsidP="00335B96">
      <w:p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The Grand Chamber relied heavily on the standards set out in the Lanzarote Convention (Articles 12 -14 and 30 – 38) as well as Article 19(2) </w:t>
      </w:r>
      <w:r w:rsidR="000C44DF">
        <w:rPr>
          <w:rFonts w:eastAsia="Times New Roman" w:cstheme="minorHAnsi"/>
          <w:kern w:val="36"/>
          <w:lang w:eastAsia="en-ZA"/>
        </w:rPr>
        <w:t>Of the UN Convention on the Rights of the Child (UNCRC), which also refers to the procedural obligations to conduct an effective investigation.</w:t>
      </w:r>
      <w:r w:rsidR="00E92453">
        <w:rPr>
          <w:rFonts w:eastAsia="Times New Roman" w:cstheme="minorHAnsi"/>
          <w:kern w:val="36"/>
          <w:lang w:eastAsia="en-ZA"/>
        </w:rPr>
        <w:t xml:space="preserve">  </w:t>
      </w:r>
      <w:r w:rsidR="00666EF8">
        <w:rPr>
          <w:rFonts w:eastAsia="Times New Roman" w:cstheme="minorHAnsi"/>
          <w:kern w:val="36"/>
          <w:lang w:eastAsia="en-ZA"/>
        </w:rPr>
        <w:t xml:space="preserve">It specifically cited Article 31(1)(c) of the Lanzarote Convention in its assessment, highlighting the need to enable child victims “to be heard, to supply evidence and to choose the means of having their views, needs and concerns presented, directly or through an intermediary, and considered.”  The Grand Chamber specifically addressed the dual role of the children as victims and witnesses and the need to assist and support the children in their </w:t>
      </w:r>
      <w:r w:rsidR="003928A6">
        <w:rPr>
          <w:rFonts w:eastAsia="Times New Roman" w:cstheme="minorHAnsi"/>
          <w:kern w:val="36"/>
          <w:lang w:eastAsia="en-ZA"/>
        </w:rPr>
        <w:t xml:space="preserve">capacity as witnesses.  </w:t>
      </w:r>
    </w:p>
    <w:p w14:paraId="2D5C31D1" w14:textId="77777777" w:rsidR="00D27E26" w:rsidRDefault="00D27E26" w:rsidP="00335B96">
      <w:pPr>
        <w:spacing w:after="0" w:line="240" w:lineRule="auto"/>
        <w:jc w:val="both"/>
        <w:outlineLvl w:val="0"/>
        <w:rPr>
          <w:rFonts w:eastAsia="Times New Roman" w:cstheme="minorHAnsi"/>
          <w:kern w:val="36"/>
          <w:lang w:eastAsia="en-ZA"/>
        </w:rPr>
      </w:pPr>
    </w:p>
    <w:p w14:paraId="7EA4D2C6" w14:textId="0E22DFF4" w:rsidR="00335B96" w:rsidRDefault="00495417" w:rsidP="00335B96">
      <w:p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 </w:t>
      </w:r>
      <w:r w:rsidR="003928A6">
        <w:rPr>
          <w:rFonts w:eastAsia="Times New Roman" w:cstheme="minorHAnsi"/>
          <w:kern w:val="36"/>
          <w:lang w:eastAsia="en-ZA"/>
        </w:rPr>
        <w:t>I</w:t>
      </w:r>
      <w:r w:rsidR="00D27E26">
        <w:rPr>
          <w:rFonts w:eastAsia="Times New Roman" w:cstheme="minorHAnsi"/>
          <w:kern w:val="36"/>
          <w:lang w:eastAsia="en-ZA"/>
        </w:rPr>
        <w:t>n</w:t>
      </w:r>
      <w:r w:rsidR="003928A6">
        <w:rPr>
          <w:rFonts w:eastAsia="Times New Roman" w:cstheme="minorHAnsi"/>
          <w:kern w:val="36"/>
          <w:lang w:eastAsia="en-ZA"/>
        </w:rPr>
        <w:t xml:space="preserve"> the present instance, the Bulgarian authorities could have travelled to Italy to interview the children or requested the Italian authorities to conduct the interviews.</w:t>
      </w:r>
      <w:r>
        <w:rPr>
          <w:rFonts w:eastAsia="Times New Roman" w:cstheme="minorHAnsi"/>
          <w:kern w:val="36"/>
          <w:lang w:eastAsia="en-ZA"/>
        </w:rPr>
        <w:t xml:space="preserve">  </w:t>
      </w:r>
      <w:r w:rsidR="009F7168">
        <w:rPr>
          <w:rFonts w:eastAsia="Times New Roman" w:cstheme="minorHAnsi"/>
          <w:kern w:val="36"/>
          <w:lang w:eastAsia="en-ZA"/>
        </w:rPr>
        <w:t>Cognisant of</w:t>
      </w:r>
      <w:r>
        <w:rPr>
          <w:rFonts w:eastAsia="Times New Roman" w:cstheme="minorHAnsi"/>
          <w:kern w:val="36"/>
          <w:lang w:eastAsia="en-ZA"/>
        </w:rPr>
        <w:t xml:space="preserve"> the risks involved in interviewing children in cases of this nature</w:t>
      </w:r>
      <w:r w:rsidR="009F7168">
        <w:rPr>
          <w:rFonts w:eastAsia="Times New Roman" w:cstheme="minorHAnsi"/>
          <w:kern w:val="36"/>
          <w:lang w:eastAsia="en-ZA"/>
        </w:rPr>
        <w:t xml:space="preserve">, such as the possibility of exacerbating trauma or tainting the evidence, the Grand Chamber found that the authorities should have assessed the need to request such interviews, which had apparently not been considered by the authorities. </w:t>
      </w:r>
      <w:r w:rsidR="00D4383F">
        <w:rPr>
          <w:rFonts w:eastAsia="Times New Roman" w:cstheme="minorHAnsi"/>
          <w:kern w:val="36"/>
          <w:lang w:eastAsia="en-ZA"/>
        </w:rPr>
        <w:t xml:space="preserve"> The second and third investigations did not include taking any evidence from the applicants directly and, in fact, they had not even watched the video recordings of the statements taken from the children in Italy.</w:t>
      </w:r>
    </w:p>
    <w:p w14:paraId="6AF6471D" w14:textId="05131B93" w:rsidR="00D4383F" w:rsidRDefault="00D4383F" w:rsidP="00335B96">
      <w:pPr>
        <w:spacing w:after="0" w:line="240" w:lineRule="auto"/>
        <w:jc w:val="both"/>
        <w:outlineLvl w:val="0"/>
        <w:rPr>
          <w:rFonts w:eastAsia="Times New Roman" w:cstheme="minorHAnsi"/>
          <w:kern w:val="36"/>
          <w:lang w:eastAsia="en-ZA"/>
        </w:rPr>
      </w:pPr>
    </w:p>
    <w:p w14:paraId="49158994" w14:textId="77777777" w:rsidR="00D4383F" w:rsidRDefault="00D4383F" w:rsidP="00335B96">
      <w:pPr>
        <w:spacing w:after="0" w:line="240" w:lineRule="auto"/>
        <w:jc w:val="both"/>
        <w:outlineLvl w:val="0"/>
        <w:rPr>
          <w:rFonts w:eastAsia="Times New Roman" w:cstheme="minorHAnsi"/>
          <w:kern w:val="36"/>
          <w:lang w:eastAsia="en-ZA"/>
        </w:rPr>
      </w:pPr>
    </w:p>
    <w:p w14:paraId="421CEBD3" w14:textId="6A8FCECC" w:rsidR="00D4383F" w:rsidRDefault="00D4383F" w:rsidP="00335B96">
      <w:pPr>
        <w:spacing w:after="0" w:line="240" w:lineRule="auto"/>
        <w:jc w:val="both"/>
        <w:outlineLvl w:val="0"/>
        <w:rPr>
          <w:rFonts w:eastAsia="Times New Roman" w:cstheme="minorHAnsi"/>
          <w:kern w:val="36"/>
          <w:lang w:eastAsia="en-ZA"/>
        </w:rPr>
      </w:pPr>
    </w:p>
    <w:p w14:paraId="29FD5D73" w14:textId="4D9E0838" w:rsidR="00D4383F" w:rsidRPr="00D4383F" w:rsidRDefault="00D4383F" w:rsidP="00335B96">
      <w:pPr>
        <w:spacing w:after="0" w:line="240" w:lineRule="auto"/>
        <w:jc w:val="both"/>
        <w:outlineLvl w:val="0"/>
        <w:rPr>
          <w:rFonts w:eastAsia="Times New Roman" w:cstheme="minorHAnsi"/>
          <w:b/>
          <w:bCs/>
          <w:kern w:val="36"/>
          <w:lang w:eastAsia="en-ZA"/>
        </w:rPr>
      </w:pPr>
      <w:r w:rsidRPr="00D4383F">
        <w:rPr>
          <w:rFonts w:eastAsia="Times New Roman" w:cstheme="minorHAnsi"/>
          <w:b/>
          <w:bCs/>
          <w:kern w:val="36"/>
          <w:lang w:eastAsia="en-ZA"/>
        </w:rPr>
        <w:t>Commentary</w:t>
      </w:r>
    </w:p>
    <w:p w14:paraId="4961CBF6" w14:textId="3A953C6B" w:rsidR="00BC40CC" w:rsidRDefault="009D16A1" w:rsidP="00580284">
      <w:p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This is an important judgement from the perspective of international children’s rights, and especially for children who are victims of rights violations </w:t>
      </w:r>
      <w:r w:rsidR="00580284">
        <w:rPr>
          <w:rFonts w:eastAsia="Times New Roman" w:cstheme="minorHAnsi"/>
          <w:kern w:val="36"/>
          <w:lang w:eastAsia="en-ZA"/>
        </w:rPr>
        <w:t>in institutional care.</w:t>
      </w:r>
      <w:r w:rsidR="00167001">
        <w:rPr>
          <w:rStyle w:val="FootnoteReference"/>
          <w:rFonts w:eastAsia="Times New Roman" w:cstheme="minorHAnsi"/>
          <w:kern w:val="36"/>
          <w:lang w:eastAsia="en-ZA"/>
        </w:rPr>
        <w:footnoteReference w:id="2"/>
      </w:r>
      <w:r w:rsidR="00580284">
        <w:rPr>
          <w:rFonts w:eastAsia="Times New Roman" w:cstheme="minorHAnsi"/>
          <w:kern w:val="36"/>
          <w:lang w:eastAsia="en-ZA"/>
        </w:rPr>
        <w:t xml:space="preserve">  Children often face a number of barriers in accessing justice, and this is particularly relevant to the closed nature of institutions which stands in the way of effective investigations and evidence gathering.</w:t>
      </w:r>
      <w:r w:rsidR="007D7272">
        <w:rPr>
          <w:rFonts w:eastAsia="Times New Roman" w:cstheme="minorHAnsi"/>
          <w:kern w:val="36"/>
          <w:lang w:eastAsia="en-ZA"/>
        </w:rPr>
        <w:t xml:space="preserve">  This case highlights how children’s rights may be inadequately protected where state authorities do not show the requisite diligence and rigour.</w:t>
      </w:r>
    </w:p>
    <w:p w14:paraId="55198008" w14:textId="63F5E041" w:rsidR="00580284" w:rsidRDefault="00580284" w:rsidP="00580284">
      <w:pPr>
        <w:spacing w:after="0" w:line="240" w:lineRule="auto"/>
        <w:jc w:val="both"/>
        <w:outlineLvl w:val="0"/>
        <w:rPr>
          <w:rFonts w:eastAsia="Times New Roman" w:cstheme="minorHAnsi"/>
          <w:kern w:val="36"/>
          <w:lang w:eastAsia="en-ZA"/>
        </w:rPr>
      </w:pPr>
    </w:p>
    <w:p w14:paraId="6AA8F7F9" w14:textId="51F216CA" w:rsidR="002261B7" w:rsidRDefault="002261B7" w:rsidP="00580284">
      <w:p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The dissenting opinion in the judgement claimed that the desire of the majority to “respond to the applicant’s sad story” has created uncertainty as to the protection of privacy rights of victims in similar cases.  They argue that it </w:t>
      </w:r>
      <w:r w:rsidR="002F42EB">
        <w:rPr>
          <w:rFonts w:eastAsia="Times New Roman" w:cstheme="minorHAnsi"/>
          <w:kern w:val="36"/>
          <w:lang w:eastAsia="en-ZA"/>
        </w:rPr>
        <w:t xml:space="preserve">might put at risk the best interests of children in similar vulnerable position </w:t>
      </w:r>
      <w:r w:rsidR="00167001">
        <w:rPr>
          <w:rFonts w:eastAsia="Times New Roman" w:cstheme="minorHAnsi"/>
          <w:kern w:val="36"/>
          <w:lang w:eastAsia="en-ZA"/>
        </w:rPr>
        <w:t>“</w:t>
      </w:r>
      <w:r w:rsidR="002F42EB">
        <w:rPr>
          <w:rFonts w:eastAsia="Times New Roman" w:cstheme="minorHAnsi"/>
          <w:kern w:val="36"/>
          <w:lang w:eastAsia="en-ZA"/>
        </w:rPr>
        <w:t xml:space="preserve">by encouraging excessively intrusive </w:t>
      </w:r>
      <w:r w:rsidR="00167001">
        <w:rPr>
          <w:rFonts w:eastAsia="Times New Roman" w:cstheme="minorHAnsi"/>
          <w:kern w:val="36"/>
          <w:lang w:eastAsia="en-ZA"/>
        </w:rPr>
        <w:t xml:space="preserve">and finally unreliable investigative measures.”  </w:t>
      </w:r>
      <w:proofErr w:type="spellStart"/>
      <w:r w:rsidR="00167001">
        <w:rPr>
          <w:rFonts w:eastAsia="Times New Roman" w:cstheme="minorHAnsi"/>
          <w:kern w:val="36"/>
          <w:lang w:eastAsia="en-ZA"/>
        </w:rPr>
        <w:t>Liefaard</w:t>
      </w:r>
      <w:proofErr w:type="spellEnd"/>
      <w:r w:rsidR="00167001">
        <w:rPr>
          <w:rFonts w:eastAsia="Times New Roman" w:cstheme="minorHAnsi"/>
          <w:kern w:val="36"/>
          <w:lang w:eastAsia="en-ZA"/>
        </w:rPr>
        <w:t>,</w:t>
      </w:r>
      <w:r w:rsidR="00167001">
        <w:rPr>
          <w:rStyle w:val="FootnoteReference"/>
          <w:rFonts w:eastAsia="Times New Roman" w:cstheme="minorHAnsi"/>
          <w:kern w:val="36"/>
          <w:lang w:eastAsia="en-ZA"/>
        </w:rPr>
        <w:footnoteReference w:id="3"/>
      </w:r>
      <w:r w:rsidR="00167001">
        <w:rPr>
          <w:rFonts w:eastAsia="Times New Roman" w:cstheme="minorHAnsi"/>
          <w:kern w:val="36"/>
          <w:lang w:eastAsia="en-ZA"/>
        </w:rPr>
        <w:t xml:space="preserve"> h</w:t>
      </w:r>
      <w:r w:rsidR="00FB2226">
        <w:rPr>
          <w:rFonts w:eastAsia="Times New Roman" w:cstheme="minorHAnsi"/>
          <w:kern w:val="36"/>
          <w:lang w:eastAsia="en-ZA"/>
        </w:rPr>
        <w:t>owever, argues that by pitting privacy rights and best interests against the notion that child victims should be involved overlooks the fact that the views of the child are a vital element of any assessment of the child’s best interests.</w:t>
      </w:r>
      <w:r w:rsidR="00FB2226">
        <w:rPr>
          <w:rStyle w:val="FootnoteReference"/>
          <w:rFonts w:eastAsia="Times New Roman" w:cstheme="minorHAnsi"/>
          <w:kern w:val="36"/>
          <w:lang w:eastAsia="en-ZA"/>
        </w:rPr>
        <w:footnoteReference w:id="4"/>
      </w:r>
      <w:r w:rsidR="00855C56">
        <w:rPr>
          <w:rFonts w:eastAsia="Times New Roman" w:cstheme="minorHAnsi"/>
          <w:kern w:val="36"/>
          <w:lang w:eastAsia="en-ZA"/>
        </w:rPr>
        <w:t xml:space="preserve">  The best interests of a child includes taking into account the views of the child.  Therefore, taking into account the views of a child would not jeopardise the child’s right to privacy, provided that adequate support is in place.</w:t>
      </w:r>
    </w:p>
    <w:p w14:paraId="4F612923" w14:textId="77777777" w:rsidR="009F0171" w:rsidRDefault="009F0171" w:rsidP="00580284">
      <w:pPr>
        <w:spacing w:after="0" w:line="240" w:lineRule="auto"/>
        <w:jc w:val="both"/>
        <w:outlineLvl w:val="0"/>
        <w:rPr>
          <w:rFonts w:eastAsia="Times New Roman" w:cstheme="minorHAnsi"/>
          <w:kern w:val="36"/>
          <w:lang w:eastAsia="en-ZA"/>
        </w:rPr>
      </w:pPr>
    </w:p>
    <w:p w14:paraId="12D9F8D1" w14:textId="7A8AE508" w:rsidR="009F0171" w:rsidRDefault="009F0171" w:rsidP="00580284">
      <w:pPr>
        <w:spacing w:after="0" w:line="240" w:lineRule="auto"/>
        <w:jc w:val="both"/>
        <w:outlineLvl w:val="0"/>
        <w:rPr>
          <w:rFonts w:eastAsia="Times New Roman" w:cstheme="minorHAnsi"/>
          <w:kern w:val="36"/>
          <w:lang w:eastAsia="en-ZA"/>
        </w:rPr>
      </w:pPr>
      <w:proofErr w:type="spellStart"/>
      <w:r>
        <w:rPr>
          <w:rFonts w:eastAsia="Times New Roman" w:cstheme="minorHAnsi"/>
          <w:kern w:val="36"/>
          <w:lang w:eastAsia="en-ZA"/>
        </w:rPr>
        <w:t>Liefaard</w:t>
      </w:r>
      <w:proofErr w:type="spellEnd"/>
      <w:r w:rsidR="00486F27">
        <w:rPr>
          <w:rStyle w:val="FootnoteReference"/>
          <w:rFonts w:eastAsia="Times New Roman" w:cstheme="minorHAnsi"/>
          <w:kern w:val="36"/>
          <w:lang w:eastAsia="en-ZA"/>
        </w:rPr>
        <w:footnoteReference w:id="5"/>
      </w:r>
      <w:r w:rsidR="00246E14">
        <w:rPr>
          <w:rFonts w:eastAsia="Times New Roman" w:cstheme="minorHAnsi"/>
          <w:kern w:val="36"/>
          <w:lang w:eastAsia="en-ZA"/>
        </w:rPr>
        <w:t xml:space="preserve"> emphasises that the significance of access to justice for children as a means to seek effective remedies for rights violations should not be underestimated, particularly in the case of children placed in institutions such as orphanages.  Institutionalised children are in a very vulnerable situation and at a much higher risk of multiple rights violations</w:t>
      </w:r>
      <w:r w:rsidR="00FF524D">
        <w:rPr>
          <w:rFonts w:eastAsia="Times New Roman" w:cstheme="minorHAnsi"/>
          <w:kern w:val="36"/>
          <w:lang w:eastAsia="en-ZA"/>
        </w:rPr>
        <w:t xml:space="preserve"> than children under parental care.  Children in institutions, therefore, require additional safeguards to ensure </w:t>
      </w:r>
      <w:r w:rsidR="005875CD">
        <w:rPr>
          <w:rFonts w:eastAsia="Times New Roman" w:cstheme="minorHAnsi"/>
          <w:kern w:val="36"/>
          <w:lang w:eastAsia="en-ZA"/>
        </w:rPr>
        <w:t>that they have a mechanism to make complaints.</w:t>
      </w:r>
    </w:p>
    <w:p w14:paraId="3D815892" w14:textId="262FABD6" w:rsidR="005875CD" w:rsidRDefault="005875CD" w:rsidP="00580284">
      <w:pPr>
        <w:spacing w:after="0" w:line="240" w:lineRule="auto"/>
        <w:jc w:val="both"/>
        <w:outlineLvl w:val="0"/>
        <w:rPr>
          <w:rFonts w:eastAsia="Times New Roman" w:cstheme="minorHAnsi"/>
          <w:kern w:val="36"/>
          <w:lang w:eastAsia="en-ZA"/>
        </w:rPr>
      </w:pPr>
    </w:p>
    <w:p w14:paraId="0DDFFF92" w14:textId="692EE9B9" w:rsidR="005875CD" w:rsidRDefault="005875CD" w:rsidP="00580284">
      <w:pPr>
        <w:spacing w:after="0" w:line="240" w:lineRule="auto"/>
        <w:jc w:val="both"/>
        <w:outlineLvl w:val="0"/>
        <w:rPr>
          <w:rFonts w:eastAsia="Times New Roman" w:cstheme="minorHAnsi"/>
          <w:kern w:val="36"/>
          <w:lang w:eastAsia="en-ZA"/>
        </w:rPr>
      </w:pPr>
      <w:proofErr w:type="spellStart"/>
      <w:r>
        <w:rPr>
          <w:rFonts w:eastAsia="Times New Roman" w:cstheme="minorHAnsi"/>
          <w:kern w:val="36"/>
          <w:lang w:eastAsia="en-ZA"/>
        </w:rPr>
        <w:t>Liefaard</w:t>
      </w:r>
      <w:proofErr w:type="spellEnd"/>
      <w:r>
        <w:rPr>
          <w:rStyle w:val="FootnoteReference"/>
          <w:rFonts w:eastAsia="Times New Roman" w:cstheme="minorHAnsi"/>
          <w:kern w:val="36"/>
          <w:lang w:eastAsia="en-ZA"/>
        </w:rPr>
        <w:footnoteReference w:id="6"/>
      </w:r>
      <w:r>
        <w:rPr>
          <w:rFonts w:eastAsia="Times New Roman" w:cstheme="minorHAnsi"/>
          <w:kern w:val="36"/>
          <w:lang w:eastAsia="en-ZA"/>
        </w:rPr>
        <w:t xml:space="preserve"> argues that the Grand Chamber’s assessment of the substantive aspects of Article 3 were “somewhat superficial” in that, although acknowledging that a state’s duty was heightened in situations where children were deprived of parental care, it did not consider in much detail the steps involved for a child to bring a complaint in such a context</w:t>
      </w:r>
      <w:r w:rsidR="003A121E">
        <w:rPr>
          <w:rFonts w:eastAsia="Times New Roman" w:cstheme="minorHAnsi"/>
          <w:kern w:val="36"/>
          <w:lang w:eastAsia="en-ZA"/>
        </w:rPr>
        <w:t>:</w:t>
      </w:r>
    </w:p>
    <w:p w14:paraId="47C95365" w14:textId="5CEDB7B0" w:rsidR="003A121E" w:rsidRDefault="003A121E" w:rsidP="003A121E">
      <w:pPr>
        <w:pStyle w:val="ListParagraph"/>
        <w:numPr>
          <w:ilvl w:val="0"/>
          <w:numId w:val="3"/>
        </w:numPr>
        <w:spacing w:after="0" w:line="240" w:lineRule="auto"/>
        <w:jc w:val="both"/>
        <w:outlineLvl w:val="0"/>
        <w:rPr>
          <w:rFonts w:eastAsia="Times New Roman" w:cstheme="minorHAnsi"/>
          <w:kern w:val="36"/>
          <w:lang w:eastAsia="en-ZA"/>
        </w:rPr>
      </w:pPr>
      <w:r>
        <w:rPr>
          <w:rFonts w:eastAsia="Times New Roman" w:cstheme="minorHAnsi"/>
          <w:kern w:val="36"/>
          <w:lang w:eastAsia="en-ZA"/>
        </w:rPr>
        <w:t>What information or guidance do children in these contexts have about their right to be free of abuse?</w:t>
      </w:r>
    </w:p>
    <w:p w14:paraId="0F91B414" w14:textId="26ACC32A" w:rsidR="003A121E" w:rsidRDefault="003A121E" w:rsidP="003A121E">
      <w:pPr>
        <w:pStyle w:val="ListParagraph"/>
        <w:numPr>
          <w:ilvl w:val="0"/>
          <w:numId w:val="3"/>
        </w:numPr>
        <w:spacing w:after="0" w:line="240" w:lineRule="auto"/>
        <w:jc w:val="both"/>
        <w:outlineLvl w:val="0"/>
        <w:rPr>
          <w:rFonts w:eastAsia="Times New Roman" w:cstheme="minorHAnsi"/>
          <w:kern w:val="36"/>
          <w:lang w:eastAsia="en-ZA"/>
        </w:rPr>
      </w:pPr>
      <w:r>
        <w:rPr>
          <w:rFonts w:eastAsia="Times New Roman" w:cstheme="minorHAnsi"/>
          <w:kern w:val="36"/>
          <w:lang w:eastAsia="en-ZA"/>
        </w:rPr>
        <w:t>What information do they have about accessing remedies where their rights have been infringed?</w:t>
      </w:r>
    </w:p>
    <w:p w14:paraId="4CC7EF22" w14:textId="798784AE" w:rsidR="003A121E" w:rsidRDefault="003A121E" w:rsidP="003A121E">
      <w:pPr>
        <w:pStyle w:val="ListParagraph"/>
        <w:numPr>
          <w:ilvl w:val="0"/>
          <w:numId w:val="3"/>
        </w:numPr>
        <w:spacing w:after="0" w:line="240" w:lineRule="auto"/>
        <w:jc w:val="both"/>
        <w:outlineLvl w:val="0"/>
        <w:rPr>
          <w:rFonts w:eastAsia="Times New Roman" w:cstheme="minorHAnsi"/>
          <w:kern w:val="36"/>
          <w:lang w:eastAsia="en-ZA"/>
        </w:rPr>
      </w:pPr>
      <w:r>
        <w:rPr>
          <w:rFonts w:eastAsia="Times New Roman" w:cstheme="minorHAnsi"/>
          <w:kern w:val="36"/>
          <w:lang w:eastAsia="en-ZA"/>
        </w:rPr>
        <w:t>What information do they have about the telephone hotline?</w:t>
      </w:r>
    </w:p>
    <w:p w14:paraId="5EF9EF5C" w14:textId="62826BF1" w:rsidR="003A121E" w:rsidRDefault="003A121E" w:rsidP="003A121E">
      <w:pPr>
        <w:pStyle w:val="ListParagraph"/>
        <w:numPr>
          <w:ilvl w:val="0"/>
          <w:numId w:val="3"/>
        </w:numPr>
        <w:spacing w:after="0" w:line="240" w:lineRule="auto"/>
        <w:jc w:val="both"/>
        <w:outlineLvl w:val="0"/>
        <w:rPr>
          <w:rFonts w:eastAsia="Times New Roman" w:cstheme="minorHAnsi"/>
          <w:kern w:val="36"/>
          <w:lang w:eastAsia="en-ZA"/>
        </w:rPr>
      </w:pPr>
      <w:r>
        <w:rPr>
          <w:rFonts w:eastAsia="Times New Roman" w:cstheme="minorHAnsi"/>
          <w:kern w:val="36"/>
          <w:lang w:eastAsia="en-ZA"/>
        </w:rPr>
        <w:lastRenderedPageBreak/>
        <w:t>Was the psychologist and general practitioner trusted by the children so that they could make a disclosure?</w:t>
      </w:r>
    </w:p>
    <w:p w14:paraId="4073D904" w14:textId="403C7A1A" w:rsidR="001A0116" w:rsidRDefault="001A0116" w:rsidP="001A0116">
      <w:pPr>
        <w:spacing w:after="0" w:line="240" w:lineRule="auto"/>
        <w:jc w:val="both"/>
        <w:outlineLvl w:val="0"/>
        <w:rPr>
          <w:rFonts w:eastAsia="Times New Roman" w:cstheme="minorHAnsi"/>
          <w:kern w:val="36"/>
          <w:lang w:eastAsia="en-ZA"/>
        </w:rPr>
      </w:pPr>
    </w:p>
    <w:p w14:paraId="6B251B8C" w14:textId="3FF97687" w:rsidR="001A0116" w:rsidRDefault="001A0116" w:rsidP="001A0116">
      <w:pPr>
        <w:spacing w:after="0" w:line="240" w:lineRule="auto"/>
        <w:jc w:val="both"/>
        <w:outlineLvl w:val="0"/>
        <w:rPr>
          <w:rFonts w:eastAsia="Times New Roman" w:cstheme="minorHAnsi"/>
          <w:kern w:val="36"/>
          <w:lang w:eastAsia="en-ZA"/>
        </w:rPr>
      </w:pPr>
      <w:r>
        <w:rPr>
          <w:rFonts w:eastAsia="Times New Roman" w:cstheme="minorHAnsi"/>
          <w:kern w:val="36"/>
          <w:lang w:eastAsia="en-ZA"/>
        </w:rPr>
        <w:t>Despite these shortcomings, the Court’s reliance on the Lan</w:t>
      </w:r>
      <w:r w:rsidR="007C1C8A">
        <w:rPr>
          <w:rFonts w:eastAsia="Times New Roman" w:cstheme="minorHAnsi"/>
          <w:kern w:val="36"/>
          <w:lang w:eastAsia="en-ZA"/>
        </w:rPr>
        <w:t xml:space="preserve">zarote Convention reflects the need for children to participate in an investigation and indirectly references the child’s right to be heard (Article 12 UNCRC).  </w:t>
      </w:r>
      <w:proofErr w:type="spellStart"/>
      <w:r w:rsidR="007C1C8A">
        <w:rPr>
          <w:rFonts w:eastAsia="Times New Roman" w:cstheme="minorHAnsi"/>
          <w:kern w:val="36"/>
          <w:lang w:eastAsia="en-ZA"/>
        </w:rPr>
        <w:t>Liefaard</w:t>
      </w:r>
      <w:proofErr w:type="spellEnd"/>
      <w:r w:rsidR="007C1C8A">
        <w:rPr>
          <w:rStyle w:val="FootnoteReference"/>
          <w:rFonts w:eastAsia="Times New Roman" w:cstheme="minorHAnsi"/>
          <w:kern w:val="36"/>
          <w:lang w:eastAsia="en-ZA"/>
        </w:rPr>
        <w:footnoteReference w:id="7"/>
      </w:r>
      <w:r w:rsidR="007C1C8A">
        <w:rPr>
          <w:rFonts w:eastAsia="Times New Roman" w:cstheme="minorHAnsi"/>
          <w:kern w:val="36"/>
          <w:lang w:eastAsia="en-ZA"/>
        </w:rPr>
        <w:t xml:space="preserve"> notes that it is regrettable that the Grand Chamber did not explicitly incorporate the need to enable child victims to decide the way in which they will be heard, but that it is promising that the Court’s conclusion places a strong obligation on state authorities to do more to involve child victims in their investigations.</w:t>
      </w:r>
    </w:p>
    <w:p w14:paraId="6044EE3C" w14:textId="4F7461CA" w:rsidR="00F85518" w:rsidRDefault="00F85518" w:rsidP="001A0116">
      <w:pPr>
        <w:spacing w:after="0" w:line="240" w:lineRule="auto"/>
        <w:jc w:val="both"/>
        <w:outlineLvl w:val="0"/>
        <w:rPr>
          <w:rFonts w:eastAsia="Times New Roman" w:cstheme="minorHAnsi"/>
          <w:kern w:val="36"/>
          <w:lang w:eastAsia="en-ZA"/>
        </w:rPr>
      </w:pPr>
    </w:p>
    <w:p w14:paraId="3ED87519" w14:textId="0F110271" w:rsidR="00F85518" w:rsidRDefault="00F85518" w:rsidP="001A0116">
      <w:pPr>
        <w:spacing w:after="0" w:line="240" w:lineRule="auto"/>
        <w:jc w:val="both"/>
        <w:outlineLvl w:val="0"/>
        <w:rPr>
          <w:rFonts w:eastAsia="Times New Roman" w:cstheme="minorHAnsi"/>
          <w:kern w:val="36"/>
          <w:lang w:eastAsia="en-ZA"/>
        </w:rPr>
      </w:pPr>
      <w:r>
        <w:rPr>
          <w:rFonts w:eastAsia="Times New Roman" w:cstheme="minorHAnsi"/>
          <w:kern w:val="36"/>
          <w:lang w:eastAsia="en-ZA"/>
        </w:rPr>
        <w:t>Another point of concern is that, although the Court notes the need to prevent undue delay, it does not explain why this is important in the case of children.  This case illustrates the problem that lengthy proceedings mean that the children have become adults by the time that the judgment has been delivered.</w:t>
      </w:r>
    </w:p>
    <w:p w14:paraId="1A976CA4" w14:textId="3E2F7CE9" w:rsidR="00F85518" w:rsidRDefault="00F85518" w:rsidP="001A0116">
      <w:pPr>
        <w:spacing w:after="0" w:line="240" w:lineRule="auto"/>
        <w:jc w:val="both"/>
        <w:outlineLvl w:val="0"/>
        <w:rPr>
          <w:rFonts w:eastAsia="Times New Roman" w:cstheme="minorHAnsi"/>
          <w:kern w:val="36"/>
          <w:lang w:eastAsia="en-ZA"/>
        </w:rPr>
      </w:pPr>
    </w:p>
    <w:p w14:paraId="3ED7CC5D" w14:textId="3F556BA0" w:rsidR="00F85518" w:rsidRPr="001A0116" w:rsidRDefault="00F85518" w:rsidP="001A0116">
      <w:pPr>
        <w:spacing w:after="0" w:line="240" w:lineRule="auto"/>
        <w:jc w:val="both"/>
        <w:outlineLvl w:val="0"/>
        <w:rPr>
          <w:rFonts w:eastAsia="Times New Roman" w:cstheme="minorHAnsi"/>
          <w:kern w:val="36"/>
          <w:lang w:eastAsia="en-ZA"/>
        </w:rPr>
      </w:pPr>
      <w:r>
        <w:rPr>
          <w:rFonts w:eastAsia="Times New Roman" w:cstheme="minorHAnsi"/>
          <w:kern w:val="36"/>
          <w:lang w:eastAsia="en-ZA"/>
        </w:rPr>
        <w:t xml:space="preserve">Overall the judgement </w:t>
      </w:r>
      <w:r w:rsidR="00D959FC">
        <w:rPr>
          <w:rFonts w:eastAsia="Times New Roman" w:cstheme="minorHAnsi"/>
          <w:kern w:val="36"/>
          <w:lang w:eastAsia="en-ZA"/>
        </w:rPr>
        <w:t xml:space="preserve">provides a favourable message about the procedural rights of child victims in investigations in the context of institutions, suggesting that `vulnerability’ need not prevent a child from being involved in a case in which much is at stake for them.   It highlights the particular vulnerability of children in institutions and underscores the importance of their access to justice. </w:t>
      </w:r>
    </w:p>
    <w:p w14:paraId="05EF5BDC" w14:textId="3D131193" w:rsidR="007911A9" w:rsidRDefault="007911A9"/>
    <w:sectPr w:rsidR="007911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6D13" w14:textId="77777777" w:rsidR="00A3317B" w:rsidRDefault="00A3317B" w:rsidP="009440CD">
      <w:pPr>
        <w:spacing w:after="0" w:line="240" w:lineRule="auto"/>
      </w:pPr>
      <w:r>
        <w:separator/>
      </w:r>
    </w:p>
  </w:endnote>
  <w:endnote w:type="continuationSeparator" w:id="0">
    <w:p w14:paraId="33B9FBAC" w14:textId="77777777" w:rsidR="00A3317B" w:rsidRDefault="00A3317B" w:rsidP="0094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9ACD" w14:textId="77777777" w:rsidR="00A3317B" w:rsidRDefault="00A3317B" w:rsidP="009440CD">
      <w:pPr>
        <w:spacing w:after="0" w:line="240" w:lineRule="auto"/>
      </w:pPr>
      <w:r>
        <w:separator/>
      </w:r>
    </w:p>
  </w:footnote>
  <w:footnote w:type="continuationSeparator" w:id="0">
    <w:p w14:paraId="6A64D37E" w14:textId="77777777" w:rsidR="00A3317B" w:rsidRDefault="00A3317B" w:rsidP="009440CD">
      <w:pPr>
        <w:spacing w:after="0" w:line="240" w:lineRule="auto"/>
      </w:pPr>
      <w:r>
        <w:continuationSeparator/>
      </w:r>
    </w:p>
  </w:footnote>
  <w:footnote w:id="1">
    <w:p w14:paraId="13503BDD" w14:textId="5B61D79E" w:rsidR="00860450" w:rsidRDefault="009440CD">
      <w:pPr>
        <w:pStyle w:val="FootnoteText"/>
      </w:pPr>
      <w:r>
        <w:rPr>
          <w:rStyle w:val="FootnoteReference"/>
        </w:rPr>
        <w:footnoteRef/>
      </w:r>
      <w:r>
        <w:t xml:space="preserve"> </w:t>
      </w:r>
      <w:proofErr w:type="spellStart"/>
      <w:r>
        <w:t>Liefaard</w:t>
      </w:r>
      <w:proofErr w:type="spellEnd"/>
      <w:r>
        <w:t xml:space="preserve">, T., Valentine, J. and Van Dijck, L.  2021. </w:t>
      </w:r>
      <w:r w:rsidRPr="009440CD">
        <w:t>Victims of ‘vulnerability’: Balancing protection, privacy and participation of child victims in X and Others v. Bulgaria</w:t>
      </w:r>
      <w:r>
        <w:t>.</w:t>
      </w:r>
      <w:r w:rsidR="00860450">
        <w:t xml:space="preserve"> </w:t>
      </w:r>
      <w:hyperlink r:id="rId1" w:history="1">
        <w:r w:rsidR="00860450" w:rsidRPr="00977C9F">
          <w:rPr>
            <w:rStyle w:val="Hyperlink"/>
          </w:rPr>
          <w:t>https://strasbourgobservers.com/2021/04/26/victims-of-vulnerability-balancing-protection-privacy-and-participation-of-child-victims-in-x-and-others-v-bulgaria/amp/</w:t>
        </w:r>
      </w:hyperlink>
      <w:r w:rsidR="00860450">
        <w:t xml:space="preserve"> </w:t>
      </w:r>
      <w:r w:rsidR="00860450" w:rsidRPr="00860450">
        <w:t xml:space="preserve">  (accessed 29/04/202</w:t>
      </w:r>
      <w:r w:rsidR="00860450">
        <w:t>2</w:t>
      </w:r>
      <w:r w:rsidR="00860450" w:rsidRPr="00860450">
        <w:t>)</w:t>
      </w:r>
    </w:p>
  </w:footnote>
  <w:footnote w:id="2">
    <w:p w14:paraId="0A3BB89B" w14:textId="50D4D642" w:rsidR="00167001" w:rsidRDefault="00167001">
      <w:pPr>
        <w:pStyle w:val="FootnoteText"/>
      </w:pPr>
      <w:r>
        <w:rPr>
          <w:rStyle w:val="FootnoteReference"/>
        </w:rPr>
        <w:footnoteRef/>
      </w:r>
      <w:r>
        <w:t xml:space="preserve"> Ibid.</w:t>
      </w:r>
    </w:p>
  </w:footnote>
  <w:footnote w:id="3">
    <w:p w14:paraId="18EF6C10" w14:textId="5949861E" w:rsidR="00167001" w:rsidRDefault="00167001">
      <w:pPr>
        <w:pStyle w:val="FootnoteText"/>
      </w:pPr>
      <w:r>
        <w:rPr>
          <w:rStyle w:val="FootnoteReference"/>
        </w:rPr>
        <w:footnoteRef/>
      </w:r>
      <w:r>
        <w:t xml:space="preserve"> Ibid.</w:t>
      </w:r>
    </w:p>
  </w:footnote>
  <w:footnote w:id="4">
    <w:p w14:paraId="20C0AE36" w14:textId="146AE976" w:rsidR="00FB2226" w:rsidRDefault="00FB2226">
      <w:pPr>
        <w:pStyle w:val="FootnoteText"/>
      </w:pPr>
      <w:r>
        <w:rPr>
          <w:rStyle w:val="FootnoteReference"/>
        </w:rPr>
        <w:footnoteRef/>
      </w:r>
      <w:r>
        <w:t xml:space="preserve"> </w:t>
      </w:r>
      <w:r w:rsidR="00855C56">
        <w:t>Committee on the Rights of the Child.  General Comment No.14 and General Comment No.12.</w:t>
      </w:r>
    </w:p>
  </w:footnote>
  <w:footnote w:id="5">
    <w:p w14:paraId="3085ECEC" w14:textId="7644FDFE" w:rsidR="00486F27" w:rsidRDefault="00486F27">
      <w:pPr>
        <w:pStyle w:val="FootnoteText"/>
      </w:pPr>
      <w:r>
        <w:rPr>
          <w:rStyle w:val="FootnoteReference"/>
        </w:rPr>
        <w:footnoteRef/>
      </w:r>
      <w:r>
        <w:t xml:space="preserve"> Ibid. Note 1.</w:t>
      </w:r>
    </w:p>
  </w:footnote>
  <w:footnote w:id="6">
    <w:p w14:paraId="509BA927" w14:textId="569F52E3" w:rsidR="005875CD" w:rsidRDefault="005875CD">
      <w:pPr>
        <w:pStyle w:val="FootnoteText"/>
      </w:pPr>
      <w:r>
        <w:rPr>
          <w:rStyle w:val="FootnoteReference"/>
        </w:rPr>
        <w:footnoteRef/>
      </w:r>
      <w:r>
        <w:t xml:space="preserve"> Ibid. </w:t>
      </w:r>
    </w:p>
  </w:footnote>
  <w:footnote w:id="7">
    <w:p w14:paraId="014FF959" w14:textId="07E99ED5" w:rsidR="007C1C8A" w:rsidRDefault="007C1C8A">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46540"/>
      <w:docPartObj>
        <w:docPartGallery w:val="Page Numbers (Margins)"/>
        <w:docPartUnique/>
      </w:docPartObj>
    </w:sdtPr>
    <w:sdtEndPr/>
    <w:sdtContent>
      <w:p w14:paraId="5BDED6E7" w14:textId="1D68F116" w:rsidR="00C23D7E" w:rsidRDefault="00C23D7E">
        <w:pPr>
          <w:pStyle w:val="Header"/>
        </w:pPr>
        <w:r>
          <w:rPr>
            <w:noProof/>
          </w:rPr>
          <mc:AlternateContent>
            <mc:Choice Requires="wps">
              <w:drawing>
                <wp:anchor distT="0" distB="0" distL="114300" distR="114300" simplePos="0" relativeHeight="251659264" behindDoc="0" locked="0" layoutInCell="0" allowOverlap="1" wp14:anchorId="6B1A4638" wp14:editId="19FE0E30">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CDD3" w14:textId="77777777" w:rsidR="00C23D7E" w:rsidRDefault="00C23D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1A4638"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A04CDD3" w14:textId="77777777" w:rsidR="00C23D7E" w:rsidRDefault="00C23D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088B"/>
    <w:multiLevelType w:val="hybridMultilevel"/>
    <w:tmpl w:val="CD2C97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782215"/>
    <w:multiLevelType w:val="hybridMultilevel"/>
    <w:tmpl w:val="705CF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5B82BAB"/>
    <w:multiLevelType w:val="hybridMultilevel"/>
    <w:tmpl w:val="F4A4C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1A"/>
    <w:rsid w:val="0006511A"/>
    <w:rsid w:val="000C44DF"/>
    <w:rsid w:val="00167001"/>
    <w:rsid w:val="001A0116"/>
    <w:rsid w:val="001B3987"/>
    <w:rsid w:val="001D5C2E"/>
    <w:rsid w:val="002261B7"/>
    <w:rsid w:val="00246E14"/>
    <w:rsid w:val="00284C55"/>
    <w:rsid w:val="002950F1"/>
    <w:rsid w:val="002F2B46"/>
    <w:rsid w:val="002F42EB"/>
    <w:rsid w:val="003244D9"/>
    <w:rsid w:val="00335B96"/>
    <w:rsid w:val="00351C26"/>
    <w:rsid w:val="003928A6"/>
    <w:rsid w:val="003A121E"/>
    <w:rsid w:val="003F5188"/>
    <w:rsid w:val="00411FAB"/>
    <w:rsid w:val="00475BF7"/>
    <w:rsid w:val="00486F27"/>
    <w:rsid w:val="00495417"/>
    <w:rsid w:val="004C309C"/>
    <w:rsid w:val="00536229"/>
    <w:rsid w:val="00555C66"/>
    <w:rsid w:val="00580284"/>
    <w:rsid w:val="005875CD"/>
    <w:rsid w:val="005A0842"/>
    <w:rsid w:val="005B4396"/>
    <w:rsid w:val="00610015"/>
    <w:rsid w:val="00666EF8"/>
    <w:rsid w:val="007839D3"/>
    <w:rsid w:val="007911A9"/>
    <w:rsid w:val="007931A4"/>
    <w:rsid w:val="007C1C8A"/>
    <w:rsid w:val="007D7272"/>
    <w:rsid w:val="007F2121"/>
    <w:rsid w:val="00825422"/>
    <w:rsid w:val="00855C56"/>
    <w:rsid w:val="00860450"/>
    <w:rsid w:val="008C1159"/>
    <w:rsid w:val="008E0A0F"/>
    <w:rsid w:val="008E2590"/>
    <w:rsid w:val="00913B54"/>
    <w:rsid w:val="00926415"/>
    <w:rsid w:val="009440CD"/>
    <w:rsid w:val="00954F24"/>
    <w:rsid w:val="0097587A"/>
    <w:rsid w:val="009B1F26"/>
    <w:rsid w:val="009C34EB"/>
    <w:rsid w:val="009D16A1"/>
    <w:rsid w:val="009F0171"/>
    <w:rsid w:val="009F7168"/>
    <w:rsid w:val="00A3317B"/>
    <w:rsid w:val="00A55A4F"/>
    <w:rsid w:val="00AD7012"/>
    <w:rsid w:val="00AF24B6"/>
    <w:rsid w:val="00B22296"/>
    <w:rsid w:val="00B37525"/>
    <w:rsid w:val="00B43903"/>
    <w:rsid w:val="00B62FC9"/>
    <w:rsid w:val="00B67102"/>
    <w:rsid w:val="00B84E8A"/>
    <w:rsid w:val="00BA0719"/>
    <w:rsid w:val="00BC25F4"/>
    <w:rsid w:val="00BC40CC"/>
    <w:rsid w:val="00C03973"/>
    <w:rsid w:val="00C23D7E"/>
    <w:rsid w:val="00CC3C3D"/>
    <w:rsid w:val="00CF7316"/>
    <w:rsid w:val="00D27E26"/>
    <w:rsid w:val="00D4383F"/>
    <w:rsid w:val="00D959FC"/>
    <w:rsid w:val="00E37168"/>
    <w:rsid w:val="00E64D4B"/>
    <w:rsid w:val="00E92453"/>
    <w:rsid w:val="00F249BE"/>
    <w:rsid w:val="00F43AE1"/>
    <w:rsid w:val="00F85518"/>
    <w:rsid w:val="00FB2226"/>
    <w:rsid w:val="00FF52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5508A"/>
  <w15:chartTrackingRefBased/>
  <w15:docId w15:val="{2E60B5F3-9F2A-4C90-8A30-AB6B6D97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11A"/>
    <w:rPr>
      <w:color w:val="0563C1" w:themeColor="hyperlink"/>
      <w:u w:val="single"/>
    </w:rPr>
  </w:style>
  <w:style w:type="character" w:styleId="UnresolvedMention">
    <w:name w:val="Unresolved Mention"/>
    <w:basedOn w:val="DefaultParagraphFont"/>
    <w:uiPriority w:val="99"/>
    <w:semiHidden/>
    <w:unhideWhenUsed/>
    <w:rsid w:val="0006511A"/>
    <w:rPr>
      <w:color w:val="605E5C"/>
      <w:shd w:val="clear" w:color="auto" w:fill="E1DFDD"/>
    </w:rPr>
  </w:style>
  <w:style w:type="paragraph" w:styleId="FootnoteText">
    <w:name w:val="footnote text"/>
    <w:basedOn w:val="Normal"/>
    <w:link w:val="FootnoteTextChar"/>
    <w:uiPriority w:val="99"/>
    <w:semiHidden/>
    <w:unhideWhenUsed/>
    <w:rsid w:val="00944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0CD"/>
    <w:rPr>
      <w:sz w:val="20"/>
      <w:szCs w:val="20"/>
    </w:rPr>
  </w:style>
  <w:style w:type="character" w:styleId="FootnoteReference">
    <w:name w:val="footnote reference"/>
    <w:basedOn w:val="DefaultParagraphFont"/>
    <w:uiPriority w:val="99"/>
    <w:semiHidden/>
    <w:unhideWhenUsed/>
    <w:rsid w:val="009440CD"/>
    <w:rPr>
      <w:vertAlign w:val="superscript"/>
    </w:rPr>
  </w:style>
  <w:style w:type="paragraph" w:styleId="ListParagraph">
    <w:name w:val="List Paragraph"/>
    <w:basedOn w:val="Normal"/>
    <w:uiPriority w:val="34"/>
    <w:qFormat/>
    <w:rsid w:val="00B84E8A"/>
    <w:pPr>
      <w:ind w:left="720"/>
      <w:contextualSpacing/>
    </w:pPr>
  </w:style>
  <w:style w:type="paragraph" w:styleId="Header">
    <w:name w:val="header"/>
    <w:basedOn w:val="Normal"/>
    <w:link w:val="HeaderChar"/>
    <w:uiPriority w:val="99"/>
    <w:unhideWhenUsed/>
    <w:rsid w:val="00C2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D7E"/>
  </w:style>
  <w:style w:type="paragraph" w:styleId="Footer">
    <w:name w:val="footer"/>
    <w:basedOn w:val="Normal"/>
    <w:link w:val="FooterChar"/>
    <w:uiPriority w:val="99"/>
    <w:unhideWhenUsed/>
    <w:rsid w:val="00C2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D7E"/>
  </w:style>
  <w:style w:type="table" w:styleId="TableGrid">
    <w:name w:val="Table Grid"/>
    <w:basedOn w:val="TableNormal"/>
    <w:uiPriority w:val="59"/>
    <w:rsid w:val="001D5C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1527">
      <w:bodyDiv w:val="1"/>
      <w:marLeft w:val="0"/>
      <w:marRight w:val="0"/>
      <w:marTop w:val="0"/>
      <w:marBottom w:val="0"/>
      <w:divBdr>
        <w:top w:val="none" w:sz="0" w:space="0" w:color="auto"/>
        <w:left w:val="none" w:sz="0" w:space="0" w:color="auto"/>
        <w:bottom w:val="none" w:sz="0" w:space="0" w:color="auto"/>
        <w:right w:val="none" w:sz="0" w:space="0" w:color="auto"/>
      </w:divBdr>
      <w:divsChild>
        <w:div w:id="1451051835">
          <w:marLeft w:val="0"/>
          <w:marRight w:val="0"/>
          <w:marTop w:val="0"/>
          <w:marBottom w:val="0"/>
          <w:divBdr>
            <w:top w:val="none" w:sz="0" w:space="0" w:color="auto"/>
            <w:left w:val="none" w:sz="0" w:space="0" w:color="auto"/>
            <w:bottom w:val="none" w:sz="0" w:space="0" w:color="auto"/>
            <w:right w:val="none" w:sz="0" w:space="0" w:color="auto"/>
          </w:divBdr>
        </w:div>
        <w:div w:id="899679739">
          <w:marLeft w:val="0"/>
          <w:marRight w:val="0"/>
          <w:marTop w:val="0"/>
          <w:marBottom w:val="0"/>
          <w:divBdr>
            <w:top w:val="none" w:sz="0" w:space="0" w:color="auto"/>
            <w:left w:val="none" w:sz="0" w:space="0" w:color="auto"/>
            <w:bottom w:val="none" w:sz="0" w:space="0" w:color="auto"/>
            <w:right w:val="none" w:sz="0" w:space="0" w:color="auto"/>
          </w:divBdr>
        </w:div>
        <w:div w:id="200122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rasbourgobservers.com/2021/04/26/victims-of-vulnerability-balancing-protection-privacy-and-participation-of-child-victims-in-x-and-others-v-bulgaria/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34</cp:revision>
  <dcterms:created xsi:type="dcterms:W3CDTF">2022-03-18T10:55:00Z</dcterms:created>
  <dcterms:modified xsi:type="dcterms:W3CDTF">2022-03-23T13:57:00Z</dcterms:modified>
</cp:coreProperties>
</file>