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4CB71" w14:textId="77777777" w:rsidR="00093FE8" w:rsidRPr="00795D1B" w:rsidRDefault="00E20B43" w:rsidP="00501A3C">
      <w:pPr>
        <w:rPr>
          <w:rFonts w:ascii="Times New Roman" w:hAnsi="Times New Roman" w:cs="Times New Roman"/>
          <w:b/>
          <w:bCs/>
          <w:sz w:val="24"/>
          <w:szCs w:val="24"/>
        </w:rPr>
      </w:pPr>
      <w:bookmarkStart w:id="0" w:name="_GoBack"/>
      <w:bookmarkEnd w:id="0"/>
      <w:r w:rsidRPr="00795D1B">
        <w:rPr>
          <w:noProof/>
          <w:sz w:val="24"/>
          <w:szCs w:val="24"/>
          <w:lang w:val="en-US"/>
        </w:rPr>
        <w:drawing>
          <wp:anchor distT="0" distB="0" distL="114300" distR="114300" simplePos="0" relativeHeight="251659264" behindDoc="0" locked="0" layoutInCell="1" allowOverlap="1" wp14:anchorId="675AEDF9" wp14:editId="497476DD">
            <wp:simplePos x="0" y="0"/>
            <wp:positionH relativeFrom="page">
              <wp:posOffset>3380105</wp:posOffset>
            </wp:positionH>
            <wp:positionV relativeFrom="paragraph">
              <wp:posOffset>228600</wp:posOffset>
            </wp:positionV>
            <wp:extent cx="799200" cy="914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3F6D930E" w14:textId="77777777" w:rsidR="00501A3C" w:rsidRPr="00795D1B" w:rsidRDefault="00501A3C" w:rsidP="00501A3C">
      <w:pPr>
        <w:rPr>
          <w:rFonts w:ascii="Times New Roman" w:hAnsi="Times New Roman" w:cs="Times New Roman"/>
          <w:b/>
          <w:bCs/>
          <w:sz w:val="24"/>
          <w:szCs w:val="24"/>
        </w:rPr>
      </w:pPr>
    </w:p>
    <w:p w14:paraId="69AF543A" w14:textId="77777777" w:rsidR="00795D1B" w:rsidRPr="00795D1B" w:rsidRDefault="00795D1B" w:rsidP="00501A3C">
      <w:pPr>
        <w:rPr>
          <w:rFonts w:ascii="Times New Roman" w:hAnsi="Times New Roman" w:cs="Times New Roman"/>
          <w:b/>
          <w:bCs/>
          <w:sz w:val="24"/>
          <w:szCs w:val="24"/>
        </w:rPr>
      </w:pPr>
    </w:p>
    <w:p w14:paraId="063F349A" w14:textId="77777777" w:rsidR="00012E84" w:rsidRPr="000D5127" w:rsidRDefault="00012E84" w:rsidP="000D5127">
      <w:pPr>
        <w:rPr>
          <w:rFonts w:ascii="Arial" w:hAnsi="Arial" w:cs="Arial"/>
          <w:bCs/>
          <w:sz w:val="24"/>
          <w:szCs w:val="24"/>
        </w:rPr>
      </w:pPr>
    </w:p>
    <w:p w14:paraId="1400D142" w14:textId="77777777" w:rsidR="00D910EA" w:rsidRDefault="00D910EA" w:rsidP="00FB65A2">
      <w:pPr>
        <w:jc w:val="center"/>
        <w:rPr>
          <w:rFonts w:ascii="Arial" w:hAnsi="Arial" w:cs="Arial"/>
          <w:b/>
          <w:bCs/>
          <w:sz w:val="24"/>
          <w:szCs w:val="24"/>
        </w:rPr>
      </w:pPr>
    </w:p>
    <w:p w14:paraId="248A55D2" w14:textId="77777777" w:rsidR="00E20B43" w:rsidRPr="00795D1B" w:rsidRDefault="00E20B43" w:rsidP="00FB65A2">
      <w:pPr>
        <w:jc w:val="center"/>
        <w:rPr>
          <w:rFonts w:ascii="Arial" w:hAnsi="Arial" w:cs="Arial"/>
          <w:b/>
          <w:bCs/>
          <w:sz w:val="24"/>
          <w:szCs w:val="24"/>
        </w:rPr>
      </w:pPr>
      <w:r w:rsidRPr="000D5127">
        <w:rPr>
          <w:rFonts w:ascii="Arial" w:hAnsi="Arial" w:cs="Arial"/>
          <w:b/>
          <w:bCs/>
          <w:sz w:val="24"/>
          <w:szCs w:val="24"/>
        </w:rPr>
        <w:t>THE SUPREME COURT OF</w:t>
      </w:r>
      <w:r w:rsidRPr="000D5127">
        <w:rPr>
          <w:rFonts w:ascii="Arial" w:hAnsi="Arial" w:cs="Arial"/>
          <w:bCs/>
          <w:sz w:val="24"/>
          <w:szCs w:val="24"/>
        </w:rPr>
        <w:t xml:space="preserve"> </w:t>
      </w:r>
      <w:r w:rsidRPr="00795D1B">
        <w:rPr>
          <w:rFonts w:ascii="Arial" w:hAnsi="Arial" w:cs="Arial"/>
          <w:b/>
          <w:bCs/>
          <w:sz w:val="24"/>
          <w:szCs w:val="24"/>
        </w:rPr>
        <w:t>APPEAL OF SOUTH AFRICA</w:t>
      </w:r>
    </w:p>
    <w:p w14:paraId="48766486" w14:textId="7E6883B3" w:rsidR="00012E84" w:rsidRDefault="00E20B43" w:rsidP="00D910EA">
      <w:pPr>
        <w:pStyle w:val="Heading3"/>
        <w:spacing w:line="360" w:lineRule="auto"/>
        <w:rPr>
          <w:rFonts w:ascii="Arial" w:hAnsi="Arial" w:cs="Arial"/>
          <w:sz w:val="24"/>
          <w:szCs w:val="24"/>
          <w:lang w:val="en-GB"/>
        </w:rPr>
      </w:pPr>
      <w:r w:rsidRPr="00501A3C">
        <w:rPr>
          <w:rFonts w:ascii="Arial" w:hAnsi="Arial" w:cs="Arial"/>
          <w:sz w:val="24"/>
          <w:szCs w:val="24"/>
          <w:lang w:val="en-GB"/>
        </w:rPr>
        <w:t>JUDGMENT</w:t>
      </w:r>
    </w:p>
    <w:p w14:paraId="00FB54A8" w14:textId="77777777" w:rsidR="00012E84" w:rsidRPr="00012E84" w:rsidRDefault="00012E84" w:rsidP="00012E84">
      <w:pPr>
        <w:spacing w:line="240" w:lineRule="auto"/>
        <w:rPr>
          <w:rFonts w:ascii="Arial" w:hAnsi="Arial" w:cs="Arial"/>
          <w:sz w:val="24"/>
          <w:szCs w:val="24"/>
          <w:lang w:val="en-GB"/>
        </w:rPr>
      </w:pPr>
    </w:p>
    <w:p w14:paraId="44EB5AB1" w14:textId="60944AA9" w:rsidR="00E20B43" w:rsidRPr="00501A3C" w:rsidRDefault="00E20B43" w:rsidP="0056279C">
      <w:pPr>
        <w:jc w:val="right"/>
        <w:rPr>
          <w:rFonts w:ascii="Arial" w:hAnsi="Arial" w:cs="Arial"/>
          <w:b/>
          <w:sz w:val="24"/>
          <w:szCs w:val="24"/>
        </w:rPr>
      </w:pP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00754B54" w:rsidRPr="00501A3C">
        <w:rPr>
          <w:rFonts w:ascii="Arial" w:hAnsi="Arial" w:cs="Arial"/>
          <w:b/>
          <w:sz w:val="24"/>
          <w:szCs w:val="24"/>
        </w:rPr>
        <w:t xml:space="preserve">        </w:t>
      </w:r>
      <w:r w:rsidR="00501A3C">
        <w:rPr>
          <w:rFonts w:ascii="Arial" w:hAnsi="Arial" w:cs="Arial"/>
          <w:b/>
          <w:sz w:val="24"/>
          <w:szCs w:val="24"/>
        </w:rPr>
        <w:t xml:space="preserve">    </w:t>
      </w:r>
      <w:r w:rsidRPr="006744BA">
        <w:rPr>
          <w:rFonts w:ascii="Arial" w:hAnsi="Arial" w:cs="Arial"/>
          <w:b/>
          <w:sz w:val="24"/>
          <w:szCs w:val="24"/>
        </w:rPr>
        <w:t>Reportable</w:t>
      </w:r>
    </w:p>
    <w:p w14:paraId="140311D8" w14:textId="77777777" w:rsidR="00E20B43" w:rsidRPr="00501A3C" w:rsidRDefault="00E20B43" w:rsidP="00F960BA">
      <w:pPr>
        <w:spacing w:line="240" w:lineRule="auto"/>
        <w:ind w:left="5040" w:firstLine="720"/>
        <w:rPr>
          <w:rFonts w:ascii="Arial" w:hAnsi="Arial" w:cs="Arial"/>
          <w:sz w:val="24"/>
          <w:szCs w:val="24"/>
        </w:rPr>
      </w:pPr>
      <w:r w:rsidRPr="00501A3C">
        <w:rPr>
          <w:rFonts w:ascii="Arial" w:hAnsi="Arial" w:cs="Arial"/>
          <w:b/>
          <w:sz w:val="24"/>
          <w:szCs w:val="24"/>
        </w:rPr>
        <w:t xml:space="preserve">         </w:t>
      </w:r>
      <w:r w:rsidR="003614A8" w:rsidRPr="00501A3C">
        <w:rPr>
          <w:rFonts w:ascii="Arial" w:hAnsi="Arial" w:cs="Arial"/>
          <w:b/>
          <w:sz w:val="24"/>
          <w:szCs w:val="24"/>
        </w:rPr>
        <w:t xml:space="preserve">   </w:t>
      </w:r>
      <w:r w:rsidR="00704F42" w:rsidRPr="00501A3C">
        <w:rPr>
          <w:rFonts w:ascii="Arial" w:hAnsi="Arial" w:cs="Arial"/>
          <w:b/>
          <w:sz w:val="24"/>
          <w:szCs w:val="24"/>
        </w:rPr>
        <w:t xml:space="preserve">  </w:t>
      </w:r>
      <w:r w:rsidR="00501A3C">
        <w:rPr>
          <w:rFonts w:ascii="Arial" w:hAnsi="Arial" w:cs="Arial"/>
          <w:b/>
          <w:sz w:val="24"/>
          <w:szCs w:val="24"/>
        </w:rPr>
        <w:t xml:space="preserve">  </w:t>
      </w:r>
      <w:r w:rsidRPr="00501A3C">
        <w:rPr>
          <w:rFonts w:ascii="Arial" w:hAnsi="Arial" w:cs="Arial"/>
          <w:sz w:val="24"/>
          <w:szCs w:val="24"/>
        </w:rPr>
        <w:t xml:space="preserve">Case No: </w:t>
      </w:r>
      <w:r w:rsidR="00677B58">
        <w:rPr>
          <w:rFonts w:ascii="Arial" w:hAnsi="Arial" w:cs="Arial"/>
          <w:sz w:val="24"/>
          <w:szCs w:val="24"/>
        </w:rPr>
        <w:t>1300/</w:t>
      </w:r>
      <w:r w:rsidR="00704F42" w:rsidRPr="00501A3C">
        <w:rPr>
          <w:rFonts w:ascii="Arial" w:hAnsi="Arial" w:cs="Arial"/>
          <w:sz w:val="24"/>
          <w:szCs w:val="24"/>
        </w:rPr>
        <w:t>2022</w:t>
      </w:r>
    </w:p>
    <w:p w14:paraId="1EF8BEC4" w14:textId="77777777" w:rsidR="00F25CE1" w:rsidRPr="00501A3C" w:rsidRDefault="00F25CE1" w:rsidP="00D910EA">
      <w:pPr>
        <w:rPr>
          <w:rFonts w:ascii="Arial" w:hAnsi="Arial" w:cs="Arial"/>
          <w:sz w:val="24"/>
          <w:szCs w:val="24"/>
        </w:rPr>
      </w:pPr>
    </w:p>
    <w:p w14:paraId="47BB2BA3" w14:textId="77777777" w:rsidR="001A0F5C" w:rsidRPr="00501A3C" w:rsidRDefault="00E20B43" w:rsidP="00F960BA">
      <w:pPr>
        <w:spacing w:line="240" w:lineRule="auto"/>
        <w:rPr>
          <w:rFonts w:ascii="Arial" w:hAnsi="Arial" w:cs="Arial"/>
          <w:sz w:val="24"/>
          <w:szCs w:val="24"/>
        </w:rPr>
      </w:pPr>
      <w:r w:rsidRPr="00501A3C">
        <w:rPr>
          <w:rFonts w:ascii="Arial" w:hAnsi="Arial" w:cs="Arial"/>
          <w:sz w:val="24"/>
          <w:szCs w:val="24"/>
        </w:rPr>
        <w:t>In the matter between</w:t>
      </w:r>
      <w:r w:rsidR="005460A9" w:rsidRPr="00501A3C">
        <w:rPr>
          <w:rFonts w:ascii="Arial" w:hAnsi="Arial" w:cs="Arial"/>
          <w:sz w:val="24"/>
          <w:szCs w:val="24"/>
        </w:rPr>
        <w:t>:</w:t>
      </w:r>
    </w:p>
    <w:p w14:paraId="145C09D5" w14:textId="77777777" w:rsidR="00F960BA" w:rsidRPr="00501A3C" w:rsidRDefault="00F960BA" w:rsidP="00D910EA">
      <w:pPr>
        <w:rPr>
          <w:rFonts w:ascii="Arial" w:hAnsi="Arial" w:cs="Arial"/>
          <w:sz w:val="24"/>
          <w:szCs w:val="24"/>
        </w:rPr>
      </w:pPr>
    </w:p>
    <w:p w14:paraId="29F1EA73" w14:textId="4D59538F" w:rsidR="005F2C03" w:rsidRPr="00501A3C" w:rsidRDefault="00677B58" w:rsidP="00F960BA">
      <w:pPr>
        <w:spacing w:line="240" w:lineRule="auto"/>
        <w:rPr>
          <w:rFonts w:ascii="Arial" w:hAnsi="Arial" w:cs="Arial"/>
          <w:b/>
          <w:sz w:val="24"/>
          <w:szCs w:val="24"/>
        </w:rPr>
      </w:pPr>
      <w:r>
        <w:rPr>
          <w:rFonts w:ascii="Arial" w:hAnsi="Arial" w:cs="Arial"/>
          <w:b/>
          <w:sz w:val="24"/>
          <w:szCs w:val="24"/>
        </w:rPr>
        <w:t xml:space="preserve">CHAVONNES BADENHORST ST CLAIR COOPER </w:t>
      </w:r>
      <w:r w:rsidRPr="00F37CA8">
        <w:rPr>
          <w:rFonts w:ascii="Arial" w:hAnsi="Arial" w:cs="Arial"/>
          <w:b/>
          <w:sz w:val="24"/>
          <w:szCs w:val="24"/>
        </w:rPr>
        <w:t>N</w:t>
      </w:r>
      <w:r w:rsidR="0056279C" w:rsidRPr="00F37CA8">
        <w:rPr>
          <w:rFonts w:ascii="Arial" w:hAnsi="Arial" w:cs="Arial"/>
          <w:b/>
          <w:sz w:val="24"/>
          <w:szCs w:val="24"/>
        </w:rPr>
        <w:t xml:space="preserve"> </w:t>
      </w:r>
      <w:r w:rsidRPr="00F37CA8">
        <w:rPr>
          <w:rFonts w:ascii="Arial" w:hAnsi="Arial" w:cs="Arial"/>
          <w:b/>
          <w:sz w:val="24"/>
          <w:szCs w:val="24"/>
        </w:rPr>
        <w:t>O</w:t>
      </w:r>
      <w:r w:rsidR="00FD186B">
        <w:rPr>
          <w:rFonts w:ascii="Arial" w:hAnsi="Arial" w:cs="Arial"/>
          <w:b/>
          <w:sz w:val="24"/>
          <w:szCs w:val="24"/>
        </w:rPr>
        <w:t xml:space="preserve">  </w:t>
      </w:r>
      <w:r w:rsidR="00CE1F9D" w:rsidRPr="00501A3C">
        <w:rPr>
          <w:rFonts w:ascii="Arial" w:hAnsi="Arial" w:cs="Arial"/>
          <w:b/>
          <w:sz w:val="24"/>
          <w:szCs w:val="24"/>
        </w:rPr>
        <w:t xml:space="preserve">       </w:t>
      </w:r>
      <w:r w:rsidR="00795D1B">
        <w:rPr>
          <w:rFonts w:ascii="Arial" w:hAnsi="Arial" w:cs="Arial"/>
          <w:b/>
          <w:sz w:val="24"/>
          <w:szCs w:val="24"/>
        </w:rPr>
        <w:t xml:space="preserve"> </w:t>
      </w:r>
      <w:r>
        <w:rPr>
          <w:rFonts w:ascii="Arial" w:hAnsi="Arial" w:cs="Arial"/>
          <w:b/>
          <w:sz w:val="24"/>
          <w:szCs w:val="24"/>
        </w:rPr>
        <w:t xml:space="preserve"> FIRST APPELLANT</w:t>
      </w:r>
    </w:p>
    <w:p w14:paraId="40BC0EDA" w14:textId="77777777" w:rsidR="00F960BA" w:rsidRDefault="00F960BA" w:rsidP="00D910EA">
      <w:pPr>
        <w:rPr>
          <w:rFonts w:ascii="Arial" w:hAnsi="Arial" w:cs="Arial"/>
          <w:sz w:val="24"/>
          <w:szCs w:val="24"/>
        </w:rPr>
      </w:pPr>
    </w:p>
    <w:p w14:paraId="09928934" w14:textId="17852C25" w:rsidR="0083377B" w:rsidRDefault="008C4FA3" w:rsidP="00F960BA">
      <w:pPr>
        <w:spacing w:line="240" w:lineRule="auto"/>
        <w:rPr>
          <w:rFonts w:ascii="Arial" w:hAnsi="Arial" w:cs="Arial"/>
          <w:b/>
          <w:sz w:val="24"/>
          <w:szCs w:val="24"/>
        </w:rPr>
      </w:pPr>
      <w:r>
        <w:rPr>
          <w:rFonts w:ascii="Arial" w:hAnsi="Arial" w:cs="Arial"/>
          <w:b/>
          <w:sz w:val="24"/>
          <w:szCs w:val="24"/>
        </w:rPr>
        <w:t>SUMIYA ABDOOL GAFAA</w:t>
      </w:r>
      <w:r w:rsidR="00874230">
        <w:rPr>
          <w:rFonts w:ascii="Arial" w:hAnsi="Arial" w:cs="Arial"/>
          <w:b/>
          <w:sz w:val="24"/>
          <w:szCs w:val="24"/>
        </w:rPr>
        <w:t>F</w:t>
      </w:r>
      <w:r>
        <w:rPr>
          <w:rFonts w:ascii="Arial" w:hAnsi="Arial" w:cs="Arial"/>
          <w:b/>
          <w:sz w:val="24"/>
          <w:szCs w:val="24"/>
        </w:rPr>
        <w:t xml:space="preserve"> KHAMMISA </w:t>
      </w:r>
      <w:r w:rsidRPr="006744BA">
        <w:rPr>
          <w:rFonts w:ascii="Arial" w:hAnsi="Arial" w:cs="Arial"/>
          <w:b/>
          <w:sz w:val="24"/>
          <w:szCs w:val="24"/>
        </w:rPr>
        <w:t>N</w:t>
      </w:r>
      <w:r w:rsidR="00E76DB4" w:rsidRPr="006744BA">
        <w:rPr>
          <w:rFonts w:ascii="Arial" w:hAnsi="Arial" w:cs="Arial"/>
          <w:b/>
          <w:sz w:val="24"/>
          <w:szCs w:val="24"/>
        </w:rPr>
        <w:t xml:space="preserve"> </w:t>
      </w:r>
      <w:r w:rsidRPr="006744BA">
        <w:rPr>
          <w:rFonts w:ascii="Arial" w:hAnsi="Arial" w:cs="Arial"/>
          <w:b/>
          <w:sz w:val="24"/>
          <w:szCs w:val="24"/>
        </w:rPr>
        <w:t>O</w:t>
      </w:r>
      <w:r w:rsidR="00FD186B">
        <w:rPr>
          <w:rFonts w:ascii="Arial" w:hAnsi="Arial" w:cs="Arial"/>
          <w:b/>
          <w:sz w:val="24"/>
          <w:szCs w:val="24"/>
        </w:rPr>
        <w:t xml:space="preserve">  </w:t>
      </w:r>
      <w:r>
        <w:rPr>
          <w:rFonts w:ascii="Arial" w:hAnsi="Arial" w:cs="Arial"/>
          <w:b/>
          <w:sz w:val="24"/>
          <w:szCs w:val="24"/>
        </w:rPr>
        <w:t xml:space="preserve">                    SECOND APPELLANT</w:t>
      </w:r>
    </w:p>
    <w:p w14:paraId="55A658B8" w14:textId="77777777" w:rsidR="008C4FA3" w:rsidRPr="008C4FA3" w:rsidRDefault="008C4FA3" w:rsidP="00F960BA">
      <w:pPr>
        <w:spacing w:line="240" w:lineRule="auto"/>
        <w:rPr>
          <w:rFonts w:ascii="Arial" w:hAnsi="Arial" w:cs="Arial"/>
          <w:b/>
          <w:sz w:val="24"/>
          <w:szCs w:val="24"/>
        </w:rPr>
      </w:pPr>
    </w:p>
    <w:p w14:paraId="69A679F6" w14:textId="77777777" w:rsidR="005F2C03" w:rsidRPr="00501A3C" w:rsidRDefault="00F960BA" w:rsidP="00E64DEA">
      <w:pPr>
        <w:spacing w:line="240" w:lineRule="auto"/>
        <w:rPr>
          <w:rFonts w:ascii="Arial" w:hAnsi="Arial" w:cs="Arial"/>
          <w:sz w:val="24"/>
          <w:szCs w:val="24"/>
        </w:rPr>
      </w:pPr>
      <w:r w:rsidRPr="00501A3C">
        <w:rPr>
          <w:rFonts w:ascii="Arial" w:hAnsi="Arial" w:cs="Arial"/>
          <w:sz w:val="24"/>
          <w:szCs w:val="24"/>
        </w:rPr>
        <w:t>and</w:t>
      </w:r>
    </w:p>
    <w:p w14:paraId="32A1BA85" w14:textId="77777777" w:rsidR="00F960BA" w:rsidRDefault="00F960BA" w:rsidP="00D910EA">
      <w:pPr>
        <w:rPr>
          <w:rFonts w:ascii="Arial" w:hAnsi="Arial" w:cs="Arial"/>
          <w:sz w:val="24"/>
          <w:szCs w:val="24"/>
        </w:rPr>
      </w:pPr>
    </w:p>
    <w:p w14:paraId="017D463B" w14:textId="77777777" w:rsidR="007172AE" w:rsidRPr="00501A3C" w:rsidRDefault="008C4FA3" w:rsidP="00E64DEA">
      <w:pPr>
        <w:spacing w:line="240" w:lineRule="auto"/>
        <w:rPr>
          <w:rFonts w:ascii="Arial" w:hAnsi="Arial" w:cs="Arial"/>
          <w:b/>
          <w:sz w:val="24"/>
          <w:szCs w:val="24"/>
        </w:rPr>
      </w:pPr>
      <w:r w:rsidRPr="008C4FA3">
        <w:rPr>
          <w:rFonts w:ascii="Arial" w:hAnsi="Arial" w:cs="Arial"/>
          <w:b/>
          <w:sz w:val="24"/>
          <w:szCs w:val="24"/>
        </w:rPr>
        <w:t>CURRO HEIGHTS PROPERTIES (PTY) LTD</w:t>
      </w:r>
      <w:r w:rsidR="00CE1F9D" w:rsidRPr="00501A3C">
        <w:rPr>
          <w:rFonts w:ascii="Arial" w:hAnsi="Arial" w:cs="Arial"/>
          <w:b/>
          <w:sz w:val="24"/>
          <w:szCs w:val="24"/>
        </w:rPr>
        <w:t xml:space="preserve">             </w:t>
      </w:r>
      <w:r w:rsidR="003614A8" w:rsidRPr="00501A3C">
        <w:rPr>
          <w:rFonts w:ascii="Arial" w:hAnsi="Arial" w:cs="Arial"/>
          <w:b/>
          <w:sz w:val="24"/>
          <w:szCs w:val="24"/>
        </w:rPr>
        <w:t xml:space="preserve">            </w:t>
      </w:r>
      <w:r w:rsidR="00D245E6" w:rsidRPr="00501A3C">
        <w:rPr>
          <w:rFonts w:ascii="Arial" w:hAnsi="Arial" w:cs="Arial"/>
          <w:b/>
          <w:sz w:val="24"/>
          <w:szCs w:val="24"/>
        </w:rPr>
        <w:t xml:space="preserve">            RESPONDENT</w:t>
      </w:r>
    </w:p>
    <w:p w14:paraId="037DD75E" w14:textId="77777777" w:rsidR="00E64DEA" w:rsidRPr="00501A3C" w:rsidRDefault="00E64DEA" w:rsidP="007B6201">
      <w:pPr>
        <w:rPr>
          <w:rFonts w:ascii="Arial" w:hAnsi="Arial" w:cs="Arial"/>
          <w:sz w:val="24"/>
          <w:szCs w:val="24"/>
        </w:rPr>
      </w:pPr>
    </w:p>
    <w:p w14:paraId="7E890569" w14:textId="6FF4C5D1" w:rsidR="00055075" w:rsidRDefault="005F2C03" w:rsidP="003C7545">
      <w:pPr>
        <w:ind w:left="2160" w:hanging="2160"/>
        <w:rPr>
          <w:rFonts w:ascii="Arial" w:hAnsi="Arial" w:cs="Arial"/>
          <w:sz w:val="24"/>
          <w:szCs w:val="24"/>
        </w:rPr>
      </w:pPr>
      <w:r w:rsidRPr="00501A3C">
        <w:rPr>
          <w:rFonts w:ascii="Arial" w:hAnsi="Arial" w:cs="Arial"/>
          <w:b/>
          <w:sz w:val="24"/>
          <w:szCs w:val="24"/>
        </w:rPr>
        <w:t>Neutral Citation:</w:t>
      </w:r>
      <w:r w:rsidRPr="00501A3C">
        <w:rPr>
          <w:rFonts w:ascii="Arial" w:hAnsi="Arial" w:cs="Arial"/>
          <w:b/>
          <w:sz w:val="24"/>
          <w:szCs w:val="24"/>
        </w:rPr>
        <w:tab/>
      </w:r>
      <w:bookmarkStart w:id="1" w:name="_Hlk114215492"/>
      <w:r w:rsidR="000A501A" w:rsidRPr="00C500A6">
        <w:rPr>
          <w:rFonts w:ascii="Arial" w:hAnsi="Arial" w:cs="Arial"/>
          <w:i/>
          <w:sz w:val="24"/>
          <w:szCs w:val="24"/>
        </w:rPr>
        <w:t>Cooper N</w:t>
      </w:r>
      <w:r w:rsidR="007B6201">
        <w:rPr>
          <w:rFonts w:ascii="Arial" w:hAnsi="Arial" w:cs="Arial"/>
          <w:i/>
          <w:sz w:val="24"/>
          <w:szCs w:val="24"/>
        </w:rPr>
        <w:t xml:space="preserve"> </w:t>
      </w:r>
      <w:r w:rsidR="000A501A" w:rsidRPr="00C500A6">
        <w:rPr>
          <w:rFonts w:ascii="Arial" w:hAnsi="Arial" w:cs="Arial"/>
          <w:i/>
          <w:sz w:val="24"/>
          <w:szCs w:val="24"/>
        </w:rPr>
        <w:t>O</w:t>
      </w:r>
      <w:r w:rsidR="008F702B">
        <w:rPr>
          <w:rFonts w:ascii="Arial" w:hAnsi="Arial" w:cs="Arial"/>
          <w:i/>
          <w:sz w:val="24"/>
          <w:szCs w:val="24"/>
        </w:rPr>
        <w:t xml:space="preserve"> and Another</w:t>
      </w:r>
      <w:r w:rsidR="000A501A" w:rsidRPr="00C500A6">
        <w:rPr>
          <w:rFonts w:ascii="Arial" w:hAnsi="Arial" w:cs="Arial"/>
          <w:i/>
          <w:sz w:val="24"/>
          <w:szCs w:val="24"/>
        </w:rPr>
        <w:t xml:space="preserve"> v Curro Heights Properties (Pty</w:t>
      </w:r>
      <w:r w:rsidR="00C500A6" w:rsidRPr="00C500A6">
        <w:rPr>
          <w:rFonts w:ascii="Arial" w:hAnsi="Arial" w:cs="Arial"/>
          <w:i/>
          <w:sz w:val="24"/>
          <w:szCs w:val="24"/>
        </w:rPr>
        <w:t>) Ltd</w:t>
      </w:r>
      <w:r w:rsidR="007F7FA4" w:rsidRPr="00501A3C">
        <w:rPr>
          <w:rFonts w:ascii="Arial" w:hAnsi="Arial" w:cs="Arial"/>
          <w:b/>
          <w:sz w:val="24"/>
          <w:szCs w:val="24"/>
        </w:rPr>
        <w:t xml:space="preserve"> </w:t>
      </w:r>
      <w:r w:rsidR="007F7FA4" w:rsidRPr="00501A3C">
        <w:rPr>
          <w:rFonts w:ascii="Arial" w:hAnsi="Arial" w:cs="Arial"/>
          <w:sz w:val="24"/>
          <w:szCs w:val="24"/>
        </w:rPr>
        <w:t>(</w:t>
      </w:r>
      <w:r w:rsidR="00BD2805">
        <w:rPr>
          <w:rFonts w:ascii="Arial" w:hAnsi="Arial" w:cs="Arial"/>
          <w:sz w:val="24"/>
          <w:szCs w:val="24"/>
        </w:rPr>
        <w:t>1</w:t>
      </w:r>
      <w:r w:rsidR="00C500A6">
        <w:rPr>
          <w:rFonts w:ascii="Arial" w:hAnsi="Arial" w:cs="Arial"/>
          <w:sz w:val="24"/>
          <w:szCs w:val="24"/>
        </w:rPr>
        <w:t>300</w:t>
      </w:r>
      <w:r w:rsidR="007F7FA4" w:rsidRPr="00501A3C">
        <w:rPr>
          <w:rFonts w:ascii="Arial" w:hAnsi="Arial" w:cs="Arial"/>
          <w:sz w:val="24"/>
          <w:szCs w:val="24"/>
        </w:rPr>
        <w:t>/2022</w:t>
      </w:r>
      <w:r w:rsidR="00322F6D" w:rsidRPr="00501A3C">
        <w:rPr>
          <w:rFonts w:ascii="Arial" w:hAnsi="Arial" w:cs="Arial"/>
          <w:sz w:val="24"/>
          <w:szCs w:val="24"/>
        </w:rPr>
        <w:t>)</w:t>
      </w:r>
      <w:r w:rsidR="00CD7715" w:rsidRPr="00501A3C">
        <w:rPr>
          <w:rFonts w:ascii="Arial" w:hAnsi="Arial" w:cs="Arial"/>
          <w:sz w:val="24"/>
          <w:szCs w:val="24"/>
        </w:rPr>
        <w:t xml:space="preserve"> </w:t>
      </w:r>
      <w:r w:rsidR="007F7FA4" w:rsidRPr="00501A3C">
        <w:rPr>
          <w:rFonts w:ascii="Arial" w:hAnsi="Arial" w:cs="Arial"/>
          <w:sz w:val="24"/>
          <w:szCs w:val="24"/>
        </w:rPr>
        <w:t>[2023</w:t>
      </w:r>
      <w:r w:rsidRPr="00501A3C">
        <w:rPr>
          <w:rFonts w:ascii="Arial" w:hAnsi="Arial" w:cs="Arial"/>
          <w:sz w:val="24"/>
          <w:szCs w:val="24"/>
        </w:rPr>
        <w:t>]</w:t>
      </w:r>
      <w:r w:rsidR="00D245E6" w:rsidRPr="00501A3C">
        <w:rPr>
          <w:rFonts w:ascii="Arial" w:hAnsi="Arial" w:cs="Arial"/>
          <w:sz w:val="24"/>
          <w:szCs w:val="24"/>
        </w:rPr>
        <w:t xml:space="preserve"> </w:t>
      </w:r>
      <w:r w:rsidRPr="00501A3C">
        <w:rPr>
          <w:rFonts w:ascii="Arial" w:hAnsi="Arial" w:cs="Arial"/>
          <w:sz w:val="24"/>
          <w:szCs w:val="24"/>
        </w:rPr>
        <w:t>ZASCA</w:t>
      </w:r>
      <w:bookmarkEnd w:id="1"/>
      <w:r w:rsidR="00CD7715" w:rsidRPr="00501A3C">
        <w:rPr>
          <w:rFonts w:ascii="Arial" w:hAnsi="Arial" w:cs="Arial"/>
          <w:sz w:val="24"/>
          <w:szCs w:val="24"/>
        </w:rPr>
        <w:t xml:space="preserve"> </w:t>
      </w:r>
      <w:r w:rsidR="00C736E7">
        <w:rPr>
          <w:rFonts w:ascii="Arial" w:hAnsi="Arial" w:cs="Arial"/>
          <w:sz w:val="24"/>
          <w:szCs w:val="24"/>
        </w:rPr>
        <w:t>66</w:t>
      </w:r>
      <w:r w:rsidR="00CD7715" w:rsidRPr="00501A3C">
        <w:rPr>
          <w:rFonts w:ascii="Arial" w:hAnsi="Arial" w:cs="Arial"/>
          <w:sz w:val="24"/>
          <w:szCs w:val="24"/>
        </w:rPr>
        <w:t xml:space="preserve"> </w:t>
      </w:r>
      <w:r w:rsidRPr="00501A3C">
        <w:rPr>
          <w:rFonts w:ascii="Arial" w:hAnsi="Arial" w:cs="Arial"/>
          <w:sz w:val="24"/>
          <w:szCs w:val="24"/>
        </w:rPr>
        <w:t>(</w:t>
      </w:r>
      <w:r w:rsidR="00E12A01">
        <w:rPr>
          <w:rFonts w:ascii="Arial" w:hAnsi="Arial" w:cs="Arial"/>
          <w:sz w:val="24"/>
          <w:szCs w:val="24"/>
        </w:rPr>
        <w:t>16</w:t>
      </w:r>
      <w:r w:rsidR="00D245E6" w:rsidRPr="00501A3C">
        <w:rPr>
          <w:rFonts w:ascii="Arial" w:hAnsi="Arial" w:cs="Arial"/>
          <w:sz w:val="24"/>
          <w:szCs w:val="24"/>
        </w:rPr>
        <w:t xml:space="preserve"> </w:t>
      </w:r>
      <w:r w:rsidR="00A12F07" w:rsidRPr="006744BA">
        <w:rPr>
          <w:rFonts w:ascii="Arial" w:hAnsi="Arial" w:cs="Arial"/>
          <w:sz w:val="24"/>
          <w:szCs w:val="24"/>
        </w:rPr>
        <w:t>May</w:t>
      </w:r>
      <w:r w:rsidR="007F7FA4" w:rsidRPr="00501A3C">
        <w:rPr>
          <w:rFonts w:ascii="Arial" w:hAnsi="Arial" w:cs="Arial"/>
          <w:sz w:val="24"/>
          <w:szCs w:val="24"/>
        </w:rPr>
        <w:t xml:space="preserve"> </w:t>
      </w:r>
      <w:r w:rsidR="00982D7E" w:rsidRPr="00501A3C">
        <w:rPr>
          <w:rFonts w:ascii="Arial" w:hAnsi="Arial" w:cs="Arial"/>
          <w:sz w:val="24"/>
          <w:szCs w:val="24"/>
        </w:rPr>
        <w:t>2023)</w:t>
      </w:r>
    </w:p>
    <w:p w14:paraId="69A19031" w14:textId="09EE92D8" w:rsidR="008D1F31" w:rsidRDefault="005F2C03" w:rsidP="006D40DB">
      <w:pPr>
        <w:spacing w:line="240" w:lineRule="auto"/>
        <w:ind w:left="1440" w:hanging="1440"/>
        <w:rPr>
          <w:rFonts w:ascii="Arial" w:hAnsi="Arial" w:cs="Arial"/>
          <w:sz w:val="24"/>
          <w:szCs w:val="24"/>
        </w:rPr>
      </w:pPr>
      <w:r w:rsidRPr="00501A3C">
        <w:rPr>
          <w:rFonts w:ascii="Arial" w:hAnsi="Arial" w:cs="Arial"/>
          <w:b/>
          <w:sz w:val="24"/>
          <w:szCs w:val="24"/>
        </w:rPr>
        <w:t>Coram:</w:t>
      </w:r>
      <w:r w:rsidRPr="00501A3C">
        <w:rPr>
          <w:rFonts w:ascii="Arial" w:hAnsi="Arial" w:cs="Arial"/>
          <w:b/>
          <w:sz w:val="24"/>
          <w:szCs w:val="24"/>
        </w:rPr>
        <w:tab/>
      </w:r>
      <w:r w:rsidR="00E67DB8">
        <w:rPr>
          <w:rFonts w:ascii="Arial" w:hAnsi="Arial" w:cs="Arial"/>
          <w:sz w:val="24"/>
          <w:szCs w:val="24"/>
        </w:rPr>
        <w:t>ZONDI</w:t>
      </w:r>
      <w:r w:rsidR="00106D1F">
        <w:rPr>
          <w:rFonts w:ascii="Arial" w:hAnsi="Arial" w:cs="Arial"/>
          <w:sz w:val="24"/>
          <w:szCs w:val="24"/>
        </w:rPr>
        <w:t xml:space="preserve">, </w:t>
      </w:r>
      <w:r w:rsidR="00E67DB8">
        <w:rPr>
          <w:rFonts w:ascii="Arial" w:hAnsi="Arial" w:cs="Arial"/>
          <w:sz w:val="24"/>
          <w:szCs w:val="24"/>
        </w:rPr>
        <w:t>MOCUMIE</w:t>
      </w:r>
      <w:r w:rsidR="00106D1F">
        <w:rPr>
          <w:rFonts w:ascii="Arial" w:hAnsi="Arial" w:cs="Arial"/>
          <w:sz w:val="24"/>
          <w:szCs w:val="24"/>
        </w:rPr>
        <w:t xml:space="preserve">, </w:t>
      </w:r>
      <w:r w:rsidR="00E67DB8">
        <w:rPr>
          <w:rFonts w:ascii="Arial" w:hAnsi="Arial" w:cs="Arial"/>
          <w:sz w:val="24"/>
          <w:szCs w:val="24"/>
        </w:rPr>
        <w:t>MOTHLE</w:t>
      </w:r>
      <w:r w:rsidR="00106D1F">
        <w:rPr>
          <w:rFonts w:ascii="Arial" w:hAnsi="Arial" w:cs="Arial"/>
          <w:sz w:val="24"/>
          <w:szCs w:val="24"/>
        </w:rPr>
        <w:t xml:space="preserve">, </w:t>
      </w:r>
      <w:r w:rsidR="00E67DB8">
        <w:rPr>
          <w:rFonts w:ascii="Arial" w:hAnsi="Arial" w:cs="Arial"/>
          <w:sz w:val="24"/>
          <w:szCs w:val="24"/>
        </w:rPr>
        <w:t>MEYER and MOLEFE JJA</w:t>
      </w:r>
    </w:p>
    <w:p w14:paraId="1BE4D479" w14:textId="77777777" w:rsidR="005F2C03" w:rsidRPr="00501A3C" w:rsidRDefault="005F2C03" w:rsidP="00BA6695">
      <w:pPr>
        <w:spacing w:before="240"/>
        <w:rPr>
          <w:rFonts w:ascii="Arial" w:hAnsi="Arial" w:cs="Arial"/>
          <w:bCs/>
          <w:sz w:val="24"/>
          <w:szCs w:val="24"/>
        </w:rPr>
      </w:pPr>
      <w:r w:rsidRPr="00501A3C">
        <w:rPr>
          <w:rFonts w:ascii="Arial" w:hAnsi="Arial" w:cs="Arial"/>
          <w:b/>
          <w:sz w:val="24"/>
          <w:szCs w:val="24"/>
        </w:rPr>
        <w:t>Heard:</w:t>
      </w:r>
      <w:r w:rsidRPr="00501A3C">
        <w:rPr>
          <w:rFonts w:ascii="Arial" w:hAnsi="Arial" w:cs="Arial"/>
          <w:bCs/>
          <w:sz w:val="24"/>
          <w:szCs w:val="24"/>
        </w:rPr>
        <w:tab/>
      </w:r>
      <w:r w:rsidR="00FD0643">
        <w:rPr>
          <w:rFonts w:ascii="Arial" w:hAnsi="Arial" w:cs="Arial"/>
          <w:bCs/>
          <w:sz w:val="24"/>
          <w:szCs w:val="24"/>
        </w:rPr>
        <w:t>2</w:t>
      </w:r>
      <w:r w:rsidR="002B116D">
        <w:rPr>
          <w:rFonts w:ascii="Arial" w:hAnsi="Arial" w:cs="Arial"/>
          <w:bCs/>
          <w:sz w:val="24"/>
          <w:szCs w:val="24"/>
        </w:rPr>
        <w:t xml:space="preserve"> March </w:t>
      </w:r>
      <w:r w:rsidR="002F34EE" w:rsidRPr="00501A3C">
        <w:rPr>
          <w:rFonts w:ascii="Arial" w:hAnsi="Arial" w:cs="Arial"/>
          <w:bCs/>
          <w:sz w:val="24"/>
          <w:szCs w:val="24"/>
        </w:rPr>
        <w:t>2023</w:t>
      </w:r>
    </w:p>
    <w:p w14:paraId="3025165A" w14:textId="07F3A921" w:rsidR="00800C2C" w:rsidRPr="007B6201" w:rsidRDefault="005F2C03" w:rsidP="007B6201">
      <w:pPr>
        <w:ind w:left="1440" w:hanging="1440"/>
        <w:rPr>
          <w:rFonts w:ascii="Arial" w:hAnsi="Arial" w:cs="Arial"/>
          <w:sz w:val="24"/>
          <w:szCs w:val="24"/>
        </w:rPr>
      </w:pPr>
      <w:r w:rsidRPr="00501A3C">
        <w:rPr>
          <w:rFonts w:ascii="Arial" w:hAnsi="Arial" w:cs="Arial"/>
          <w:b/>
          <w:sz w:val="24"/>
          <w:szCs w:val="24"/>
        </w:rPr>
        <w:t>Delivered:</w:t>
      </w:r>
      <w:r w:rsidR="007B6201">
        <w:rPr>
          <w:rFonts w:ascii="Arial" w:hAnsi="Arial" w:cs="Arial"/>
          <w:b/>
          <w:sz w:val="24"/>
          <w:szCs w:val="24"/>
        </w:rPr>
        <w:tab/>
      </w:r>
      <w:r w:rsidR="00E12A01">
        <w:rPr>
          <w:rFonts w:ascii="Arial" w:hAnsi="Arial" w:cs="Arial"/>
          <w:sz w:val="24"/>
          <w:szCs w:val="24"/>
        </w:rPr>
        <w:t>16</w:t>
      </w:r>
      <w:r w:rsidR="00C84CF3">
        <w:rPr>
          <w:rFonts w:ascii="Arial" w:hAnsi="Arial" w:cs="Arial"/>
          <w:sz w:val="24"/>
          <w:szCs w:val="24"/>
        </w:rPr>
        <w:t xml:space="preserve"> </w:t>
      </w:r>
      <w:r w:rsidR="00A12F07" w:rsidRPr="006744BA">
        <w:rPr>
          <w:rFonts w:ascii="Arial" w:hAnsi="Arial" w:cs="Arial"/>
          <w:sz w:val="24"/>
          <w:szCs w:val="24"/>
        </w:rPr>
        <w:t>May</w:t>
      </w:r>
      <w:r w:rsidR="002F34EE" w:rsidRPr="00501A3C">
        <w:rPr>
          <w:rFonts w:ascii="Arial" w:hAnsi="Arial" w:cs="Arial"/>
          <w:sz w:val="24"/>
          <w:szCs w:val="24"/>
        </w:rPr>
        <w:t xml:space="preserve"> </w:t>
      </w:r>
      <w:r w:rsidR="00982D7E" w:rsidRPr="00501A3C">
        <w:rPr>
          <w:rFonts w:ascii="Arial" w:hAnsi="Arial" w:cs="Arial"/>
          <w:sz w:val="24"/>
          <w:szCs w:val="24"/>
        </w:rPr>
        <w:t>2023</w:t>
      </w:r>
    </w:p>
    <w:p w14:paraId="61294B12" w14:textId="0A85AFBB" w:rsidR="00FD0643" w:rsidRDefault="005F2C03" w:rsidP="007B6201">
      <w:pPr>
        <w:tabs>
          <w:tab w:val="left" w:pos="720"/>
          <w:tab w:val="left" w:pos="1440"/>
          <w:tab w:val="left" w:pos="2160"/>
          <w:tab w:val="right" w:pos="9026"/>
        </w:tabs>
        <w:rPr>
          <w:rFonts w:ascii="Arial" w:hAnsi="Arial" w:cs="Arial"/>
          <w:color w:val="000000" w:themeColor="text1"/>
          <w:sz w:val="24"/>
          <w:szCs w:val="24"/>
        </w:rPr>
      </w:pPr>
      <w:r w:rsidRPr="00501A3C">
        <w:rPr>
          <w:rFonts w:ascii="Arial" w:hAnsi="Arial" w:cs="Arial"/>
          <w:b/>
          <w:sz w:val="24"/>
          <w:szCs w:val="24"/>
        </w:rPr>
        <w:t>Summary:</w:t>
      </w:r>
      <w:r w:rsidR="007B6201">
        <w:rPr>
          <w:rFonts w:ascii="Arial" w:hAnsi="Arial" w:cs="Arial"/>
          <w:b/>
          <w:sz w:val="24"/>
          <w:szCs w:val="24"/>
        </w:rPr>
        <w:t xml:space="preserve"> </w:t>
      </w:r>
      <w:r w:rsidR="00C12C0C" w:rsidRPr="006744BA">
        <w:rPr>
          <w:rFonts w:ascii="Arial" w:hAnsi="Arial" w:cs="Arial"/>
          <w:bCs/>
          <w:sz w:val="24"/>
          <w:szCs w:val="24"/>
        </w:rPr>
        <w:t xml:space="preserve">Sale </w:t>
      </w:r>
      <w:r w:rsidR="00D83887" w:rsidRPr="006744BA">
        <w:rPr>
          <w:rFonts w:ascii="Arial" w:hAnsi="Arial" w:cs="Arial"/>
          <w:bCs/>
          <w:sz w:val="24"/>
          <w:szCs w:val="24"/>
        </w:rPr>
        <w:t>o</w:t>
      </w:r>
      <w:r w:rsidR="00C12C0C" w:rsidRPr="006744BA">
        <w:rPr>
          <w:rFonts w:ascii="Arial" w:hAnsi="Arial" w:cs="Arial"/>
          <w:bCs/>
          <w:sz w:val="24"/>
          <w:szCs w:val="24"/>
        </w:rPr>
        <w:t>f land</w:t>
      </w:r>
      <w:r w:rsidR="00C12C0C">
        <w:rPr>
          <w:rFonts w:ascii="Arial" w:hAnsi="Arial" w:cs="Arial"/>
          <w:bCs/>
          <w:sz w:val="24"/>
          <w:szCs w:val="24"/>
        </w:rPr>
        <w:t xml:space="preserve"> – Validity of – </w:t>
      </w:r>
      <w:r w:rsidR="00D83887">
        <w:rPr>
          <w:rFonts w:ascii="Arial" w:hAnsi="Arial" w:cs="Arial"/>
          <w:bCs/>
          <w:sz w:val="24"/>
          <w:szCs w:val="24"/>
        </w:rPr>
        <w:t>f</w:t>
      </w:r>
      <w:r w:rsidR="00C12C0C">
        <w:rPr>
          <w:rFonts w:ascii="Arial" w:hAnsi="Arial" w:cs="Arial"/>
          <w:bCs/>
          <w:sz w:val="24"/>
          <w:szCs w:val="24"/>
        </w:rPr>
        <w:t xml:space="preserve">ormalities </w:t>
      </w:r>
      <w:r w:rsidR="007B6201">
        <w:rPr>
          <w:rFonts w:ascii="Arial" w:hAnsi="Arial" w:cs="Arial"/>
          <w:bCs/>
          <w:sz w:val="24"/>
          <w:szCs w:val="24"/>
        </w:rPr>
        <w:t>–</w:t>
      </w:r>
      <w:r w:rsidR="00C12C0C">
        <w:rPr>
          <w:rFonts w:ascii="Arial" w:hAnsi="Arial" w:cs="Arial"/>
          <w:bCs/>
          <w:sz w:val="24"/>
          <w:szCs w:val="24"/>
        </w:rPr>
        <w:t xml:space="preserve"> </w:t>
      </w:r>
      <w:r w:rsidR="00C12C0C">
        <w:rPr>
          <w:rFonts w:ascii="Arial" w:hAnsi="Arial" w:cs="Arial"/>
          <w:color w:val="000000" w:themeColor="text1"/>
          <w:sz w:val="24"/>
          <w:szCs w:val="24"/>
        </w:rPr>
        <w:t>Alienation of Land Act 68 of 1981 – s</w:t>
      </w:r>
      <w:r w:rsidR="001B307A">
        <w:rPr>
          <w:rFonts w:ascii="Arial" w:hAnsi="Arial" w:cs="Arial"/>
          <w:color w:val="000000" w:themeColor="text1"/>
          <w:sz w:val="24"/>
          <w:szCs w:val="24"/>
        </w:rPr>
        <w:t>ection</w:t>
      </w:r>
      <w:r w:rsidR="00C12C0C">
        <w:rPr>
          <w:rFonts w:ascii="Arial" w:hAnsi="Arial" w:cs="Arial"/>
          <w:color w:val="000000" w:themeColor="text1"/>
          <w:sz w:val="24"/>
          <w:szCs w:val="24"/>
        </w:rPr>
        <w:t xml:space="preserve"> 2(1) – </w:t>
      </w:r>
      <w:r w:rsidR="00D00275" w:rsidRPr="00D00275">
        <w:rPr>
          <w:rFonts w:ascii="Arial" w:hAnsi="Arial" w:cs="Arial"/>
          <w:bCs/>
          <w:sz w:val="24"/>
          <w:szCs w:val="24"/>
        </w:rPr>
        <w:t xml:space="preserve">requires </w:t>
      </w:r>
      <w:r w:rsidR="00D00275" w:rsidRPr="00D00275">
        <w:rPr>
          <w:rFonts w:ascii="Arial" w:hAnsi="Arial" w:cs="Arial"/>
          <w:color w:val="000000" w:themeColor="text1"/>
          <w:sz w:val="24"/>
          <w:szCs w:val="24"/>
        </w:rPr>
        <w:t>the whole contract</w:t>
      </w:r>
      <w:r w:rsidR="00FD6F67">
        <w:rPr>
          <w:rFonts w:ascii="Arial" w:hAnsi="Arial" w:cs="Arial"/>
          <w:color w:val="000000" w:themeColor="text1"/>
          <w:sz w:val="24"/>
          <w:szCs w:val="24"/>
        </w:rPr>
        <w:t xml:space="preserve">, </w:t>
      </w:r>
      <w:r w:rsidR="00D00275" w:rsidRPr="00D00275">
        <w:rPr>
          <w:rFonts w:ascii="Arial" w:hAnsi="Arial" w:cs="Arial"/>
          <w:color w:val="000000" w:themeColor="text1"/>
          <w:sz w:val="24"/>
          <w:szCs w:val="24"/>
        </w:rPr>
        <w:t>all its material terms</w:t>
      </w:r>
      <w:r w:rsidR="00FD6F67">
        <w:rPr>
          <w:rFonts w:ascii="Arial" w:hAnsi="Arial" w:cs="Arial"/>
          <w:color w:val="000000" w:themeColor="text1"/>
          <w:sz w:val="24"/>
          <w:szCs w:val="24"/>
        </w:rPr>
        <w:t xml:space="preserve">, </w:t>
      </w:r>
      <w:r w:rsidR="00D00275" w:rsidRPr="00D00275">
        <w:rPr>
          <w:rFonts w:ascii="Arial" w:hAnsi="Arial" w:cs="Arial"/>
          <w:color w:val="000000" w:themeColor="text1"/>
          <w:sz w:val="24"/>
          <w:szCs w:val="24"/>
        </w:rPr>
        <w:t xml:space="preserve">to be reduced to writing </w:t>
      </w:r>
      <w:r w:rsidR="00FD6F67">
        <w:rPr>
          <w:rFonts w:ascii="Arial" w:hAnsi="Arial" w:cs="Arial"/>
          <w:color w:val="000000" w:themeColor="text1"/>
          <w:sz w:val="24"/>
          <w:szCs w:val="24"/>
        </w:rPr>
        <w:t xml:space="preserve">and </w:t>
      </w:r>
      <w:r w:rsidR="00D00275" w:rsidRPr="00D00275">
        <w:rPr>
          <w:rFonts w:ascii="Arial" w:hAnsi="Arial" w:cs="Arial"/>
          <w:bCs/>
          <w:sz w:val="24"/>
          <w:szCs w:val="24"/>
        </w:rPr>
        <w:t xml:space="preserve">signed </w:t>
      </w:r>
      <w:r w:rsidR="00FD6F67">
        <w:rPr>
          <w:rFonts w:ascii="Arial" w:hAnsi="Arial" w:cs="Arial"/>
          <w:bCs/>
          <w:sz w:val="24"/>
          <w:szCs w:val="24"/>
        </w:rPr>
        <w:t xml:space="preserve">- </w:t>
      </w:r>
      <w:r w:rsidR="00D00275" w:rsidRPr="00D00275">
        <w:rPr>
          <w:rFonts w:ascii="Arial" w:hAnsi="Arial" w:cs="Arial"/>
          <w:color w:val="000000" w:themeColor="text1"/>
          <w:sz w:val="24"/>
          <w:szCs w:val="24"/>
        </w:rPr>
        <w:t>material terms not confined to the </w:t>
      </w:r>
      <w:r w:rsidR="00D00275" w:rsidRPr="00D00275">
        <w:rPr>
          <w:rFonts w:ascii="Arial" w:hAnsi="Arial" w:cs="Arial"/>
          <w:i/>
          <w:iCs/>
          <w:color w:val="000000" w:themeColor="text1"/>
          <w:sz w:val="24"/>
          <w:szCs w:val="24"/>
        </w:rPr>
        <w:t>essentialia</w:t>
      </w:r>
      <w:r w:rsidR="00D00275" w:rsidRPr="00D00275">
        <w:rPr>
          <w:rFonts w:ascii="Arial" w:hAnsi="Arial" w:cs="Arial"/>
          <w:color w:val="000000" w:themeColor="text1"/>
          <w:sz w:val="24"/>
          <w:szCs w:val="24"/>
        </w:rPr>
        <w:t xml:space="preserve"> of a contract of sale, </w:t>
      </w:r>
      <w:r w:rsidR="00FD6F67">
        <w:rPr>
          <w:rFonts w:ascii="Arial" w:hAnsi="Arial" w:cs="Arial"/>
          <w:color w:val="000000" w:themeColor="text1"/>
          <w:sz w:val="24"/>
          <w:szCs w:val="24"/>
        </w:rPr>
        <w:t>viz</w:t>
      </w:r>
      <w:r w:rsidR="00501EC5">
        <w:rPr>
          <w:rFonts w:ascii="Arial" w:hAnsi="Arial" w:cs="Arial"/>
          <w:color w:val="000000" w:themeColor="text1"/>
          <w:sz w:val="24"/>
          <w:szCs w:val="24"/>
        </w:rPr>
        <w:t>,</w:t>
      </w:r>
      <w:r w:rsidR="00FD6F67">
        <w:rPr>
          <w:rFonts w:ascii="Arial" w:hAnsi="Arial" w:cs="Arial"/>
          <w:color w:val="000000" w:themeColor="text1"/>
          <w:sz w:val="24"/>
          <w:szCs w:val="24"/>
        </w:rPr>
        <w:t xml:space="preserve"> </w:t>
      </w:r>
      <w:r w:rsidR="00D00275" w:rsidRPr="00D00275">
        <w:rPr>
          <w:rFonts w:ascii="Arial" w:hAnsi="Arial" w:cs="Arial"/>
          <w:color w:val="000000" w:themeColor="text1"/>
          <w:sz w:val="24"/>
          <w:szCs w:val="24"/>
        </w:rPr>
        <w:t xml:space="preserve">the parties, </w:t>
      </w:r>
      <w:r w:rsidR="00D00275" w:rsidRPr="00D00275">
        <w:rPr>
          <w:rFonts w:ascii="Arial" w:hAnsi="Arial" w:cs="Arial"/>
          <w:i/>
          <w:iCs/>
          <w:color w:val="000000" w:themeColor="text1"/>
          <w:sz w:val="24"/>
          <w:szCs w:val="24"/>
        </w:rPr>
        <w:t>merx</w:t>
      </w:r>
      <w:r w:rsidR="00D00275" w:rsidRPr="00D00275">
        <w:rPr>
          <w:rFonts w:ascii="Arial" w:hAnsi="Arial" w:cs="Arial"/>
          <w:color w:val="000000" w:themeColor="text1"/>
          <w:sz w:val="24"/>
          <w:szCs w:val="24"/>
        </w:rPr>
        <w:t> and </w:t>
      </w:r>
      <w:r w:rsidR="00D00275" w:rsidRPr="00D00275">
        <w:rPr>
          <w:rFonts w:ascii="Arial" w:hAnsi="Arial" w:cs="Arial"/>
          <w:i/>
          <w:iCs/>
          <w:color w:val="000000" w:themeColor="text1"/>
          <w:sz w:val="24"/>
          <w:szCs w:val="24"/>
        </w:rPr>
        <w:t>pretium</w:t>
      </w:r>
      <w:r w:rsidR="00FD6F67">
        <w:rPr>
          <w:rFonts w:ascii="Arial" w:hAnsi="Arial" w:cs="Arial"/>
          <w:color w:val="000000" w:themeColor="text1"/>
          <w:sz w:val="24"/>
          <w:szCs w:val="24"/>
        </w:rPr>
        <w:t xml:space="preserve"> </w:t>
      </w:r>
      <w:r w:rsidR="00B04B79">
        <w:rPr>
          <w:rFonts w:ascii="Arial" w:hAnsi="Arial" w:cs="Arial"/>
          <w:color w:val="000000" w:themeColor="text1"/>
          <w:sz w:val="24"/>
          <w:szCs w:val="24"/>
        </w:rPr>
        <w:t>–</w:t>
      </w:r>
      <w:r w:rsidR="00FD6F67">
        <w:rPr>
          <w:rFonts w:ascii="Arial" w:hAnsi="Arial" w:cs="Arial"/>
          <w:color w:val="000000" w:themeColor="text1"/>
          <w:sz w:val="24"/>
          <w:szCs w:val="24"/>
        </w:rPr>
        <w:t xml:space="preserve"> </w:t>
      </w:r>
      <w:r w:rsidR="00FD6F67">
        <w:rPr>
          <w:rFonts w:ascii="Arial" w:hAnsi="Arial" w:cs="Arial"/>
          <w:bCs/>
          <w:sz w:val="24"/>
          <w:szCs w:val="24"/>
        </w:rPr>
        <w:t>w</w:t>
      </w:r>
      <w:r w:rsidR="00D00275" w:rsidRPr="00D00275">
        <w:rPr>
          <w:rFonts w:ascii="Arial" w:hAnsi="Arial" w:cs="Arial"/>
          <w:color w:val="000000" w:themeColor="text1"/>
          <w:sz w:val="24"/>
          <w:szCs w:val="24"/>
        </w:rPr>
        <w:t>hether a term constitutes a material term is determined with reference to its effect on the rights and obligations of the parties</w:t>
      </w:r>
      <w:r w:rsidR="00FD6F67">
        <w:rPr>
          <w:rFonts w:ascii="Arial" w:hAnsi="Arial" w:cs="Arial"/>
          <w:color w:val="000000" w:themeColor="text1"/>
          <w:sz w:val="24"/>
          <w:szCs w:val="24"/>
        </w:rPr>
        <w:t xml:space="preserve"> </w:t>
      </w:r>
      <w:r w:rsidR="00800C2C">
        <w:rPr>
          <w:rFonts w:ascii="Arial" w:hAnsi="Arial" w:cs="Arial"/>
          <w:color w:val="000000" w:themeColor="text1"/>
          <w:sz w:val="24"/>
          <w:szCs w:val="24"/>
        </w:rPr>
        <w:t>–</w:t>
      </w:r>
      <w:r w:rsidR="001D7859">
        <w:rPr>
          <w:rFonts w:ascii="Arial" w:hAnsi="Arial" w:cs="Arial"/>
          <w:color w:val="000000" w:themeColor="text1"/>
          <w:sz w:val="24"/>
          <w:szCs w:val="24"/>
        </w:rPr>
        <w:t xml:space="preserve"> subdivision</w:t>
      </w:r>
      <w:r w:rsidR="00800C2C">
        <w:rPr>
          <w:rFonts w:ascii="Arial" w:hAnsi="Arial" w:cs="Arial"/>
          <w:color w:val="000000" w:themeColor="text1"/>
          <w:sz w:val="24"/>
          <w:szCs w:val="24"/>
        </w:rPr>
        <w:t xml:space="preserve"> </w:t>
      </w:r>
      <w:r w:rsidR="009B214B" w:rsidRPr="000F1C6C">
        <w:rPr>
          <w:rFonts w:ascii="Arial" w:hAnsi="Arial" w:cs="Arial"/>
          <w:color w:val="000000" w:themeColor="text1"/>
          <w:sz w:val="24"/>
          <w:szCs w:val="24"/>
        </w:rPr>
        <w:t>i</w:t>
      </w:r>
      <w:r w:rsidR="00E50D3A" w:rsidRPr="000F1C6C">
        <w:rPr>
          <w:rFonts w:ascii="Arial" w:hAnsi="Arial" w:cs="Arial"/>
          <w:color w:val="000000" w:themeColor="text1"/>
          <w:sz w:val="24"/>
          <w:szCs w:val="24"/>
        </w:rPr>
        <w:t>n th</w:t>
      </w:r>
      <w:r w:rsidR="003F7D50" w:rsidRPr="000F1C6C">
        <w:rPr>
          <w:rFonts w:ascii="Arial" w:hAnsi="Arial" w:cs="Arial"/>
          <w:color w:val="000000" w:themeColor="text1"/>
          <w:sz w:val="24"/>
          <w:szCs w:val="24"/>
        </w:rPr>
        <w:t>is</w:t>
      </w:r>
      <w:r w:rsidR="00E50D3A" w:rsidRPr="000F1C6C">
        <w:rPr>
          <w:rFonts w:ascii="Arial" w:hAnsi="Arial" w:cs="Arial"/>
          <w:color w:val="000000" w:themeColor="text1"/>
          <w:sz w:val="24"/>
          <w:szCs w:val="24"/>
        </w:rPr>
        <w:t xml:space="preserve"> </w:t>
      </w:r>
      <w:r w:rsidR="003F7D50" w:rsidRPr="000F1C6C">
        <w:rPr>
          <w:rFonts w:ascii="Arial" w:hAnsi="Arial" w:cs="Arial"/>
          <w:color w:val="000000" w:themeColor="text1"/>
          <w:sz w:val="24"/>
          <w:szCs w:val="24"/>
        </w:rPr>
        <w:t>in</w:t>
      </w:r>
      <w:r w:rsidR="00E50D3A" w:rsidRPr="000F1C6C">
        <w:rPr>
          <w:rFonts w:ascii="Arial" w:hAnsi="Arial" w:cs="Arial"/>
          <w:color w:val="000000" w:themeColor="text1"/>
          <w:sz w:val="24"/>
          <w:szCs w:val="24"/>
        </w:rPr>
        <w:t>s</w:t>
      </w:r>
      <w:r w:rsidR="003F7D50" w:rsidRPr="000F1C6C">
        <w:rPr>
          <w:rFonts w:ascii="Arial" w:hAnsi="Arial" w:cs="Arial"/>
          <w:color w:val="000000" w:themeColor="text1"/>
          <w:sz w:val="24"/>
          <w:szCs w:val="24"/>
        </w:rPr>
        <w:t>tance</w:t>
      </w:r>
      <w:r w:rsidR="00E50D3A">
        <w:rPr>
          <w:rFonts w:ascii="Arial" w:hAnsi="Arial" w:cs="Arial"/>
          <w:color w:val="000000" w:themeColor="text1"/>
          <w:sz w:val="24"/>
          <w:szCs w:val="24"/>
        </w:rPr>
        <w:t xml:space="preserve"> </w:t>
      </w:r>
      <w:r w:rsidR="00FD6F67">
        <w:rPr>
          <w:rFonts w:ascii="Arial" w:hAnsi="Arial" w:cs="Arial"/>
          <w:color w:val="000000" w:themeColor="text1"/>
          <w:sz w:val="24"/>
          <w:szCs w:val="24"/>
        </w:rPr>
        <w:t>constitute</w:t>
      </w:r>
      <w:r w:rsidR="00902C3F">
        <w:rPr>
          <w:rFonts w:ascii="Arial" w:hAnsi="Arial" w:cs="Arial"/>
          <w:color w:val="000000" w:themeColor="text1"/>
          <w:sz w:val="24"/>
          <w:szCs w:val="24"/>
        </w:rPr>
        <w:t>s</w:t>
      </w:r>
      <w:r w:rsidR="00FD6F67">
        <w:rPr>
          <w:rFonts w:ascii="Arial" w:hAnsi="Arial" w:cs="Arial"/>
          <w:color w:val="000000" w:themeColor="text1"/>
          <w:sz w:val="24"/>
          <w:szCs w:val="24"/>
        </w:rPr>
        <w:t xml:space="preserve"> </w:t>
      </w:r>
      <w:r w:rsidR="001D7859">
        <w:rPr>
          <w:rFonts w:ascii="Arial" w:hAnsi="Arial" w:cs="Arial"/>
          <w:color w:val="000000" w:themeColor="text1"/>
          <w:sz w:val="24"/>
          <w:szCs w:val="24"/>
        </w:rPr>
        <w:t>material</w:t>
      </w:r>
      <w:r w:rsidR="00FD6F67">
        <w:rPr>
          <w:rFonts w:ascii="Arial" w:hAnsi="Arial" w:cs="Arial"/>
          <w:color w:val="000000" w:themeColor="text1"/>
          <w:sz w:val="24"/>
          <w:szCs w:val="24"/>
        </w:rPr>
        <w:t xml:space="preserve"> term </w:t>
      </w:r>
      <w:r w:rsidR="005D4D48">
        <w:rPr>
          <w:rFonts w:ascii="Arial" w:hAnsi="Arial" w:cs="Arial"/>
          <w:color w:val="000000" w:themeColor="text1"/>
          <w:sz w:val="24"/>
          <w:szCs w:val="24"/>
        </w:rPr>
        <w:t>– failure to reduce such material term</w:t>
      </w:r>
      <w:r w:rsidR="00C159CF">
        <w:rPr>
          <w:rFonts w:ascii="Arial" w:hAnsi="Arial" w:cs="Arial"/>
          <w:color w:val="000000" w:themeColor="text1"/>
          <w:sz w:val="24"/>
          <w:szCs w:val="24"/>
        </w:rPr>
        <w:t xml:space="preserve"> to</w:t>
      </w:r>
      <w:r w:rsidR="005D4D48">
        <w:rPr>
          <w:rFonts w:ascii="Arial" w:hAnsi="Arial" w:cs="Arial"/>
          <w:color w:val="000000" w:themeColor="text1"/>
          <w:sz w:val="24"/>
          <w:szCs w:val="24"/>
        </w:rPr>
        <w:t xml:space="preserve"> </w:t>
      </w:r>
      <w:r w:rsidR="00C56B94">
        <w:rPr>
          <w:rFonts w:ascii="Arial" w:hAnsi="Arial" w:cs="Arial"/>
          <w:color w:val="000000" w:themeColor="text1"/>
          <w:sz w:val="24"/>
          <w:szCs w:val="24"/>
        </w:rPr>
        <w:t xml:space="preserve">writing </w:t>
      </w:r>
      <w:r w:rsidR="004119BF">
        <w:rPr>
          <w:rFonts w:ascii="Arial" w:hAnsi="Arial" w:cs="Arial"/>
          <w:color w:val="000000" w:themeColor="text1"/>
          <w:sz w:val="24"/>
          <w:szCs w:val="24"/>
        </w:rPr>
        <w:t>signed by or on behalf of parties</w:t>
      </w:r>
      <w:r w:rsidR="005D4D48">
        <w:rPr>
          <w:rFonts w:ascii="Arial" w:hAnsi="Arial" w:cs="Arial"/>
          <w:color w:val="000000" w:themeColor="text1"/>
          <w:sz w:val="24"/>
          <w:szCs w:val="24"/>
        </w:rPr>
        <w:t xml:space="preserve"> results in non-compliance with s 2(1) -</w:t>
      </w:r>
      <w:r w:rsidR="00AC2238">
        <w:rPr>
          <w:rFonts w:ascii="Arial" w:hAnsi="Arial" w:cs="Arial"/>
          <w:color w:val="000000" w:themeColor="text1"/>
          <w:sz w:val="24"/>
          <w:szCs w:val="24"/>
        </w:rPr>
        <w:t xml:space="preserve"> </w:t>
      </w:r>
      <w:r w:rsidR="005D4D48">
        <w:rPr>
          <w:rFonts w:ascii="Arial" w:hAnsi="Arial" w:cs="Arial"/>
          <w:color w:val="000000" w:themeColor="text1"/>
          <w:sz w:val="24"/>
          <w:szCs w:val="24"/>
        </w:rPr>
        <w:t>effect of – contract null and voi</w:t>
      </w:r>
      <w:r w:rsidR="005D4D48" w:rsidRPr="000F1C6C">
        <w:rPr>
          <w:rFonts w:ascii="Arial" w:hAnsi="Arial" w:cs="Arial"/>
          <w:color w:val="000000" w:themeColor="text1"/>
          <w:sz w:val="24"/>
          <w:szCs w:val="24"/>
        </w:rPr>
        <w:t>d</w:t>
      </w:r>
      <w:r w:rsidR="00800C2C" w:rsidRPr="000F1C6C">
        <w:rPr>
          <w:rFonts w:ascii="Arial" w:hAnsi="Arial" w:cs="Arial"/>
          <w:color w:val="000000" w:themeColor="text1"/>
          <w:sz w:val="24"/>
          <w:szCs w:val="24"/>
        </w:rPr>
        <w:t xml:space="preserve"> - </w:t>
      </w:r>
      <w:r w:rsidR="005D4D48" w:rsidRPr="000F1C6C">
        <w:rPr>
          <w:rFonts w:ascii="Arial" w:hAnsi="Arial" w:cs="Arial"/>
          <w:color w:val="000000" w:themeColor="text1"/>
          <w:sz w:val="24"/>
          <w:szCs w:val="24"/>
        </w:rPr>
        <w:t>C</w:t>
      </w:r>
      <w:r w:rsidR="005D4D48">
        <w:rPr>
          <w:rFonts w:ascii="Arial" w:hAnsi="Arial" w:cs="Arial"/>
          <w:color w:val="000000" w:themeColor="text1"/>
          <w:sz w:val="24"/>
          <w:szCs w:val="24"/>
        </w:rPr>
        <w:t xml:space="preserve">ontract – Validity of - lack of </w:t>
      </w:r>
      <w:r w:rsidR="005D4D48" w:rsidRPr="006F52BF">
        <w:rPr>
          <w:rFonts w:ascii="Arial" w:hAnsi="Arial" w:cs="Arial"/>
          <w:color w:val="000000" w:themeColor="text1"/>
          <w:sz w:val="24"/>
          <w:szCs w:val="24"/>
        </w:rPr>
        <w:t>consensus</w:t>
      </w:r>
      <w:r w:rsidR="005D4D48">
        <w:rPr>
          <w:rFonts w:ascii="Arial" w:hAnsi="Arial" w:cs="Arial"/>
          <w:i/>
          <w:iCs/>
          <w:color w:val="000000" w:themeColor="text1"/>
          <w:sz w:val="24"/>
          <w:szCs w:val="24"/>
        </w:rPr>
        <w:t xml:space="preserve"> </w:t>
      </w:r>
      <w:r w:rsidR="005D4D48">
        <w:rPr>
          <w:rFonts w:ascii="Arial" w:hAnsi="Arial" w:cs="Arial"/>
          <w:color w:val="000000" w:themeColor="text1"/>
          <w:sz w:val="24"/>
          <w:szCs w:val="24"/>
        </w:rPr>
        <w:t xml:space="preserve">between the parties in respect of the </w:t>
      </w:r>
      <w:r w:rsidR="005D4D48">
        <w:rPr>
          <w:rFonts w:ascii="Arial" w:hAnsi="Arial" w:cs="Arial"/>
          <w:i/>
          <w:iCs/>
          <w:color w:val="000000" w:themeColor="text1"/>
          <w:sz w:val="24"/>
          <w:szCs w:val="24"/>
        </w:rPr>
        <w:t>merx</w:t>
      </w:r>
      <w:r w:rsidR="005D4D48">
        <w:rPr>
          <w:rFonts w:ascii="Arial" w:hAnsi="Arial" w:cs="Arial"/>
          <w:color w:val="000000" w:themeColor="text1"/>
          <w:sz w:val="24"/>
          <w:szCs w:val="24"/>
        </w:rPr>
        <w:t xml:space="preserve"> – </w:t>
      </w:r>
      <w:r w:rsidR="00096274">
        <w:rPr>
          <w:rFonts w:ascii="Arial" w:hAnsi="Arial" w:cs="Arial"/>
          <w:color w:val="000000" w:themeColor="text1"/>
          <w:sz w:val="24"/>
          <w:szCs w:val="24"/>
        </w:rPr>
        <w:t>effect of – contract null and void.</w:t>
      </w:r>
    </w:p>
    <w:p w14:paraId="0812AF94" w14:textId="4FE6883F" w:rsidR="003C7545" w:rsidRDefault="003C7545">
      <w:pPr>
        <w:rPr>
          <w:rFonts w:ascii="Arial" w:hAnsi="Arial" w:cs="Arial"/>
          <w:color w:val="000000" w:themeColor="text1"/>
          <w:sz w:val="24"/>
          <w:szCs w:val="24"/>
        </w:rPr>
      </w:pPr>
      <w:r>
        <w:rPr>
          <w:rFonts w:ascii="Arial" w:hAnsi="Arial" w:cs="Arial"/>
          <w:color w:val="000000" w:themeColor="text1"/>
          <w:sz w:val="24"/>
          <w:szCs w:val="24"/>
        </w:rPr>
        <w:br w:type="page"/>
      </w:r>
    </w:p>
    <w:p w14:paraId="5A05BDAA" w14:textId="77777777" w:rsidR="003C7545" w:rsidRPr="00096274" w:rsidRDefault="003C7545" w:rsidP="007B6201">
      <w:pPr>
        <w:tabs>
          <w:tab w:val="left" w:pos="720"/>
          <w:tab w:val="left" w:pos="1440"/>
          <w:tab w:val="left" w:pos="2160"/>
          <w:tab w:val="right" w:pos="9026"/>
        </w:tabs>
        <w:rPr>
          <w:rFonts w:ascii="Arial" w:hAnsi="Arial" w:cs="Arial"/>
          <w:color w:val="000000" w:themeColor="text1"/>
          <w:sz w:val="24"/>
          <w:szCs w:val="24"/>
        </w:rPr>
      </w:pPr>
    </w:p>
    <w:p w14:paraId="7220A7D2" w14:textId="7F8C590B" w:rsidR="007B6201" w:rsidRPr="006F6099" w:rsidRDefault="001B701E" w:rsidP="006F6099">
      <w:pPr>
        <w:spacing w:line="240" w:lineRule="auto"/>
        <w:rPr>
          <w:rFonts w:ascii="Arial" w:hAnsi="Arial" w:cs="Arial"/>
          <w:sz w:val="24"/>
          <w:szCs w:val="24"/>
        </w:rPr>
      </w:pPr>
      <w:r w:rsidRPr="001B701E">
        <w:rPr>
          <w:rFonts w:ascii="Arial" w:hAnsi="Arial" w:cs="Arial"/>
          <w:sz w:val="24"/>
          <w:szCs w:val="24"/>
        </w:rPr>
        <w:t>___</w:t>
      </w:r>
      <w:r w:rsidR="00351A6A" w:rsidRPr="001B701E">
        <w:rPr>
          <w:rFonts w:ascii="Arial" w:hAnsi="Arial" w:cs="Arial"/>
          <w:sz w:val="24"/>
          <w:szCs w:val="24"/>
        </w:rPr>
        <w:t>________________________________________________________________</w:t>
      </w:r>
    </w:p>
    <w:p w14:paraId="568C74AE" w14:textId="65651698" w:rsidR="007B6201" w:rsidRPr="00501A3C" w:rsidRDefault="00351A6A" w:rsidP="007B6201">
      <w:pPr>
        <w:spacing w:before="240" w:line="240" w:lineRule="auto"/>
        <w:jc w:val="center"/>
        <w:rPr>
          <w:rFonts w:ascii="Arial" w:hAnsi="Arial" w:cs="Arial"/>
          <w:b/>
          <w:sz w:val="24"/>
          <w:szCs w:val="24"/>
        </w:rPr>
      </w:pPr>
      <w:r w:rsidRPr="00501A3C">
        <w:rPr>
          <w:rFonts w:ascii="Arial" w:hAnsi="Arial" w:cs="Arial"/>
          <w:b/>
          <w:sz w:val="24"/>
          <w:szCs w:val="24"/>
        </w:rPr>
        <w:t>ORDER</w:t>
      </w:r>
    </w:p>
    <w:p w14:paraId="35BD1450" w14:textId="77777777" w:rsidR="00351A6A" w:rsidRPr="001B701E" w:rsidRDefault="00351A6A" w:rsidP="001B701E">
      <w:pPr>
        <w:spacing w:line="240" w:lineRule="auto"/>
        <w:rPr>
          <w:rFonts w:ascii="Arial" w:hAnsi="Arial" w:cs="Arial"/>
          <w:sz w:val="24"/>
          <w:szCs w:val="24"/>
        </w:rPr>
      </w:pPr>
      <w:r w:rsidRPr="001B701E">
        <w:rPr>
          <w:rFonts w:ascii="Arial" w:hAnsi="Arial" w:cs="Arial"/>
          <w:sz w:val="24"/>
          <w:szCs w:val="24"/>
        </w:rPr>
        <w:t>_</w:t>
      </w:r>
      <w:r w:rsidR="001B701E" w:rsidRPr="001B701E">
        <w:rPr>
          <w:rFonts w:ascii="Arial" w:hAnsi="Arial" w:cs="Arial"/>
          <w:sz w:val="24"/>
          <w:szCs w:val="24"/>
        </w:rPr>
        <w:t>___</w:t>
      </w:r>
      <w:r w:rsidRPr="001B701E">
        <w:rPr>
          <w:rFonts w:ascii="Arial" w:hAnsi="Arial" w:cs="Arial"/>
          <w:sz w:val="24"/>
          <w:szCs w:val="24"/>
        </w:rPr>
        <w:t>_______________________________________________________________</w:t>
      </w:r>
    </w:p>
    <w:p w14:paraId="31C105A0" w14:textId="77777777" w:rsidR="00CE2E78" w:rsidRDefault="00CE2E78" w:rsidP="00CE2E78">
      <w:pPr>
        <w:tabs>
          <w:tab w:val="right" w:pos="9026"/>
        </w:tabs>
        <w:spacing w:line="240" w:lineRule="auto"/>
        <w:rPr>
          <w:rFonts w:ascii="Arial" w:hAnsi="Arial" w:cs="Arial"/>
          <w:b/>
          <w:bCs/>
          <w:sz w:val="24"/>
          <w:szCs w:val="24"/>
        </w:rPr>
      </w:pPr>
    </w:p>
    <w:p w14:paraId="02DB55B3" w14:textId="4640F4AE" w:rsidR="00BD362F" w:rsidRPr="00C24B86" w:rsidRDefault="005F2C03" w:rsidP="00C24B86">
      <w:pPr>
        <w:tabs>
          <w:tab w:val="right" w:pos="9026"/>
        </w:tabs>
        <w:rPr>
          <w:rFonts w:ascii="Arial" w:hAnsi="Arial" w:cs="Arial"/>
          <w:bCs/>
          <w:sz w:val="24"/>
          <w:szCs w:val="24"/>
        </w:rPr>
      </w:pPr>
      <w:r w:rsidRPr="00501A3C">
        <w:rPr>
          <w:rFonts w:ascii="Arial" w:hAnsi="Arial" w:cs="Arial"/>
          <w:b/>
          <w:bCs/>
          <w:sz w:val="24"/>
          <w:szCs w:val="24"/>
        </w:rPr>
        <w:t>On appeal from:</w:t>
      </w:r>
      <w:r w:rsidRPr="00501A3C">
        <w:rPr>
          <w:rFonts w:ascii="Arial" w:hAnsi="Arial" w:cs="Arial"/>
          <w:bCs/>
          <w:sz w:val="24"/>
          <w:szCs w:val="24"/>
        </w:rPr>
        <w:t xml:space="preserve"> </w:t>
      </w:r>
      <w:r w:rsidR="001175FB">
        <w:rPr>
          <w:rFonts w:ascii="Arial" w:hAnsi="Arial" w:cs="Arial"/>
          <w:bCs/>
          <w:sz w:val="24"/>
          <w:szCs w:val="24"/>
        </w:rPr>
        <w:t xml:space="preserve">Western Cape Division </w:t>
      </w:r>
      <w:r w:rsidRPr="00501A3C">
        <w:rPr>
          <w:rFonts w:ascii="Arial" w:hAnsi="Arial" w:cs="Arial"/>
          <w:bCs/>
          <w:sz w:val="24"/>
          <w:szCs w:val="24"/>
        </w:rPr>
        <w:t xml:space="preserve">of the High Court, </w:t>
      </w:r>
      <w:r w:rsidR="001175FB">
        <w:rPr>
          <w:rFonts w:ascii="Arial" w:hAnsi="Arial" w:cs="Arial"/>
          <w:bCs/>
          <w:sz w:val="24"/>
          <w:szCs w:val="24"/>
        </w:rPr>
        <w:t>Cape Town</w:t>
      </w:r>
      <w:r w:rsidR="007B457C" w:rsidRPr="00501A3C">
        <w:rPr>
          <w:rFonts w:ascii="Arial" w:hAnsi="Arial" w:cs="Arial"/>
          <w:bCs/>
          <w:sz w:val="24"/>
          <w:szCs w:val="24"/>
        </w:rPr>
        <w:t xml:space="preserve"> </w:t>
      </w:r>
      <w:r w:rsidRPr="00501A3C">
        <w:rPr>
          <w:rFonts w:ascii="Arial" w:hAnsi="Arial" w:cs="Arial"/>
          <w:bCs/>
          <w:sz w:val="24"/>
          <w:szCs w:val="24"/>
        </w:rPr>
        <w:t>(</w:t>
      </w:r>
      <w:r w:rsidR="001175FB">
        <w:rPr>
          <w:rFonts w:ascii="Arial" w:hAnsi="Arial" w:cs="Arial"/>
          <w:bCs/>
          <w:sz w:val="24"/>
          <w:szCs w:val="24"/>
        </w:rPr>
        <w:t>Goliath</w:t>
      </w:r>
      <w:r w:rsidR="00293D19">
        <w:rPr>
          <w:rFonts w:ascii="Arial" w:hAnsi="Arial" w:cs="Arial"/>
          <w:bCs/>
          <w:sz w:val="24"/>
          <w:szCs w:val="24"/>
        </w:rPr>
        <w:t xml:space="preserve"> DJ</w:t>
      </w:r>
      <w:r w:rsidR="00293D19" w:rsidRPr="006744BA">
        <w:rPr>
          <w:rFonts w:ascii="Arial" w:hAnsi="Arial" w:cs="Arial"/>
          <w:bCs/>
          <w:sz w:val="24"/>
          <w:szCs w:val="24"/>
        </w:rPr>
        <w:t>P</w:t>
      </w:r>
      <w:r w:rsidR="00E9333D" w:rsidRPr="006744BA">
        <w:rPr>
          <w:rFonts w:ascii="Arial" w:hAnsi="Arial" w:cs="Arial"/>
          <w:bCs/>
          <w:sz w:val="24"/>
          <w:szCs w:val="24"/>
        </w:rPr>
        <w:t xml:space="preserve"> </w:t>
      </w:r>
      <w:r w:rsidR="00136C68" w:rsidRPr="006744BA">
        <w:rPr>
          <w:rFonts w:ascii="Arial" w:hAnsi="Arial" w:cs="Arial"/>
          <w:bCs/>
          <w:sz w:val="24"/>
          <w:szCs w:val="24"/>
        </w:rPr>
        <w:t>s</w:t>
      </w:r>
      <w:r w:rsidR="00136C68" w:rsidRPr="00501A3C">
        <w:rPr>
          <w:rFonts w:ascii="Arial" w:hAnsi="Arial" w:cs="Arial"/>
          <w:bCs/>
          <w:sz w:val="24"/>
          <w:szCs w:val="24"/>
        </w:rPr>
        <w:t xml:space="preserve">itting </w:t>
      </w:r>
      <w:r w:rsidR="00E9333D" w:rsidRPr="00501A3C">
        <w:rPr>
          <w:rFonts w:ascii="Arial" w:hAnsi="Arial" w:cs="Arial"/>
          <w:bCs/>
          <w:sz w:val="24"/>
          <w:szCs w:val="24"/>
        </w:rPr>
        <w:t xml:space="preserve">as </w:t>
      </w:r>
      <w:r w:rsidR="0089461B" w:rsidRPr="00501A3C">
        <w:rPr>
          <w:rFonts w:ascii="Arial" w:hAnsi="Arial" w:cs="Arial"/>
          <w:bCs/>
          <w:sz w:val="24"/>
          <w:szCs w:val="24"/>
        </w:rPr>
        <w:t xml:space="preserve">a </w:t>
      </w:r>
      <w:r w:rsidRPr="00501A3C">
        <w:rPr>
          <w:rFonts w:ascii="Arial" w:hAnsi="Arial" w:cs="Arial"/>
          <w:bCs/>
          <w:sz w:val="24"/>
          <w:szCs w:val="24"/>
        </w:rPr>
        <w:t>court of first instance):</w:t>
      </w:r>
    </w:p>
    <w:p w14:paraId="04D8D93E" w14:textId="0E3FEB5C" w:rsidR="00C24B86" w:rsidRDefault="00242A65" w:rsidP="00C24B86">
      <w:pPr>
        <w:tabs>
          <w:tab w:val="left" w:pos="720"/>
          <w:tab w:val="left" w:pos="1440"/>
          <w:tab w:val="left" w:pos="2160"/>
          <w:tab w:val="right" w:pos="9026"/>
        </w:tabs>
        <w:rPr>
          <w:rFonts w:ascii="Arial" w:eastAsia="Times New Roman" w:hAnsi="Arial" w:cs="Arial"/>
          <w:color w:val="000000"/>
          <w:sz w:val="24"/>
          <w:szCs w:val="24"/>
          <w:lang w:eastAsia="en-ZA"/>
        </w:rPr>
      </w:pPr>
      <w:r w:rsidRPr="000F1C6C">
        <w:rPr>
          <w:rFonts w:ascii="Arial" w:eastAsia="Times New Roman" w:hAnsi="Arial" w:cs="Arial"/>
          <w:color w:val="000000"/>
          <w:sz w:val="24"/>
          <w:szCs w:val="24"/>
          <w:lang w:eastAsia="en-ZA"/>
        </w:rPr>
        <w:t>1</w:t>
      </w:r>
      <w:r w:rsidR="007B6201">
        <w:rPr>
          <w:rFonts w:ascii="Arial" w:eastAsia="Times New Roman" w:hAnsi="Arial" w:cs="Arial"/>
          <w:color w:val="000000"/>
          <w:sz w:val="24"/>
          <w:szCs w:val="24"/>
          <w:lang w:eastAsia="en-ZA"/>
        </w:rPr>
        <w:tab/>
      </w:r>
      <w:r w:rsidR="00C24B86">
        <w:rPr>
          <w:rFonts w:ascii="Arial" w:eastAsia="Times New Roman" w:hAnsi="Arial" w:cs="Arial"/>
          <w:color w:val="000000"/>
          <w:sz w:val="24"/>
          <w:szCs w:val="24"/>
          <w:lang w:eastAsia="en-ZA"/>
        </w:rPr>
        <w:t>The appeal is upheld with costs.</w:t>
      </w:r>
    </w:p>
    <w:p w14:paraId="0E12CF08" w14:textId="70DF35B3" w:rsidR="00C24B86" w:rsidRDefault="00340467" w:rsidP="007B6201">
      <w:pPr>
        <w:tabs>
          <w:tab w:val="left" w:pos="720"/>
          <w:tab w:val="left" w:pos="1440"/>
          <w:tab w:val="left" w:pos="2160"/>
          <w:tab w:val="right" w:pos="9026"/>
        </w:tabs>
        <w:ind w:left="720" w:hanging="720"/>
        <w:rPr>
          <w:rFonts w:ascii="Arial" w:eastAsia="Times New Roman" w:hAnsi="Arial" w:cs="Arial"/>
          <w:color w:val="000000"/>
          <w:sz w:val="24"/>
          <w:szCs w:val="24"/>
          <w:lang w:eastAsia="en-ZA"/>
        </w:rPr>
      </w:pPr>
      <w:r w:rsidRPr="000F1C6C">
        <w:rPr>
          <w:rFonts w:ascii="Arial" w:eastAsia="Times New Roman" w:hAnsi="Arial" w:cs="Arial"/>
          <w:color w:val="000000"/>
          <w:sz w:val="24"/>
          <w:szCs w:val="24"/>
          <w:lang w:eastAsia="en-ZA"/>
        </w:rPr>
        <w:t>2</w:t>
      </w:r>
      <w:r w:rsidR="007B6201">
        <w:rPr>
          <w:rFonts w:ascii="Arial" w:eastAsia="Times New Roman" w:hAnsi="Arial" w:cs="Arial"/>
          <w:color w:val="000000"/>
          <w:sz w:val="24"/>
          <w:szCs w:val="24"/>
          <w:lang w:eastAsia="en-ZA"/>
        </w:rPr>
        <w:tab/>
      </w:r>
      <w:r w:rsidR="00C24B86">
        <w:rPr>
          <w:rFonts w:ascii="Arial" w:eastAsia="Times New Roman" w:hAnsi="Arial" w:cs="Arial"/>
          <w:color w:val="000000"/>
          <w:sz w:val="24"/>
          <w:szCs w:val="24"/>
          <w:lang w:eastAsia="en-ZA"/>
        </w:rPr>
        <w:t>The order of the high court is set aside and in its place is substituted the following:</w:t>
      </w:r>
    </w:p>
    <w:p w14:paraId="40999C01" w14:textId="0E34E65A" w:rsidR="00C24B86" w:rsidRDefault="00CE1E16" w:rsidP="00C24B86">
      <w:pPr>
        <w:tabs>
          <w:tab w:val="left" w:pos="720"/>
          <w:tab w:val="left" w:pos="1440"/>
          <w:tab w:val="left" w:pos="2160"/>
          <w:tab w:val="right" w:pos="9026"/>
        </w:tabs>
        <w:ind w:left="851" w:hanging="425"/>
        <w:rPr>
          <w:rFonts w:ascii="Arial" w:hAnsi="Arial" w:cs="Arial"/>
          <w:color w:val="000000" w:themeColor="text1"/>
          <w:sz w:val="24"/>
          <w:szCs w:val="24"/>
        </w:rPr>
      </w:pPr>
      <w:r>
        <w:rPr>
          <w:rFonts w:ascii="Arial" w:hAnsi="Arial" w:cs="Arial"/>
          <w:bCs/>
          <w:sz w:val="24"/>
          <w:szCs w:val="24"/>
        </w:rPr>
        <w:t>‘</w:t>
      </w:r>
      <w:r w:rsidR="00C24B86">
        <w:rPr>
          <w:rFonts w:ascii="Arial" w:hAnsi="Arial" w:cs="Arial"/>
          <w:bCs/>
          <w:sz w:val="24"/>
          <w:szCs w:val="24"/>
        </w:rPr>
        <w:t>(</w:t>
      </w:r>
      <w:r w:rsidR="00340467">
        <w:rPr>
          <w:rFonts w:ascii="Arial" w:hAnsi="Arial" w:cs="Arial"/>
          <w:bCs/>
          <w:sz w:val="24"/>
          <w:szCs w:val="24"/>
        </w:rPr>
        <w:t>a</w:t>
      </w:r>
      <w:r w:rsidR="00C24B86">
        <w:rPr>
          <w:rFonts w:ascii="Arial" w:hAnsi="Arial" w:cs="Arial"/>
          <w:bCs/>
          <w:sz w:val="24"/>
          <w:szCs w:val="24"/>
        </w:rPr>
        <w:t xml:space="preserve">) The written sale of land agreement concluded between the parties on 14 November 2016 and its addendum concluded on </w:t>
      </w:r>
      <w:r w:rsidR="00C24B86">
        <w:rPr>
          <w:rFonts w:ascii="Arial" w:hAnsi="Arial" w:cs="Arial"/>
          <w:color w:val="000000" w:themeColor="text1"/>
          <w:sz w:val="24"/>
          <w:szCs w:val="24"/>
        </w:rPr>
        <w:t xml:space="preserve">18 April 2017, are declared void </w:t>
      </w:r>
      <w:r w:rsidR="00C24B86">
        <w:rPr>
          <w:rFonts w:ascii="Arial" w:hAnsi="Arial" w:cs="Arial"/>
          <w:i/>
          <w:iCs/>
          <w:color w:val="000000" w:themeColor="text1"/>
          <w:sz w:val="24"/>
          <w:szCs w:val="24"/>
        </w:rPr>
        <w:t>ab initio</w:t>
      </w:r>
      <w:r w:rsidR="00C24B86">
        <w:rPr>
          <w:rFonts w:ascii="Arial" w:hAnsi="Arial" w:cs="Arial"/>
          <w:color w:val="000000" w:themeColor="text1"/>
          <w:sz w:val="24"/>
          <w:szCs w:val="24"/>
        </w:rPr>
        <w:t xml:space="preserve"> </w:t>
      </w:r>
      <w:r w:rsidR="00964FCF">
        <w:rPr>
          <w:rFonts w:ascii="Arial" w:hAnsi="Arial" w:cs="Arial"/>
          <w:color w:val="000000" w:themeColor="text1"/>
          <w:sz w:val="24"/>
          <w:szCs w:val="24"/>
        </w:rPr>
        <w:t>due to</w:t>
      </w:r>
      <w:r w:rsidR="00C24B86">
        <w:rPr>
          <w:rFonts w:ascii="Arial" w:hAnsi="Arial" w:cs="Arial"/>
          <w:color w:val="000000" w:themeColor="text1"/>
          <w:sz w:val="24"/>
          <w:szCs w:val="24"/>
        </w:rPr>
        <w:t xml:space="preserve"> non-compliance with section 2(1) of the Alienation of Land Act 68 of 1981 and for </w:t>
      </w:r>
      <w:r w:rsidR="00B020B7">
        <w:rPr>
          <w:rFonts w:ascii="Arial" w:hAnsi="Arial" w:cs="Arial"/>
          <w:color w:val="000000" w:themeColor="text1"/>
          <w:sz w:val="24"/>
          <w:szCs w:val="24"/>
        </w:rPr>
        <w:t xml:space="preserve">want </w:t>
      </w:r>
      <w:r w:rsidR="00C24B86">
        <w:rPr>
          <w:rFonts w:ascii="Arial" w:hAnsi="Arial" w:cs="Arial"/>
          <w:color w:val="000000" w:themeColor="text1"/>
          <w:sz w:val="24"/>
          <w:szCs w:val="24"/>
        </w:rPr>
        <w:t xml:space="preserve">of </w:t>
      </w:r>
      <w:r w:rsidR="00C24B86">
        <w:rPr>
          <w:rFonts w:ascii="Arial" w:hAnsi="Arial" w:cs="Arial"/>
          <w:i/>
          <w:iCs/>
          <w:color w:val="000000" w:themeColor="text1"/>
          <w:sz w:val="24"/>
          <w:szCs w:val="24"/>
        </w:rPr>
        <w:t xml:space="preserve">consensus </w:t>
      </w:r>
      <w:r w:rsidR="00C24B86">
        <w:rPr>
          <w:rFonts w:ascii="Arial" w:hAnsi="Arial" w:cs="Arial"/>
          <w:color w:val="000000" w:themeColor="text1"/>
          <w:sz w:val="24"/>
          <w:szCs w:val="24"/>
        </w:rPr>
        <w:t>between the</w:t>
      </w:r>
      <w:r w:rsidR="00B020B7">
        <w:rPr>
          <w:rFonts w:ascii="Arial" w:hAnsi="Arial" w:cs="Arial"/>
          <w:color w:val="000000" w:themeColor="text1"/>
          <w:sz w:val="24"/>
          <w:szCs w:val="24"/>
        </w:rPr>
        <w:t>m</w:t>
      </w:r>
      <w:r w:rsidR="00C24B86">
        <w:rPr>
          <w:rFonts w:ascii="Arial" w:hAnsi="Arial" w:cs="Arial"/>
          <w:color w:val="000000" w:themeColor="text1"/>
          <w:sz w:val="24"/>
          <w:szCs w:val="24"/>
        </w:rPr>
        <w:t xml:space="preserve"> in respect of the </w:t>
      </w:r>
      <w:r w:rsidR="00C24B86">
        <w:rPr>
          <w:rFonts w:ascii="Arial" w:hAnsi="Arial" w:cs="Arial"/>
          <w:i/>
          <w:iCs/>
          <w:color w:val="000000" w:themeColor="text1"/>
          <w:sz w:val="24"/>
          <w:szCs w:val="24"/>
        </w:rPr>
        <w:t>merx</w:t>
      </w:r>
      <w:r w:rsidR="00C24B86">
        <w:rPr>
          <w:rFonts w:ascii="Arial" w:hAnsi="Arial" w:cs="Arial"/>
          <w:color w:val="000000" w:themeColor="text1"/>
          <w:sz w:val="24"/>
          <w:szCs w:val="24"/>
        </w:rPr>
        <w:t>.</w:t>
      </w:r>
    </w:p>
    <w:p w14:paraId="2671ABDE" w14:textId="686D726D" w:rsidR="00BD362F" w:rsidRDefault="00C24B86" w:rsidP="00C24B86">
      <w:pPr>
        <w:tabs>
          <w:tab w:val="left" w:pos="720"/>
          <w:tab w:val="left" w:pos="1440"/>
          <w:tab w:val="left" w:pos="2160"/>
          <w:tab w:val="right" w:pos="9026"/>
        </w:tabs>
        <w:ind w:left="851" w:hanging="425"/>
        <w:rPr>
          <w:rFonts w:ascii="Arial" w:hAnsi="Arial" w:cs="Arial"/>
          <w:bCs/>
          <w:sz w:val="24"/>
          <w:szCs w:val="24"/>
        </w:rPr>
      </w:pPr>
      <w:r>
        <w:rPr>
          <w:rFonts w:ascii="Arial" w:hAnsi="Arial" w:cs="Arial"/>
          <w:bCs/>
          <w:sz w:val="24"/>
          <w:szCs w:val="24"/>
        </w:rPr>
        <w:t>(</w:t>
      </w:r>
      <w:r w:rsidR="00340467">
        <w:rPr>
          <w:rFonts w:ascii="Arial" w:hAnsi="Arial" w:cs="Arial"/>
          <w:bCs/>
          <w:sz w:val="24"/>
          <w:szCs w:val="24"/>
        </w:rPr>
        <w:t>b</w:t>
      </w:r>
      <w:r>
        <w:rPr>
          <w:rFonts w:ascii="Arial" w:hAnsi="Arial" w:cs="Arial"/>
          <w:bCs/>
          <w:sz w:val="24"/>
          <w:szCs w:val="24"/>
        </w:rPr>
        <w:t>)</w:t>
      </w:r>
      <w:r w:rsidRPr="00C24B86">
        <w:rPr>
          <w:rFonts w:ascii="Arial" w:hAnsi="Arial" w:cs="Arial"/>
          <w:bCs/>
          <w:sz w:val="24"/>
          <w:szCs w:val="24"/>
        </w:rPr>
        <w:t xml:space="preserve"> </w:t>
      </w:r>
      <w:r w:rsidR="006F6099">
        <w:rPr>
          <w:rFonts w:ascii="Arial" w:hAnsi="Arial" w:cs="Arial"/>
          <w:bCs/>
          <w:sz w:val="24"/>
          <w:szCs w:val="24"/>
        </w:rPr>
        <w:t>T</w:t>
      </w:r>
      <w:r>
        <w:rPr>
          <w:rFonts w:ascii="Arial" w:hAnsi="Arial" w:cs="Arial"/>
          <w:bCs/>
          <w:sz w:val="24"/>
          <w:szCs w:val="24"/>
        </w:rPr>
        <w:t>he respondent is to pay the applicants</w:t>
      </w:r>
      <w:r w:rsidR="00EF7EC7">
        <w:rPr>
          <w:rFonts w:ascii="Arial" w:hAnsi="Arial" w:cs="Arial"/>
          <w:bCs/>
          <w:sz w:val="24"/>
          <w:szCs w:val="24"/>
        </w:rPr>
        <w:t>’</w:t>
      </w:r>
      <w:r>
        <w:rPr>
          <w:rFonts w:ascii="Arial" w:hAnsi="Arial" w:cs="Arial"/>
          <w:bCs/>
          <w:sz w:val="24"/>
          <w:szCs w:val="24"/>
        </w:rPr>
        <w:t xml:space="preserve"> costs.’</w:t>
      </w:r>
    </w:p>
    <w:p w14:paraId="0EBF497F" w14:textId="294A085D" w:rsidR="00197249" w:rsidRPr="00C24B86" w:rsidRDefault="00197249" w:rsidP="003C7545">
      <w:pPr>
        <w:tabs>
          <w:tab w:val="left" w:pos="720"/>
          <w:tab w:val="left" w:pos="1440"/>
          <w:tab w:val="left" w:pos="2160"/>
          <w:tab w:val="right" w:pos="9026"/>
        </w:tabs>
        <w:rPr>
          <w:rFonts w:ascii="Arial" w:hAnsi="Arial" w:cs="Arial"/>
          <w:color w:val="000000" w:themeColor="text1"/>
          <w:sz w:val="24"/>
          <w:szCs w:val="24"/>
        </w:rPr>
      </w:pPr>
    </w:p>
    <w:p w14:paraId="5B73476E" w14:textId="77777777" w:rsidR="00351A6A" w:rsidRPr="00197249" w:rsidRDefault="00351A6A" w:rsidP="00197249">
      <w:pPr>
        <w:spacing w:line="240" w:lineRule="auto"/>
        <w:rPr>
          <w:rFonts w:ascii="Arial" w:hAnsi="Arial" w:cs="Arial"/>
          <w:sz w:val="24"/>
          <w:szCs w:val="24"/>
        </w:rPr>
      </w:pPr>
      <w:r w:rsidRPr="00197249">
        <w:rPr>
          <w:rFonts w:ascii="Arial" w:hAnsi="Arial" w:cs="Arial"/>
          <w:sz w:val="24"/>
          <w:szCs w:val="24"/>
        </w:rPr>
        <w:t>_</w:t>
      </w:r>
      <w:r w:rsidR="00197249" w:rsidRPr="00197249">
        <w:rPr>
          <w:rFonts w:ascii="Arial" w:hAnsi="Arial" w:cs="Arial"/>
          <w:sz w:val="24"/>
          <w:szCs w:val="24"/>
        </w:rPr>
        <w:t>___</w:t>
      </w:r>
      <w:r w:rsidRPr="00197249">
        <w:rPr>
          <w:rFonts w:ascii="Arial" w:hAnsi="Arial" w:cs="Arial"/>
          <w:sz w:val="24"/>
          <w:szCs w:val="24"/>
        </w:rPr>
        <w:t>_______________________________________________________________</w:t>
      </w:r>
    </w:p>
    <w:p w14:paraId="643EE7EF" w14:textId="77777777" w:rsidR="007B6201" w:rsidRDefault="007B6201" w:rsidP="006F6099">
      <w:pPr>
        <w:spacing w:line="240" w:lineRule="auto"/>
        <w:rPr>
          <w:rFonts w:ascii="Arial" w:hAnsi="Arial" w:cs="Arial"/>
          <w:b/>
          <w:sz w:val="24"/>
          <w:szCs w:val="24"/>
        </w:rPr>
      </w:pPr>
    </w:p>
    <w:p w14:paraId="3330D532" w14:textId="77777777" w:rsidR="00351A6A" w:rsidRPr="00501A3C" w:rsidRDefault="00351A6A" w:rsidP="00197249">
      <w:pPr>
        <w:spacing w:line="240" w:lineRule="auto"/>
        <w:jc w:val="center"/>
        <w:rPr>
          <w:rFonts w:ascii="Arial" w:hAnsi="Arial" w:cs="Arial"/>
          <w:b/>
          <w:sz w:val="24"/>
          <w:szCs w:val="24"/>
        </w:rPr>
      </w:pPr>
      <w:r w:rsidRPr="00501A3C">
        <w:rPr>
          <w:rFonts w:ascii="Arial" w:hAnsi="Arial" w:cs="Arial"/>
          <w:b/>
          <w:sz w:val="24"/>
          <w:szCs w:val="24"/>
        </w:rPr>
        <w:t>JUDGMENT</w:t>
      </w:r>
    </w:p>
    <w:p w14:paraId="736FA91E" w14:textId="77777777" w:rsidR="00351A6A" w:rsidRPr="00197249" w:rsidRDefault="00197249" w:rsidP="00197249">
      <w:pPr>
        <w:spacing w:line="240" w:lineRule="auto"/>
        <w:rPr>
          <w:rFonts w:ascii="Arial" w:hAnsi="Arial" w:cs="Arial"/>
          <w:sz w:val="24"/>
          <w:szCs w:val="24"/>
        </w:rPr>
      </w:pPr>
      <w:r>
        <w:rPr>
          <w:rFonts w:ascii="Arial" w:hAnsi="Arial" w:cs="Arial"/>
          <w:sz w:val="24"/>
          <w:szCs w:val="24"/>
        </w:rPr>
        <w:t>_</w:t>
      </w:r>
      <w:r w:rsidRPr="00197249">
        <w:rPr>
          <w:rFonts w:ascii="Arial" w:hAnsi="Arial" w:cs="Arial"/>
          <w:sz w:val="24"/>
          <w:szCs w:val="24"/>
        </w:rPr>
        <w:t>__</w:t>
      </w:r>
      <w:r w:rsidR="00351A6A" w:rsidRPr="00197249">
        <w:rPr>
          <w:rFonts w:ascii="Arial" w:hAnsi="Arial" w:cs="Arial"/>
          <w:sz w:val="24"/>
          <w:szCs w:val="24"/>
        </w:rPr>
        <w:t>________________________________________________________________</w:t>
      </w:r>
    </w:p>
    <w:p w14:paraId="1DB7C874" w14:textId="77777777" w:rsidR="00F83DB5" w:rsidRPr="00501A3C" w:rsidRDefault="00F83DB5" w:rsidP="00197249">
      <w:pPr>
        <w:tabs>
          <w:tab w:val="left" w:pos="720"/>
          <w:tab w:val="left" w:pos="1440"/>
          <w:tab w:val="left" w:pos="2160"/>
          <w:tab w:val="right" w:pos="9026"/>
        </w:tabs>
        <w:spacing w:line="240" w:lineRule="auto"/>
        <w:rPr>
          <w:rFonts w:ascii="Arial" w:hAnsi="Arial" w:cs="Arial"/>
          <w:sz w:val="24"/>
          <w:szCs w:val="24"/>
        </w:rPr>
      </w:pPr>
    </w:p>
    <w:p w14:paraId="5F89683A" w14:textId="7D702BC8" w:rsidR="00106D1F" w:rsidRPr="007E1852" w:rsidRDefault="00B6016A" w:rsidP="00106D1F">
      <w:pPr>
        <w:tabs>
          <w:tab w:val="left" w:pos="720"/>
          <w:tab w:val="left" w:pos="1440"/>
          <w:tab w:val="left" w:pos="2160"/>
          <w:tab w:val="right" w:pos="9026"/>
        </w:tabs>
        <w:rPr>
          <w:rFonts w:ascii="Arial" w:hAnsi="Arial" w:cs="Arial"/>
          <w:b/>
          <w:sz w:val="24"/>
          <w:szCs w:val="24"/>
        </w:rPr>
      </w:pPr>
      <w:r w:rsidRPr="007E1852">
        <w:rPr>
          <w:rFonts w:ascii="Arial" w:hAnsi="Arial" w:cs="Arial"/>
          <w:b/>
          <w:sz w:val="24"/>
          <w:szCs w:val="24"/>
        </w:rPr>
        <w:t xml:space="preserve">Meyer </w:t>
      </w:r>
      <w:r w:rsidR="005F2C03" w:rsidRPr="007E1852">
        <w:rPr>
          <w:rFonts w:ascii="Arial" w:hAnsi="Arial" w:cs="Arial"/>
          <w:b/>
          <w:sz w:val="24"/>
          <w:szCs w:val="24"/>
        </w:rPr>
        <w:t>JA (</w:t>
      </w:r>
      <w:r w:rsidR="0012364E" w:rsidRPr="000F1C6C">
        <w:rPr>
          <w:rFonts w:ascii="Arial" w:hAnsi="Arial" w:cs="Arial"/>
          <w:b/>
          <w:sz w:val="24"/>
          <w:szCs w:val="24"/>
        </w:rPr>
        <w:t>Zondi, Mocumie, Mothle and M</w:t>
      </w:r>
      <w:r w:rsidR="002134ED" w:rsidRPr="000F1C6C">
        <w:rPr>
          <w:rFonts w:ascii="Arial" w:hAnsi="Arial" w:cs="Arial"/>
          <w:b/>
          <w:sz w:val="24"/>
          <w:szCs w:val="24"/>
        </w:rPr>
        <w:t>olefe JJA</w:t>
      </w:r>
      <w:r w:rsidR="00106D1F" w:rsidRPr="007E1852">
        <w:rPr>
          <w:rFonts w:ascii="Arial" w:hAnsi="Arial" w:cs="Arial"/>
          <w:b/>
          <w:sz w:val="24"/>
          <w:szCs w:val="24"/>
        </w:rPr>
        <w:t xml:space="preserve"> </w:t>
      </w:r>
      <w:r w:rsidR="008B41EE" w:rsidRPr="007E1852">
        <w:rPr>
          <w:rFonts w:ascii="Arial" w:hAnsi="Arial" w:cs="Arial"/>
          <w:b/>
          <w:sz w:val="24"/>
          <w:szCs w:val="24"/>
        </w:rPr>
        <w:t>concurring</w:t>
      </w:r>
      <w:r w:rsidR="001B6E6C" w:rsidRPr="007E1852">
        <w:rPr>
          <w:rFonts w:ascii="Arial" w:hAnsi="Arial" w:cs="Arial"/>
          <w:b/>
          <w:sz w:val="24"/>
          <w:szCs w:val="24"/>
        </w:rPr>
        <w:t>)</w:t>
      </w:r>
      <w:r w:rsidR="004C5D9B" w:rsidRPr="007E1852">
        <w:rPr>
          <w:rFonts w:ascii="Arial" w:hAnsi="Arial" w:cs="Arial"/>
          <w:b/>
          <w:sz w:val="24"/>
          <w:szCs w:val="24"/>
        </w:rPr>
        <w:t>:</w:t>
      </w:r>
    </w:p>
    <w:p w14:paraId="6458B915" w14:textId="2BAEFB65" w:rsidR="00712B0C" w:rsidRDefault="00106D1F" w:rsidP="00106D1F">
      <w:pPr>
        <w:tabs>
          <w:tab w:val="left" w:pos="720"/>
          <w:tab w:val="left" w:pos="1440"/>
          <w:tab w:val="left" w:pos="2160"/>
          <w:tab w:val="right" w:pos="9026"/>
        </w:tabs>
        <w:rPr>
          <w:rFonts w:ascii="Arial" w:eastAsia="Times New Roman" w:hAnsi="Arial" w:cs="Arial"/>
          <w:color w:val="000000"/>
          <w:sz w:val="24"/>
          <w:szCs w:val="24"/>
          <w:lang w:eastAsia="en-ZA"/>
        </w:rPr>
      </w:pPr>
      <w:r>
        <w:rPr>
          <w:rFonts w:ascii="Arial" w:hAnsi="Arial" w:cs="Arial"/>
          <w:bCs/>
          <w:sz w:val="24"/>
          <w:szCs w:val="24"/>
        </w:rPr>
        <w:t>[1]</w:t>
      </w:r>
      <w:r w:rsidR="00401BE4">
        <w:rPr>
          <w:rFonts w:ascii="Arial" w:hAnsi="Arial" w:cs="Arial"/>
          <w:bCs/>
          <w:sz w:val="24"/>
          <w:szCs w:val="24"/>
        </w:rPr>
        <w:tab/>
        <w:t xml:space="preserve">This appeal concerns the crisp issue whether </w:t>
      </w:r>
      <w:r w:rsidR="00AB1403">
        <w:rPr>
          <w:rFonts w:ascii="Arial" w:hAnsi="Arial" w:cs="Arial"/>
          <w:bCs/>
          <w:sz w:val="24"/>
          <w:szCs w:val="24"/>
        </w:rPr>
        <w:t>a</w:t>
      </w:r>
      <w:r w:rsidR="00401BE4">
        <w:rPr>
          <w:rFonts w:ascii="Arial" w:hAnsi="Arial" w:cs="Arial"/>
          <w:bCs/>
          <w:sz w:val="24"/>
          <w:szCs w:val="24"/>
        </w:rPr>
        <w:t xml:space="preserve"> written sale of land agreement </w:t>
      </w:r>
      <w:r w:rsidR="00B020B7">
        <w:rPr>
          <w:rFonts w:ascii="Arial" w:eastAsia="Times New Roman" w:hAnsi="Arial" w:cs="Arial"/>
          <w:color w:val="000000"/>
          <w:sz w:val="24"/>
          <w:szCs w:val="24"/>
          <w:lang w:eastAsia="en-ZA"/>
        </w:rPr>
        <w:t>is</w:t>
      </w:r>
      <w:r w:rsidR="00AB1403">
        <w:rPr>
          <w:rFonts w:ascii="Arial" w:eastAsia="Times New Roman" w:hAnsi="Arial" w:cs="Arial"/>
          <w:color w:val="000000"/>
          <w:sz w:val="24"/>
          <w:szCs w:val="24"/>
          <w:lang w:eastAsia="en-ZA"/>
        </w:rPr>
        <w:t xml:space="preserve"> null and void </w:t>
      </w:r>
      <w:r w:rsidR="00AB1403">
        <w:rPr>
          <w:rFonts w:ascii="Arial" w:eastAsia="Times New Roman" w:hAnsi="Arial" w:cs="Arial"/>
          <w:i/>
          <w:iCs/>
          <w:color w:val="000000"/>
          <w:sz w:val="24"/>
          <w:szCs w:val="24"/>
          <w:lang w:eastAsia="en-ZA"/>
        </w:rPr>
        <w:t xml:space="preserve">ab initio </w:t>
      </w:r>
      <w:r w:rsidR="002E1171">
        <w:rPr>
          <w:rFonts w:ascii="Arial" w:hAnsi="Arial" w:cs="Arial"/>
          <w:color w:val="000000" w:themeColor="text1"/>
          <w:sz w:val="24"/>
          <w:szCs w:val="24"/>
        </w:rPr>
        <w:t>due to</w:t>
      </w:r>
      <w:r w:rsidR="00AB1403">
        <w:rPr>
          <w:rFonts w:ascii="Arial" w:hAnsi="Arial" w:cs="Arial"/>
          <w:color w:val="000000" w:themeColor="text1"/>
          <w:sz w:val="24"/>
          <w:szCs w:val="24"/>
        </w:rPr>
        <w:t xml:space="preserve"> non-compliance with s 2(1) of the Alienation of Land Act </w:t>
      </w:r>
      <w:r w:rsidR="00AB1403">
        <w:rPr>
          <w:rFonts w:ascii="Arial" w:hAnsi="Arial" w:cs="Arial"/>
          <w:bCs/>
          <w:sz w:val="24"/>
          <w:szCs w:val="24"/>
        </w:rPr>
        <w:t xml:space="preserve">68 of 1981 (the Act) </w:t>
      </w:r>
      <w:r w:rsidR="00AB1403">
        <w:rPr>
          <w:rFonts w:ascii="Arial" w:hAnsi="Arial" w:cs="Arial"/>
          <w:color w:val="000000" w:themeColor="text1"/>
          <w:sz w:val="24"/>
          <w:szCs w:val="24"/>
        </w:rPr>
        <w:t xml:space="preserve">and for </w:t>
      </w:r>
      <w:r w:rsidR="00B020B7">
        <w:rPr>
          <w:rFonts w:ascii="Arial" w:hAnsi="Arial" w:cs="Arial"/>
          <w:color w:val="000000" w:themeColor="text1"/>
          <w:sz w:val="24"/>
          <w:szCs w:val="24"/>
        </w:rPr>
        <w:t>want</w:t>
      </w:r>
      <w:r w:rsidR="00AB1403">
        <w:rPr>
          <w:rFonts w:ascii="Arial" w:hAnsi="Arial" w:cs="Arial"/>
          <w:color w:val="000000" w:themeColor="text1"/>
          <w:sz w:val="24"/>
          <w:szCs w:val="24"/>
        </w:rPr>
        <w:t xml:space="preserve"> of </w:t>
      </w:r>
      <w:r w:rsidR="00AB1403">
        <w:rPr>
          <w:rFonts w:ascii="Arial" w:hAnsi="Arial" w:cs="Arial"/>
          <w:i/>
          <w:iCs/>
          <w:color w:val="000000" w:themeColor="text1"/>
          <w:sz w:val="24"/>
          <w:szCs w:val="24"/>
        </w:rPr>
        <w:t xml:space="preserve">consensus </w:t>
      </w:r>
      <w:r w:rsidR="00AB1403">
        <w:rPr>
          <w:rFonts w:ascii="Arial" w:hAnsi="Arial" w:cs="Arial"/>
          <w:color w:val="000000" w:themeColor="text1"/>
          <w:sz w:val="24"/>
          <w:szCs w:val="24"/>
        </w:rPr>
        <w:t xml:space="preserve">between the parties in respect of the </w:t>
      </w:r>
      <w:r w:rsidR="00AB1403">
        <w:rPr>
          <w:rFonts w:ascii="Arial" w:hAnsi="Arial" w:cs="Arial"/>
          <w:i/>
          <w:iCs/>
          <w:color w:val="000000" w:themeColor="text1"/>
          <w:sz w:val="24"/>
          <w:szCs w:val="24"/>
        </w:rPr>
        <w:t>merx</w:t>
      </w:r>
      <w:r w:rsidR="00AB1403">
        <w:rPr>
          <w:rFonts w:ascii="Arial" w:hAnsi="Arial" w:cs="Arial"/>
          <w:color w:val="000000" w:themeColor="text1"/>
          <w:sz w:val="24"/>
          <w:szCs w:val="24"/>
        </w:rPr>
        <w:t>.</w:t>
      </w:r>
      <w:r w:rsidR="00AB1403">
        <w:rPr>
          <w:rFonts w:ascii="Arial" w:eastAsia="Times New Roman" w:hAnsi="Arial" w:cs="Arial"/>
          <w:color w:val="000000"/>
          <w:sz w:val="24"/>
          <w:szCs w:val="24"/>
          <w:lang w:eastAsia="en-ZA"/>
        </w:rPr>
        <w:t xml:space="preserve"> </w:t>
      </w:r>
    </w:p>
    <w:p w14:paraId="22AD3E42" w14:textId="77777777" w:rsidR="00712B0C" w:rsidRDefault="00712B0C" w:rsidP="00106D1F">
      <w:pPr>
        <w:tabs>
          <w:tab w:val="left" w:pos="720"/>
          <w:tab w:val="left" w:pos="1440"/>
          <w:tab w:val="left" w:pos="2160"/>
          <w:tab w:val="right" w:pos="9026"/>
        </w:tabs>
        <w:rPr>
          <w:rFonts w:ascii="Arial" w:eastAsia="Times New Roman" w:hAnsi="Arial" w:cs="Arial"/>
          <w:color w:val="000000"/>
          <w:sz w:val="24"/>
          <w:szCs w:val="24"/>
          <w:lang w:eastAsia="en-ZA"/>
        </w:rPr>
      </w:pPr>
    </w:p>
    <w:p w14:paraId="4CAA97A2" w14:textId="62761217" w:rsidR="00926AB2" w:rsidRDefault="00F7094B" w:rsidP="00106D1F">
      <w:pPr>
        <w:tabs>
          <w:tab w:val="left" w:pos="720"/>
          <w:tab w:val="left" w:pos="1440"/>
          <w:tab w:val="left" w:pos="2160"/>
          <w:tab w:val="right" w:pos="9026"/>
        </w:tabs>
        <w:rPr>
          <w:rFonts w:ascii="Arial" w:hAnsi="Arial" w:cs="Arial"/>
          <w:bCs/>
          <w:sz w:val="24"/>
          <w:szCs w:val="24"/>
        </w:rPr>
      </w:pPr>
      <w:r>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ab/>
      </w:r>
      <w:r w:rsidR="005E7CE0" w:rsidRPr="009623C5">
        <w:rPr>
          <w:rFonts w:ascii="Arial" w:hAnsi="Arial" w:cs="Arial"/>
          <w:bCs/>
          <w:sz w:val="24"/>
          <w:szCs w:val="24"/>
        </w:rPr>
        <w:t>The</w:t>
      </w:r>
      <w:r w:rsidR="00F61CE8">
        <w:rPr>
          <w:rFonts w:ascii="Arial" w:hAnsi="Arial" w:cs="Arial"/>
          <w:bCs/>
          <w:sz w:val="24"/>
          <w:szCs w:val="24"/>
        </w:rPr>
        <w:t xml:space="preserve"> appeal </w:t>
      </w:r>
      <w:r w:rsidR="005E7CE0" w:rsidRPr="009623C5">
        <w:rPr>
          <w:rFonts w:ascii="Arial" w:hAnsi="Arial" w:cs="Arial"/>
          <w:bCs/>
          <w:sz w:val="24"/>
          <w:szCs w:val="24"/>
        </w:rPr>
        <w:t>is</w:t>
      </w:r>
      <w:r w:rsidR="005E7CE0">
        <w:rPr>
          <w:rFonts w:ascii="Arial" w:hAnsi="Arial" w:cs="Arial"/>
          <w:bCs/>
          <w:sz w:val="24"/>
          <w:szCs w:val="24"/>
        </w:rPr>
        <w:t xml:space="preserve"> </w:t>
      </w:r>
      <w:r w:rsidR="00F61CE8">
        <w:rPr>
          <w:rFonts w:ascii="Arial" w:hAnsi="Arial" w:cs="Arial"/>
          <w:bCs/>
          <w:sz w:val="24"/>
          <w:szCs w:val="24"/>
        </w:rPr>
        <w:t xml:space="preserve">against the whole judgment and order of the Western Cape Division </w:t>
      </w:r>
      <w:r w:rsidR="00F61CE8" w:rsidRPr="00501A3C">
        <w:rPr>
          <w:rFonts w:ascii="Arial" w:hAnsi="Arial" w:cs="Arial"/>
          <w:bCs/>
          <w:sz w:val="24"/>
          <w:szCs w:val="24"/>
        </w:rPr>
        <w:t xml:space="preserve">of the High Court, </w:t>
      </w:r>
      <w:r w:rsidR="00F61CE8">
        <w:rPr>
          <w:rFonts w:ascii="Arial" w:hAnsi="Arial" w:cs="Arial"/>
          <w:bCs/>
          <w:sz w:val="24"/>
          <w:szCs w:val="24"/>
        </w:rPr>
        <w:t xml:space="preserve">Cape Town (the high court) delivered on 18 August 2021. </w:t>
      </w:r>
      <w:r w:rsidR="00F61CE8" w:rsidRPr="003C7545">
        <w:rPr>
          <w:rFonts w:ascii="Arial" w:hAnsi="Arial" w:cs="Arial"/>
          <w:bCs/>
          <w:sz w:val="24"/>
          <w:szCs w:val="24"/>
        </w:rPr>
        <w:t xml:space="preserve">The first and second appellants, Mr Chavonnes Badenhorst St Clair Cooper and </w:t>
      </w:r>
      <w:r w:rsidR="009A51FE" w:rsidRPr="003C7545">
        <w:rPr>
          <w:rFonts w:ascii="Arial" w:hAnsi="Arial" w:cs="Arial"/>
          <w:bCs/>
          <w:sz w:val="24"/>
          <w:szCs w:val="24"/>
        </w:rPr>
        <w:t xml:space="preserve">Ms </w:t>
      </w:r>
      <w:r w:rsidR="00F61CE8" w:rsidRPr="003C7545">
        <w:rPr>
          <w:rFonts w:ascii="Arial" w:hAnsi="Arial" w:cs="Arial"/>
          <w:bCs/>
          <w:sz w:val="24"/>
          <w:szCs w:val="24"/>
        </w:rPr>
        <w:t>Sumiya Abdool Gafaa</w:t>
      </w:r>
      <w:r w:rsidR="0060536C" w:rsidRPr="003C7545">
        <w:rPr>
          <w:rFonts w:ascii="Arial" w:hAnsi="Arial" w:cs="Arial"/>
          <w:bCs/>
          <w:sz w:val="24"/>
          <w:szCs w:val="24"/>
        </w:rPr>
        <w:t>f</w:t>
      </w:r>
      <w:r w:rsidR="00F61CE8" w:rsidRPr="003C7545">
        <w:rPr>
          <w:rFonts w:ascii="Arial" w:hAnsi="Arial" w:cs="Arial"/>
          <w:bCs/>
          <w:sz w:val="24"/>
          <w:szCs w:val="24"/>
        </w:rPr>
        <w:t xml:space="preserve"> Khammisa N</w:t>
      </w:r>
      <w:r w:rsidR="007B6201" w:rsidRPr="003C7545">
        <w:rPr>
          <w:rFonts w:ascii="Arial" w:hAnsi="Arial" w:cs="Arial"/>
          <w:bCs/>
          <w:sz w:val="24"/>
          <w:szCs w:val="24"/>
        </w:rPr>
        <w:t xml:space="preserve"> </w:t>
      </w:r>
      <w:r w:rsidR="00F61CE8" w:rsidRPr="003C7545">
        <w:rPr>
          <w:rFonts w:ascii="Arial" w:hAnsi="Arial" w:cs="Arial"/>
          <w:bCs/>
          <w:sz w:val="24"/>
          <w:szCs w:val="24"/>
        </w:rPr>
        <w:t>N</w:t>
      </w:r>
      <w:r w:rsidR="007B6201" w:rsidRPr="003C7545">
        <w:rPr>
          <w:rFonts w:ascii="Arial" w:hAnsi="Arial" w:cs="Arial"/>
          <w:bCs/>
          <w:sz w:val="24"/>
          <w:szCs w:val="24"/>
        </w:rPr>
        <w:t xml:space="preserve"> </w:t>
      </w:r>
      <w:r w:rsidR="00F61CE8" w:rsidRPr="003C7545">
        <w:rPr>
          <w:rFonts w:ascii="Arial" w:hAnsi="Arial" w:cs="Arial"/>
          <w:bCs/>
          <w:sz w:val="24"/>
          <w:szCs w:val="24"/>
        </w:rPr>
        <w:t xml:space="preserve">O, </w:t>
      </w:r>
      <w:r w:rsidR="00D85E80" w:rsidRPr="003C7545">
        <w:rPr>
          <w:rFonts w:ascii="Arial" w:hAnsi="Arial" w:cs="Arial"/>
          <w:bCs/>
          <w:sz w:val="24"/>
          <w:szCs w:val="24"/>
        </w:rPr>
        <w:t>are the</w:t>
      </w:r>
      <w:r w:rsidR="00F61CE8" w:rsidRPr="003C7545">
        <w:rPr>
          <w:rFonts w:ascii="Arial" w:hAnsi="Arial" w:cs="Arial"/>
          <w:bCs/>
          <w:sz w:val="24"/>
          <w:szCs w:val="24"/>
        </w:rPr>
        <w:t xml:space="preserve"> joint liquidators </w:t>
      </w:r>
      <w:r w:rsidR="008F12B6" w:rsidRPr="003C7545">
        <w:rPr>
          <w:rFonts w:ascii="Arial" w:hAnsi="Arial" w:cs="Arial"/>
          <w:bCs/>
          <w:sz w:val="24"/>
          <w:szCs w:val="24"/>
        </w:rPr>
        <w:t xml:space="preserve">(the liquidators) </w:t>
      </w:r>
      <w:r w:rsidR="00B020B7" w:rsidRPr="003C7545">
        <w:rPr>
          <w:rFonts w:ascii="Arial" w:hAnsi="Arial" w:cs="Arial"/>
          <w:bCs/>
          <w:sz w:val="24"/>
          <w:szCs w:val="24"/>
        </w:rPr>
        <w:t xml:space="preserve">of </w:t>
      </w:r>
      <w:r w:rsidR="008F12B6" w:rsidRPr="003C7545">
        <w:rPr>
          <w:rFonts w:ascii="Arial" w:hAnsi="Arial" w:cs="Arial"/>
          <w:bCs/>
          <w:sz w:val="24"/>
          <w:szCs w:val="24"/>
        </w:rPr>
        <w:t>Nomic</w:t>
      </w:r>
      <w:r w:rsidR="0098425C" w:rsidRPr="003C7545">
        <w:rPr>
          <w:rFonts w:ascii="Arial" w:hAnsi="Arial" w:cs="Arial"/>
          <w:bCs/>
          <w:sz w:val="24"/>
          <w:szCs w:val="24"/>
        </w:rPr>
        <w:t xml:space="preserve"> </w:t>
      </w:r>
      <w:r w:rsidR="008F12B6" w:rsidRPr="003C7545">
        <w:rPr>
          <w:rFonts w:ascii="Arial" w:hAnsi="Arial" w:cs="Arial"/>
          <w:bCs/>
          <w:sz w:val="24"/>
          <w:szCs w:val="24"/>
        </w:rPr>
        <w:t>151 (Pty) Ltd (in liquidation) (Nomic)</w:t>
      </w:r>
      <w:r w:rsidR="00C10098" w:rsidRPr="003C7545">
        <w:rPr>
          <w:rFonts w:ascii="Arial" w:hAnsi="Arial" w:cs="Arial"/>
          <w:bCs/>
          <w:sz w:val="24"/>
          <w:szCs w:val="24"/>
        </w:rPr>
        <w:t>. T</w:t>
      </w:r>
      <w:r w:rsidR="008F12B6" w:rsidRPr="003C7545">
        <w:rPr>
          <w:rFonts w:ascii="Arial" w:hAnsi="Arial" w:cs="Arial"/>
          <w:bCs/>
          <w:sz w:val="24"/>
          <w:szCs w:val="24"/>
        </w:rPr>
        <w:t>he respondent</w:t>
      </w:r>
      <w:r w:rsidR="00193ECD" w:rsidRPr="003C7545">
        <w:rPr>
          <w:rFonts w:ascii="Arial" w:hAnsi="Arial" w:cs="Arial"/>
          <w:bCs/>
          <w:sz w:val="24"/>
          <w:szCs w:val="24"/>
        </w:rPr>
        <w:t xml:space="preserve"> is</w:t>
      </w:r>
      <w:r w:rsidR="008F12B6" w:rsidRPr="003C7545">
        <w:rPr>
          <w:rFonts w:ascii="Arial" w:hAnsi="Arial" w:cs="Arial"/>
          <w:bCs/>
          <w:sz w:val="24"/>
          <w:szCs w:val="24"/>
        </w:rPr>
        <w:t xml:space="preserve"> Curro Heights Properties (Pty) Ltd (Curro)</w:t>
      </w:r>
      <w:r w:rsidR="00D61DEC" w:rsidRPr="003C7545">
        <w:rPr>
          <w:rFonts w:ascii="Arial" w:hAnsi="Arial" w:cs="Arial"/>
          <w:bCs/>
          <w:sz w:val="24"/>
          <w:szCs w:val="24"/>
        </w:rPr>
        <w:t>,</w:t>
      </w:r>
      <w:r w:rsidR="00DE44B9" w:rsidRPr="003C7545">
        <w:rPr>
          <w:rFonts w:ascii="Arial" w:hAnsi="Arial" w:cs="Arial"/>
          <w:bCs/>
          <w:sz w:val="24"/>
          <w:szCs w:val="24"/>
        </w:rPr>
        <w:t xml:space="preserve"> </w:t>
      </w:r>
      <w:r w:rsidR="00193ECD" w:rsidRPr="003C7545">
        <w:rPr>
          <w:rFonts w:ascii="Arial" w:hAnsi="Arial" w:cs="Arial"/>
          <w:bCs/>
          <w:sz w:val="24"/>
          <w:szCs w:val="24"/>
        </w:rPr>
        <w:t>its sole director being Mr Rhett Molyneux (Mr Molyneux)</w:t>
      </w:r>
      <w:r w:rsidR="003F6EDF" w:rsidRPr="003C7545">
        <w:rPr>
          <w:rFonts w:ascii="Arial" w:hAnsi="Arial" w:cs="Arial"/>
          <w:bCs/>
          <w:sz w:val="24"/>
          <w:szCs w:val="24"/>
        </w:rPr>
        <w:t>.</w:t>
      </w:r>
    </w:p>
    <w:p w14:paraId="182F96F4" w14:textId="77777777" w:rsidR="003C7545" w:rsidRDefault="003C7545" w:rsidP="00106D1F">
      <w:pPr>
        <w:tabs>
          <w:tab w:val="left" w:pos="720"/>
          <w:tab w:val="left" w:pos="1440"/>
          <w:tab w:val="left" w:pos="2160"/>
          <w:tab w:val="right" w:pos="9026"/>
        </w:tabs>
        <w:rPr>
          <w:rFonts w:ascii="Arial" w:hAnsi="Arial" w:cs="Arial"/>
          <w:bCs/>
          <w:sz w:val="24"/>
          <w:szCs w:val="24"/>
        </w:rPr>
      </w:pPr>
    </w:p>
    <w:p w14:paraId="0FBA1D7B" w14:textId="055B4ED0" w:rsidR="00640E58" w:rsidRPr="00AB1403" w:rsidRDefault="007B6201" w:rsidP="00106D1F">
      <w:pPr>
        <w:tabs>
          <w:tab w:val="left" w:pos="720"/>
          <w:tab w:val="left" w:pos="1440"/>
          <w:tab w:val="left" w:pos="2160"/>
          <w:tab w:val="right" w:pos="9026"/>
        </w:tabs>
        <w:rPr>
          <w:rFonts w:ascii="Arial" w:eastAsia="Times New Roman" w:hAnsi="Arial" w:cs="Arial"/>
          <w:color w:val="000000"/>
          <w:sz w:val="24"/>
          <w:szCs w:val="24"/>
          <w:lang w:eastAsia="en-ZA"/>
        </w:rPr>
      </w:pPr>
      <w:r>
        <w:rPr>
          <w:rFonts w:ascii="Arial" w:hAnsi="Arial" w:cs="Arial"/>
          <w:bCs/>
          <w:sz w:val="24"/>
          <w:szCs w:val="24"/>
        </w:rPr>
        <w:lastRenderedPageBreak/>
        <w:t>[3]</w:t>
      </w:r>
      <w:r>
        <w:rPr>
          <w:rFonts w:ascii="Arial" w:hAnsi="Arial" w:cs="Arial"/>
          <w:bCs/>
          <w:sz w:val="24"/>
          <w:szCs w:val="24"/>
        </w:rPr>
        <w:tab/>
      </w:r>
      <w:r w:rsidR="003A051C">
        <w:rPr>
          <w:rFonts w:ascii="Arial" w:hAnsi="Arial" w:cs="Arial"/>
          <w:bCs/>
          <w:sz w:val="24"/>
          <w:szCs w:val="24"/>
        </w:rPr>
        <w:t>The liqu</w:t>
      </w:r>
      <w:r w:rsidR="00F40C2B">
        <w:rPr>
          <w:rFonts w:ascii="Arial" w:hAnsi="Arial" w:cs="Arial"/>
          <w:bCs/>
          <w:sz w:val="24"/>
          <w:szCs w:val="24"/>
        </w:rPr>
        <w:t>i</w:t>
      </w:r>
      <w:r w:rsidR="003A051C">
        <w:rPr>
          <w:rFonts w:ascii="Arial" w:hAnsi="Arial" w:cs="Arial"/>
          <w:bCs/>
          <w:sz w:val="24"/>
          <w:szCs w:val="24"/>
        </w:rPr>
        <w:t xml:space="preserve">dators </w:t>
      </w:r>
      <w:r w:rsidR="00F40C2B">
        <w:rPr>
          <w:rFonts w:ascii="Arial" w:hAnsi="Arial" w:cs="Arial"/>
          <w:bCs/>
          <w:sz w:val="24"/>
          <w:szCs w:val="24"/>
        </w:rPr>
        <w:t xml:space="preserve">and Curro </w:t>
      </w:r>
      <w:r w:rsidR="008F12B6">
        <w:rPr>
          <w:rFonts w:ascii="Arial" w:hAnsi="Arial" w:cs="Arial"/>
          <w:bCs/>
          <w:sz w:val="24"/>
          <w:szCs w:val="24"/>
        </w:rPr>
        <w:t xml:space="preserve">concluded a written sale of land agreement in terms whereof the liquidators sold certain land </w:t>
      </w:r>
      <w:r w:rsidR="00B020B7">
        <w:rPr>
          <w:rFonts w:ascii="Arial" w:hAnsi="Arial" w:cs="Arial"/>
          <w:bCs/>
          <w:sz w:val="24"/>
          <w:szCs w:val="24"/>
        </w:rPr>
        <w:t xml:space="preserve">that fell into </w:t>
      </w:r>
      <w:r w:rsidR="008F12B6">
        <w:rPr>
          <w:rFonts w:ascii="Arial" w:hAnsi="Arial" w:cs="Arial"/>
          <w:bCs/>
          <w:sz w:val="24"/>
          <w:szCs w:val="24"/>
        </w:rPr>
        <w:t>the estate of Nomic to Curro</w:t>
      </w:r>
      <w:r w:rsidR="00640E58">
        <w:rPr>
          <w:rFonts w:ascii="Arial" w:hAnsi="Arial" w:cs="Arial"/>
          <w:bCs/>
          <w:sz w:val="24"/>
          <w:szCs w:val="24"/>
        </w:rPr>
        <w:t xml:space="preserve"> as part of the winding up</w:t>
      </w:r>
      <w:r w:rsidR="00B020B7">
        <w:rPr>
          <w:rFonts w:ascii="Arial" w:hAnsi="Arial" w:cs="Arial"/>
          <w:bCs/>
          <w:sz w:val="24"/>
          <w:szCs w:val="24"/>
        </w:rPr>
        <w:t xml:space="preserve"> of </w:t>
      </w:r>
      <w:r w:rsidR="002B563C" w:rsidRPr="009623C5">
        <w:rPr>
          <w:rFonts w:ascii="Arial" w:hAnsi="Arial" w:cs="Arial"/>
          <w:bCs/>
          <w:sz w:val="24"/>
          <w:szCs w:val="24"/>
        </w:rPr>
        <w:t>Nomic’</w:t>
      </w:r>
      <w:r w:rsidR="00B020B7" w:rsidRPr="009623C5">
        <w:rPr>
          <w:rFonts w:ascii="Arial" w:hAnsi="Arial" w:cs="Arial"/>
          <w:bCs/>
          <w:sz w:val="24"/>
          <w:szCs w:val="24"/>
        </w:rPr>
        <w:t>s</w:t>
      </w:r>
      <w:r w:rsidR="00B020B7">
        <w:rPr>
          <w:rFonts w:ascii="Arial" w:hAnsi="Arial" w:cs="Arial"/>
          <w:bCs/>
          <w:sz w:val="24"/>
          <w:szCs w:val="24"/>
        </w:rPr>
        <w:t xml:space="preserve"> affairs</w:t>
      </w:r>
      <w:r w:rsidR="008F12B6">
        <w:rPr>
          <w:rFonts w:ascii="Arial" w:hAnsi="Arial" w:cs="Arial"/>
          <w:bCs/>
          <w:sz w:val="24"/>
          <w:szCs w:val="24"/>
        </w:rPr>
        <w:t xml:space="preserve">. </w:t>
      </w:r>
      <w:r w:rsidR="00073E42" w:rsidRPr="009623C5">
        <w:rPr>
          <w:rFonts w:ascii="Arial" w:hAnsi="Arial" w:cs="Arial"/>
          <w:bCs/>
          <w:sz w:val="24"/>
          <w:szCs w:val="24"/>
        </w:rPr>
        <w:t>The liquidators</w:t>
      </w:r>
      <w:r w:rsidR="008F12B6">
        <w:rPr>
          <w:rFonts w:ascii="Arial" w:hAnsi="Arial" w:cs="Arial"/>
          <w:bCs/>
          <w:sz w:val="24"/>
          <w:szCs w:val="24"/>
        </w:rPr>
        <w:t xml:space="preserve"> sought certain declaratory relief from the high court, </w:t>
      </w:r>
      <w:r w:rsidR="008F12B6">
        <w:rPr>
          <w:rFonts w:ascii="Arial" w:hAnsi="Arial" w:cs="Arial"/>
          <w:bCs/>
          <w:i/>
          <w:iCs/>
          <w:sz w:val="24"/>
          <w:szCs w:val="24"/>
        </w:rPr>
        <w:t>inter alia</w:t>
      </w:r>
      <w:r w:rsidR="008F12B6">
        <w:rPr>
          <w:rFonts w:ascii="Arial" w:hAnsi="Arial" w:cs="Arial"/>
          <w:bCs/>
          <w:sz w:val="24"/>
          <w:szCs w:val="24"/>
        </w:rPr>
        <w:t xml:space="preserve"> </w:t>
      </w:r>
      <w:r w:rsidR="00E16E44">
        <w:rPr>
          <w:rFonts w:ascii="Arial" w:hAnsi="Arial" w:cs="Arial"/>
          <w:bCs/>
          <w:sz w:val="24"/>
          <w:szCs w:val="24"/>
        </w:rPr>
        <w:t xml:space="preserve">a declarator that the agreement is invalid </w:t>
      </w:r>
      <w:r w:rsidR="00B020B7">
        <w:rPr>
          <w:rFonts w:ascii="Arial" w:hAnsi="Arial" w:cs="Arial"/>
          <w:bCs/>
          <w:sz w:val="24"/>
          <w:szCs w:val="24"/>
        </w:rPr>
        <w:t>for non-</w:t>
      </w:r>
      <w:r w:rsidR="00E16E44">
        <w:rPr>
          <w:rFonts w:ascii="Arial" w:hAnsi="Arial" w:cs="Arial"/>
          <w:bCs/>
          <w:sz w:val="24"/>
          <w:szCs w:val="24"/>
        </w:rPr>
        <w:t>compliance with s 2(1) of the Act</w:t>
      </w:r>
      <w:r w:rsidR="00D61DEC">
        <w:rPr>
          <w:rFonts w:ascii="Arial" w:hAnsi="Arial" w:cs="Arial"/>
          <w:bCs/>
          <w:sz w:val="24"/>
          <w:szCs w:val="24"/>
        </w:rPr>
        <w:t xml:space="preserve"> or for </w:t>
      </w:r>
      <w:r w:rsidR="00B020B7">
        <w:rPr>
          <w:rFonts w:ascii="Arial" w:hAnsi="Arial" w:cs="Arial"/>
          <w:bCs/>
          <w:sz w:val="24"/>
          <w:szCs w:val="24"/>
        </w:rPr>
        <w:t>want</w:t>
      </w:r>
      <w:r w:rsidR="00D61DEC">
        <w:rPr>
          <w:rFonts w:ascii="Arial" w:hAnsi="Arial" w:cs="Arial"/>
          <w:bCs/>
          <w:sz w:val="24"/>
          <w:szCs w:val="24"/>
        </w:rPr>
        <w:t xml:space="preserve"> of</w:t>
      </w:r>
      <w:r w:rsidR="00D61DEC" w:rsidRPr="00215E1A">
        <w:rPr>
          <w:rFonts w:ascii="Arial" w:hAnsi="Arial" w:cs="Arial"/>
          <w:bCs/>
          <w:sz w:val="24"/>
          <w:szCs w:val="24"/>
        </w:rPr>
        <w:t xml:space="preserve"> consensus</w:t>
      </w:r>
      <w:r w:rsidR="00D61DEC">
        <w:rPr>
          <w:rFonts w:ascii="Arial" w:hAnsi="Arial" w:cs="Arial"/>
          <w:bCs/>
          <w:sz w:val="24"/>
          <w:szCs w:val="24"/>
        </w:rPr>
        <w:t xml:space="preserve"> </w:t>
      </w:r>
      <w:r w:rsidR="004F4614">
        <w:rPr>
          <w:rFonts w:ascii="Arial" w:hAnsi="Arial" w:cs="Arial"/>
          <w:bCs/>
          <w:sz w:val="24"/>
          <w:szCs w:val="24"/>
        </w:rPr>
        <w:t>in respect of</w:t>
      </w:r>
      <w:r w:rsidR="00D61DEC">
        <w:rPr>
          <w:rFonts w:ascii="Arial" w:hAnsi="Arial" w:cs="Arial"/>
          <w:bCs/>
          <w:sz w:val="24"/>
          <w:szCs w:val="24"/>
        </w:rPr>
        <w:t xml:space="preserve"> the </w:t>
      </w:r>
      <w:r w:rsidR="00D61DEC">
        <w:rPr>
          <w:rFonts w:ascii="Arial" w:hAnsi="Arial" w:cs="Arial"/>
          <w:bCs/>
          <w:i/>
          <w:iCs/>
          <w:sz w:val="24"/>
          <w:szCs w:val="24"/>
        </w:rPr>
        <w:t xml:space="preserve">merx </w:t>
      </w:r>
      <w:r w:rsidR="00D61DEC">
        <w:rPr>
          <w:rFonts w:ascii="Arial" w:hAnsi="Arial" w:cs="Arial"/>
          <w:bCs/>
          <w:sz w:val="24"/>
          <w:szCs w:val="24"/>
        </w:rPr>
        <w:t>(the subject-matter of the sale)</w:t>
      </w:r>
      <w:r w:rsidR="00E16E44">
        <w:rPr>
          <w:rFonts w:ascii="Arial" w:hAnsi="Arial" w:cs="Arial"/>
          <w:bCs/>
          <w:sz w:val="24"/>
          <w:szCs w:val="24"/>
        </w:rPr>
        <w:t>. Having found that the agreement complied with s 2(1) of the Act</w:t>
      </w:r>
      <w:r w:rsidR="00D61DEC">
        <w:rPr>
          <w:rFonts w:ascii="Arial" w:hAnsi="Arial" w:cs="Arial"/>
          <w:bCs/>
          <w:sz w:val="24"/>
          <w:szCs w:val="24"/>
        </w:rPr>
        <w:t xml:space="preserve">, that there was such </w:t>
      </w:r>
      <w:r w:rsidR="00D61DEC" w:rsidRPr="00215E1A">
        <w:rPr>
          <w:rFonts w:ascii="Arial" w:hAnsi="Arial" w:cs="Arial"/>
          <w:bCs/>
          <w:sz w:val="24"/>
          <w:szCs w:val="24"/>
        </w:rPr>
        <w:t>consensus</w:t>
      </w:r>
      <w:r w:rsidR="00D61DEC">
        <w:rPr>
          <w:rFonts w:ascii="Arial" w:hAnsi="Arial" w:cs="Arial"/>
          <w:bCs/>
          <w:sz w:val="24"/>
          <w:szCs w:val="24"/>
        </w:rPr>
        <w:t xml:space="preserve"> </w:t>
      </w:r>
      <w:r w:rsidR="00E16E44">
        <w:rPr>
          <w:rFonts w:ascii="Arial" w:hAnsi="Arial" w:cs="Arial"/>
          <w:bCs/>
          <w:sz w:val="24"/>
          <w:szCs w:val="24"/>
        </w:rPr>
        <w:t xml:space="preserve">and that it was not validly cancelled, Goliath DJP dismissed the application and did not make any order as to costs. The appeal </w:t>
      </w:r>
      <w:r w:rsidR="00640E58">
        <w:rPr>
          <w:rFonts w:ascii="Arial" w:hAnsi="Arial" w:cs="Arial"/>
          <w:bCs/>
          <w:sz w:val="24"/>
          <w:szCs w:val="24"/>
        </w:rPr>
        <w:t>is with leave of the high court.</w:t>
      </w:r>
    </w:p>
    <w:p w14:paraId="120DF392" w14:textId="3C45D991" w:rsidR="00640E58" w:rsidRDefault="00640E58" w:rsidP="00106D1F">
      <w:pPr>
        <w:tabs>
          <w:tab w:val="left" w:pos="720"/>
          <w:tab w:val="left" w:pos="1440"/>
          <w:tab w:val="left" w:pos="2160"/>
          <w:tab w:val="right" w:pos="9026"/>
        </w:tabs>
        <w:rPr>
          <w:rFonts w:ascii="Arial" w:hAnsi="Arial" w:cs="Arial"/>
          <w:bCs/>
          <w:sz w:val="24"/>
          <w:szCs w:val="24"/>
        </w:rPr>
      </w:pPr>
    </w:p>
    <w:p w14:paraId="77429E83" w14:textId="66302E03" w:rsidR="0015362A" w:rsidRDefault="00640E58" w:rsidP="00106D1F">
      <w:pPr>
        <w:tabs>
          <w:tab w:val="left" w:pos="720"/>
          <w:tab w:val="left" w:pos="1440"/>
          <w:tab w:val="left" w:pos="2160"/>
          <w:tab w:val="right" w:pos="9026"/>
        </w:tabs>
        <w:rPr>
          <w:rFonts w:ascii="Arial" w:hAnsi="Arial" w:cs="Arial"/>
          <w:bCs/>
          <w:sz w:val="24"/>
          <w:szCs w:val="24"/>
        </w:rPr>
      </w:pPr>
      <w:r>
        <w:rPr>
          <w:rFonts w:ascii="Arial" w:hAnsi="Arial" w:cs="Arial"/>
          <w:bCs/>
          <w:sz w:val="24"/>
          <w:szCs w:val="24"/>
        </w:rPr>
        <w:t>[</w:t>
      </w:r>
      <w:r w:rsidR="002774D0">
        <w:rPr>
          <w:rFonts w:ascii="Arial" w:hAnsi="Arial" w:cs="Arial"/>
          <w:bCs/>
          <w:sz w:val="24"/>
          <w:szCs w:val="24"/>
        </w:rPr>
        <w:t>4</w:t>
      </w:r>
      <w:r>
        <w:rPr>
          <w:rFonts w:ascii="Arial" w:hAnsi="Arial" w:cs="Arial"/>
          <w:bCs/>
          <w:sz w:val="24"/>
          <w:szCs w:val="24"/>
        </w:rPr>
        <w:t>]</w:t>
      </w:r>
      <w:r>
        <w:rPr>
          <w:rFonts w:ascii="Arial" w:hAnsi="Arial" w:cs="Arial"/>
          <w:bCs/>
          <w:sz w:val="24"/>
          <w:szCs w:val="24"/>
        </w:rPr>
        <w:tab/>
        <w:t xml:space="preserve">The land in question </w:t>
      </w:r>
      <w:r w:rsidR="00EF7EC7">
        <w:rPr>
          <w:rFonts w:ascii="Arial" w:hAnsi="Arial" w:cs="Arial"/>
          <w:bCs/>
          <w:sz w:val="24"/>
          <w:szCs w:val="24"/>
        </w:rPr>
        <w:t>is</w:t>
      </w:r>
      <w:r>
        <w:rPr>
          <w:rFonts w:ascii="Arial" w:hAnsi="Arial" w:cs="Arial"/>
          <w:bCs/>
          <w:sz w:val="24"/>
          <w:szCs w:val="24"/>
        </w:rPr>
        <w:t xml:space="preserve"> unimproved erven described as </w:t>
      </w:r>
      <w:r w:rsidR="0015362A">
        <w:rPr>
          <w:rFonts w:ascii="Arial" w:hAnsi="Arial" w:cs="Arial"/>
          <w:bCs/>
          <w:sz w:val="24"/>
          <w:szCs w:val="24"/>
        </w:rPr>
        <w:t>erven</w:t>
      </w:r>
      <w:r>
        <w:rPr>
          <w:rFonts w:ascii="Arial" w:hAnsi="Arial" w:cs="Arial"/>
          <w:bCs/>
          <w:sz w:val="24"/>
          <w:szCs w:val="24"/>
        </w:rPr>
        <w:t xml:space="preserve"> 19548, 19563, 19564 and 19565 in the district of Mossel</w:t>
      </w:r>
      <w:r w:rsidR="008A624F">
        <w:rPr>
          <w:rFonts w:ascii="Arial" w:hAnsi="Arial" w:cs="Arial"/>
          <w:bCs/>
          <w:sz w:val="24"/>
          <w:szCs w:val="24"/>
        </w:rPr>
        <w:t xml:space="preserve"> B</w:t>
      </w:r>
      <w:r>
        <w:rPr>
          <w:rFonts w:ascii="Arial" w:hAnsi="Arial" w:cs="Arial"/>
          <w:bCs/>
          <w:sz w:val="24"/>
          <w:szCs w:val="24"/>
        </w:rPr>
        <w:t>ay, Western Cape</w:t>
      </w:r>
      <w:r w:rsidR="00B70BE7">
        <w:rPr>
          <w:rFonts w:ascii="Arial" w:hAnsi="Arial" w:cs="Arial"/>
          <w:bCs/>
          <w:sz w:val="24"/>
          <w:szCs w:val="24"/>
        </w:rPr>
        <w:t xml:space="preserve"> (the erven)</w:t>
      </w:r>
      <w:r>
        <w:rPr>
          <w:rFonts w:ascii="Arial" w:hAnsi="Arial" w:cs="Arial"/>
          <w:bCs/>
          <w:sz w:val="24"/>
          <w:szCs w:val="24"/>
        </w:rPr>
        <w:t xml:space="preserve">. Erf 19565 is a private ‘ring road’ that provides access to various erven, including </w:t>
      </w:r>
      <w:r w:rsidR="001B6C07">
        <w:rPr>
          <w:rFonts w:ascii="Arial" w:hAnsi="Arial" w:cs="Arial"/>
          <w:bCs/>
          <w:sz w:val="24"/>
          <w:szCs w:val="24"/>
        </w:rPr>
        <w:t xml:space="preserve">other subdivided erven that do not fall within the estate of Nomic. Curro sought to purchase the </w:t>
      </w:r>
      <w:r w:rsidR="004458B4">
        <w:rPr>
          <w:rFonts w:ascii="Arial" w:hAnsi="Arial" w:cs="Arial"/>
          <w:bCs/>
          <w:sz w:val="24"/>
          <w:szCs w:val="24"/>
        </w:rPr>
        <w:t>land</w:t>
      </w:r>
      <w:r w:rsidR="001B6C07">
        <w:rPr>
          <w:rFonts w:ascii="Arial" w:hAnsi="Arial" w:cs="Arial"/>
          <w:bCs/>
          <w:sz w:val="24"/>
          <w:szCs w:val="24"/>
        </w:rPr>
        <w:t xml:space="preserve"> with the aim of subdividing and developing them into residential erven.</w:t>
      </w:r>
      <w:r w:rsidR="006C466C">
        <w:rPr>
          <w:rFonts w:ascii="Arial" w:hAnsi="Arial" w:cs="Arial"/>
          <w:bCs/>
          <w:sz w:val="24"/>
          <w:szCs w:val="24"/>
        </w:rPr>
        <w:t xml:space="preserve"> </w:t>
      </w:r>
    </w:p>
    <w:p w14:paraId="7E115442" w14:textId="77777777" w:rsidR="0015362A" w:rsidRDefault="0015362A" w:rsidP="00106D1F">
      <w:pPr>
        <w:tabs>
          <w:tab w:val="left" w:pos="720"/>
          <w:tab w:val="left" w:pos="1440"/>
          <w:tab w:val="left" w:pos="2160"/>
          <w:tab w:val="right" w:pos="9026"/>
        </w:tabs>
        <w:rPr>
          <w:rFonts w:ascii="Arial" w:hAnsi="Arial" w:cs="Arial"/>
          <w:bCs/>
          <w:sz w:val="24"/>
          <w:szCs w:val="24"/>
        </w:rPr>
      </w:pPr>
    </w:p>
    <w:p w14:paraId="309ED6FC" w14:textId="240B31BF" w:rsidR="007D3B13" w:rsidRDefault="0015362A" w:rsidP="00106D1F">
      <w:pPr>
        <w:tabs>
          <w:tab w:val="left" w:pos="720"/>
          <w:tab w:val="left" w:pos="1440"/>
          <w:tab w:val="left" w:pos="2160"/>
          <w:tab w:val="right" w:pos="9026"/>
        </w:tabs>
        <w:rPr>
          <w:rFonts w:ascii="Arial" w:hAnsi="Arial" w:cs="Arial"/>
          <w:bCs/>
          <w:sz w:val="24"/>
          <w:szCs w:val="24"/>
        </w:rPr>
      </w:pPr>
      <w:r>
        <w:rPr>
          <w:rFonts w:ascii="Arial" w:hAnsi="Arial" w:cs="Arial"/>
          <w:bCs/>
          <w:sz w:val="24"/>
          <w:szCs w:val="24"/>
        </w:rPr>
        <w:t>[</w:t>
      </w:r>
      <w:r w:rsidR="00DD148D">
        <w:rPr>
          <w:rFonts w:ascii="Arial" w:hAnsi="Arial" w:cs="Arial"/>
          <w:bCs/>
          <w:sz w:val="24"/>
          <w:szCs w:val="24"/>
        </w:rPr>
        <w:t>5</w:t>
      </w:r>
      <w:r>
        <w:rPr>
          <w:rFonts w:ascii="Arial" w:hAnsi="Arial" w:cs="Arial"/>
          <w:bCs/>
          <w:sz w:val="24"/>
          <w:szCs w:val="24"/>
        </w:rPr>
        <w:t>]</w:t>
      </w:r>
      <w:r>
        <w:rPr>
          <w:rFonts w:ascii="Arial" w:hAnsi="Arial" w:cs="Arial"/>
          <w:bCs/>
          <w:sz w:val="24"/>
          <w:szCs w:val="24"/>
        </w:rPr>
        <w:tab/>
      </w:r>
      <w:r w:rsidR="00D61DEC">
        <w:rPr>
          <w:rFonts w:ascii="Arial" w:hAnsi="Arial" w:cs="Arial"/>
          <w:bCs/>
          <w:sz w:val="24"/>
          <w:szCs w:val="24"/>
        </w:rPr>
        <w:t>On 8 April 2016</w:t>
      </w:r>
      <w:r>
        <w:rPr>
          <w:rFonts w:ascii="Arial" w:hAnsi="Arial" w:cs="Arial"/>
          <w:bCs/>
          <w:sz w:val="24"/>
          <w:szCs w:val="24"/>
        </w:rPr>
        <w:t>,</w:t>
      </w:r>
      <w:r w:rsidR="006C466C">
        <w:rPr>
          <w:rFonts w:ascii="Arial" w:hAnsi="Arial" w:cs="Arial"/>
          <w:bCs/>
          <w:sz w:val="24"/>
          <w:szCs w:val="24"/>
        </w:rPr>
        <w:t xml:space="preserve"> a written </w:t>
      </w:r>
      <w:r w:rsidR="00894E5D">
        <w:rPr>
          <w:rFonts w:ascii="Arial" w:hAnsi="Arial" w:cs="Arial"/>
          <w:bCs/>
          <w:sz w:val="24"/>
          <w:szCs w:val="24"/>
        </w:rPr>
        <w:t xml:space="preserve">sale of land </w:t>
      </w:r>
      <w:r w:rsidR="006C466C">
        <w:rPr>
          <w:rFonts w:ascii="Arial" w:hAnsi="Arial" w:cs="Arial"/>
          <w:bCs/>
          <w:sz w:val="24"/>
          <w:szCs w:val="24"/>
        </w:rPr>
        <w:t xml:space="preserve">agreement </w:t>
      </w:r>
      <w:r w:rsidR="00D61DEC">
        <w:rPr>
          <w:rFonts w:ascii="Arial" w:hAnsi="Arial" w:cs="Arial"/>
          <w:bCs/>
          <w:sz w:val="24"/>
          <w:szCs w:val="24"/>
        </w:rPr>
        <w:t xml:space="preserve">was </w:t>
      </w:r>
      <w:r w:rsidR="006C466C">
        <w:rPr>
          <w:rFonts w:ascii="Arial" w:hAnsi="Arial" w:cs="Arial"/>
          <w:bCs/>
          <w:sz w:val="24"/>
          <w:szCs w:val="24"/>
        </w:rPr>
        <w:t>concluded</w:t>
      </w:r>
      <w:r w:rsidR="00B94BD3">
        <w:rPr>
          <w:rFonts w:ascii="Arial" w:hAnsi="Arial" w:cs="Arial"/>
          <w:bCs/>
          <w:sz w:val="24"/>
          <w:szCs w:val="24"/>
        </w:rPr>
        <w:t xml:space="preserve"> </w:t>
      </w:r>
      <w:r w:rsidR="006C466C">
        <w:rPr>
          <w:rFonts w:ascii="Arial" w:hAnsi="Arial" w:cs="Arial"/>
          <w:bCs/>
          <w:sz w:val="24"/>
          <w:szCs w:val="24"/>
        </w:rPr>
        <w:t xml:space="preserve">between </w:t>
      </w:r>
      <w:r w:rsidR="00B94BD3">
        <w:rPr>
          <w:rFonts w:ascii="Arial" w:hAnsi="Arial" w:cs="Arial"/>
          <w:bCs/>
          <w:sz w:val="24"/>
          <w:szCs w:val="24"/>
        </w:rPr>
        <w:t xml:space="preserve">the liquidators and </w:t>
      </w:r>
      <w:r w:rsidR="006C466C">
        <w:rPr>
          <w:rFonts w:ascii="Arial" w:hAnsi="Arial" w:cs="Arial"/>
          <w:bCs/>
          <w:sz w:val="24"/>
          <w:szCs w:val="24"/>
        </w:rPr>
        <w:t>Curro (its name at that time was K2</w:t>
      </w:r>
      <w:r w:rsidR="00B94BD3">
        <w:rPr>
          <w:rFonts w:ascii="Arial" w:hAnsi="Arial" w:cs="Arial"/>
          <w:bCs/>
          <w:sz w:val="24"/>
          <w:szCs w:val="24"/>
        </w:rPr>
        <w:t>0</w:t>
      </w:r>
      <w:r w:rsidR="006C466C">
        <w:rPr>
          <w:rFonts w:ascii="Arial" w:hAnsi="Arial" w:cs="Arial"/>
          <w:bCs/>
          <w:sz w:val="24"/>
          <w:szCs w:val="24"/>
        </w:rPr>
        <w:t>15</w:t>
      </w:r>
      <w:r w:rsidR="00B94BD3">
        <w:rPr>
          <w:rFonts w:ascii="Arial" w:hAnsi="Arial" w:cs="Arial"/>
          <w:bCs/>
          <w:sz w:val="24"/>
          <w:szCs w:val="24"/>
        </w:rPr>
        <w:t>420767/07 (Southern Africa) (Pty) Ltd</w:t>
      </w:r>
      <w:r>
        <w:rPr>
          <w:rFonts w:ascii="Arial" w:hAnsi="Arial" w:cs="Arial"/>
          <w:bCs/>
          <w:sz w:val="24"/>
          <w:szCs w:val="24"/>
        </w:rPr>
        <w:t>)</w:t>
      </w:r>
      <w:r w:rsidR="004A20BB">
        <w:rPr>
          <w:rFonts w:ascii="Arial" w:hAnsi="Arial" w:cs="Arial"/>
          <w:bCs/>
          <w:sz w:val="24"/>
          <w:szCs w:val="24"/>
        </w:rPr>
        <w:t xml:space="preserve">, represented </w:t>
      </w:r>
      <w:r w:rsidR="00B46C5C" w:rsidRPr="009623C5">
        <w:rPr>
          <w:rFonts w:ascii="Arial" w:hAnsi="Arial" w:cs="Arial"/>
          <w:bCs/>
          <w:sz w:val="24"/>
          <w:szCs w:val="24"/>
        </w:rPr>
        <w:t>by</w:t>
      </w:r>
      <w:r w:rsidR="00B46C5C">
        <w:rPr>
          <w:rFonts w:ascii="Arial" w:hAnsi="Arial" w:cs="Arial"/>
          <w:bCs/>
          <w:sz w:val="24"/>
          <w:szCs w:val="24"/>
        </w:rPr>
        <w:t xml:space="preserve"> </w:t>
      </w:r>
      <w:r w:rsidR="00D61DEC">
        <w:rPr>
          <w:rFonts w:ascii="Arial" w:hAnsi="Arial" w:cs="Arial"/>
          <w:bCs/>
          <w:sz w:val="24"/>
          <w:szCs w:val="24"/>
        </w:rPr>
        <w:t>Mr Molyneux</w:t>
      </w:r>
      <w:r w:rsidR="00894E5D">
        <w:rPr>
          <w:rFonts w:ascii="Arial" w:hAnsi="Arial" w:cs="Arial"/>
          <w:bCs/>
          <w:sz w:val="24"/>
          <w:szCs w:val="24"/>
        </w:rPr>
        <w:t xml:space="preserve">, in terms whereof the liquidators sold the land to </w:t>
      </w:r>
      <w:r w:rsidR="003628A8">
        <w:rPr>
          <w:rFonts w:ascii="Arial" w:hAnsi="Arial" w:cs="Arial"/>
          <w:bCs/>
          <w:sz w:val="24"/>
          <w:szCs w:val="24"/>
        </w:rPr>
        <w:t>Curro at a purchase price of R5.</w:t>
      </w:r>
      <w:r w:rsidR="00894E5D">
        <w:rPr>
          <w:rFonts w:ascii="Arial" w:hAnsi="Arial" w:cs="Arial"/>
          <w:bCs/>
          <w:sz w:val="24"/>
          <w:szCs w:val="24"/>
        </w:rPr>
        <w:t>5 million plus value added tax (VAT).</w:t>
      </w:r>
      <w:r>
        <w:rPr>
          <w:rFonts w:ascii="Arial" w:hAnsi="Arial" w:cs="Arial"/>
          <w:bCs/>
          <w:sz w:val="24"/>
          <w:szCs w:val="24"/>
        </w:rPr>
        <w:t xml:space="preserve"> </w:t>
      </w:r>
      <w:r w:rsidR="00894E5D">
        <w:rPr>
          <w:rFonts w:ascii="Arial" w:hAnsi="Arial" w:cs="Arial"/>
          <w:bCs/>
          <w:sz w:val="24"/>
          <w:szCs w:val="24"/>
        </w:rPr>
        <w:t xml:space="preserve">The </w:t>
      </w:r>
      <w:r w:rsidR="00894E5D">
        <w:rPr>
          <w:rFonts w:ascii="Arial" w:hAnsi="Arial" w:cs="Arial"/>
          <w:bCs/>
          <w:i/>
          <w:iCs/>
          <w:sz w:val="24"/>
          <w:szCs w:val="24"/>
        </w:rPr>
        <w:t>merx</w:t>
      </w:r>
      <w:r w:rsidR="00894E5D">
        <w:rPr>
          <w:rFonts w:ascii="Arial" w:hAnsi="Arial" w:cs="Arial"/>
          <w:bCs/>
          <w:sz w:val="24"/>
          <w:szCs w:val="24"/>
        </w:rPr>
        <w:t xml:space="preserve"> was recorded to be</w:t>
      </w:r>
      <w:r w:rsidR="007D3B13">
        <w:rPr>
          <w:rFonts w:ascii="Arial" w:hAnsi="Arial" w:cs="Arial"/>
          <w:bCs/>
          <w:sz w:val="24"/>
          <w:szCs w:val="24"/>
        </w:rPr>
        <w:t xml:space="preserve"> </w:t>
      </w:r>
      <w:r w:rsidR="00894E5D">
        <w:rPr>
          <w:rFonts w:ascii="Arial" w:hAnsi="Arial" w:cs="Arial"/>
          <w:bCs/>
          <w:sz w:val="24"/>
          <w:szCs w:val="24"/>
        </w:rPr>
        <w:t>’Road Portion of Erf 195</w:t>
      </w:r>
      <w:r w:rsidR="00894E5D" w:rsidRPr="005017F5">
        <w:rPr>
          <w:rFonts w:ascii="Arial" w:hAnsi="Arial" w:cs="Arial"/>
          <w:bCs/>
          <w:sz w:val="24"/>
          <w:szCs w:val="24"/>
          <w:u w:val="single"/>
        </w:rPr>
        <w:t>5</w:t>
      </w:r>
      <w:r w:rsidR="00894E5D">
        <w:rPr>
          <w:rFonts w:ascii="Arial" w:hAnsi="Arial" w:cs="Arial"/>
          <w:bCs/>
          <w:sz w:val="24"/>
          <w:szCs w:val="24"/>
        </w:rPr>
        <w:t xml:space="preserve">5 Mossel Bay with extent of approximately </w:t>
      </w:r>
      <w:r w:rsidR="00894E5D" w:rsidRPr="00DD2605">
        <w:rPr>
          <w:rFonts w:ascii="Arial" w:hAnsi="Arial" w:cs="Arial"/>
          <w:bCs/>
          <w:sz w:val="24"/>
          <w:szCs w:val="24"/>
          <w:u w:val="single"/>
        </w:rPr>
        <w:t>4</w:t>
      </w:r>
      <w:r w:rsidR="0029544E" w:rsidRPr="00DD2605">
        <w:rPr>
          <w:rFonts w:ascii="Arial" w:hAnsi="Arial" w:cs="Arial"/>
          <w:bCs/>
          <w:sz w:val="24"/>
          <w:szCs w:val="24"/>
          <w:u w:val="single"/>
        </w:rPr>
        <w:t> </w:t>
      </w:r>
      <w:r w:rsidR="00894E5D" w:rsidRPr="00DD2605">
        <w:rPr>
          <w:rFonts w:ascii="Arial" w:hAnsi="Arial" w:cs="Arial"/>
          <w:bCs/>
          <w:sz w:val="24"/>
          <w:szCs w:val="24"/>
          <w:u w:val="single"/>
        </w:rPr>
        <w:t>816</w:t>
      </w:r>
      <w:r w:rsidR="0029544E">
        <w:rPr>
          <w:rFonts w:ascii="Arial" w:hAnsi="Arial" w:cs="Arial"/>
          <w:bCs/>
          <w:sz w:val="24"/>
          <w:szCs w:val="24"/>
        </w:rPr>
        <w:t xml:space="preserve"> </w:t>
      </w:r>
      <w:r w:rsidR="00894E5D">
        <w:rPr>
          <w:rFonts w:ascii="Arial" w:hAnsi="Arial" w:cs="Arial"/>
          <w:bCs/>
          <w:sz w:val="24"/>
          <w:szCs w:val="24"/>
        </w:rPr>
        <w:t>m²’</w:t>
      </w:r>
      <w:r w:rsidR="00702E56">
        <w:rPr>
          <w:rFonts w:ascii="Arial" w:hAnsi="Arial" w:cs="Arial"/>
          <w:bCs/>
          <w:sz w:val="24"/>
          <w:szCs w:val="24"/>
        </w:rPr>
        <w:t xml:space="preserve"> (the ring road)</w:t>
      </w:r>
      <w:r w:rsidR="00894E5D">
        <w:rPr>
          <w:rFonts w:ascii="Arial" w:hAnsi="Arial" w:cs="Arial"/>
          <w:bCs/>
          <w:sz w:val="24"/>
          <w:szCs w:val="24"/>
        </w:rPr>
        <w:t>, ‘Erf 1948 Mossel Bay bei</w:t>
      </w:r>
      <w:r w:rsidR="003628A8">
        <w:rPr>
          <w:rFonts w:ascii="Arial" w:hAnsi="Arial" w:cs="Arial"/>
          <w:bCs/>
          <w:sz w:val="24"/>
          <w:szCs w:val="24"/>
        </w:rPr>
        <w:t>ng 3 600m</w:t>
      </w:r>
      <w:r w:rsidR="003628A8" w:rsidRPr="00134C1A">
        <w:rPr>
          <w:rFonts w:ascii="Arial" w:hAnsi="Arial" w:cs="Arial"/>
          <w:bCs/>
          <w:sz w:val="24"/>
          <w:szCs w:val="24"/>
        </w:rPr>
        <w:t>²</w:t>
      </w:r>
      <w:r w:rsidR="003628A8">
        <w:rPr>
          <w:rFonts w:ascii="Arial" w:hAnsi="Arial" w:cs="Arial"/>
          <w:bCs/>
          <w:sz w:val="24"/>
          <w:szCs w:val="24"/>
        </w:rPr>
        <w:t>’, ‘Erf 19563 being 1.</w:t>
      </w:r>
      <w:r w:rsidR="00894E5D">
        <w:rPr>
          <w:rFonts w:ascii="Arial" w:hAnsi="Arial" w:cs="Arial"/>
          <w:bCs/>
          <w:sz w:val="24"/>
          <w:szCs w:val="24"/>
        </w:rPr>
        <w:t>99 Ha’ and ‘Erf 19564 Mossel Bay being 7378</w:t>
      </w:r>
      <w:r w:rsidR="00894E5D" w:rsidRPr="00D95BC6">
        <w:rPr>
          <w:rFonts w:ascii="Arial" w:hAnsi="Arial" w:cs="Arial"/>
          <w:bCs/>
          <w:sz w:val="24"/>
          <w:szCs w:val="24"/>
        </w:rPr>
        <w:t xml:space="preserve"> </w:t>
      </w:r>
      <w:r w:rsidR="00894E5D">
        <w:rPr>
          <w:rFonts w:ascii="Arial" w:hAnsi="Arial" w:cs="Arial"/>
          <w:bCs/>
          <w:sz w:val="24"/>
          <w:szCs w:val="24"/>
        </w:rPr>
        <w:t>m²</w:t>
      </w:r>
      <w:r w:rsidR="00287C7B">
        <w:rPr>
          <w:rFonts w:ascii="Arial" w:hAnsi="Arial" w:cs="Arial"/>
          <w:bCs/>
          <w:sz w:val="24"/>
          <w:szCs w:val="24"/>
        </w:rPr>
        <w:t>’</w:t>
      </w:r>
      <w:r w:rsidR="00894E5D">
        <w:rPr>
          <w:rFonts w:ascii="Arial" w:hAnsi="Arial" w:cs="Arial"/>
          <w:bCs/>
          <w:sz w:val="24"/>
          <w:szCs w:val="24"/>
        </w:rPr>
        <w:t xml:space="preserve">. </w:t>
      </w:r>
      <w:r w:rsidR="007D3B13">
        <w:rPr>
          <w:rFonts w:ascii="Arial" w:hAnsi="Arial" w:cs="Arial"/>
          <w:bCs/>
          <w:sz w:val="24"/>
          <w:szCs w:val="24"/>
        </w:rPr>
        <w:t>After the written sale of land agreement had been concluded, i</w:t>
      </w:r>
      <w:r w:rsidR="00894E5D">
        <w:rPr>
          <w:rFonts w:ascii="Arial" w:hAnsi="Arial" w:cs="Arial"/>
          <w:bCs/>
          <w:sz w:val="24"/>
          <w:szCs w:val="24"/>
        </w:rPr>
        <w:t xml:space="preserve">t was realised that the </w:t>
      </w:r>
      <w:r w:rsidR="007D3B13">
        <w:rPr>
          <w:rFonts w:ascii="Arial" w:hAnsi="Arial" w:cs="Arial"/>
          <w:bCs/>
          <w:sz w:val="24"/>
          <w:szCs w:val="24"/>
        </w:rPr>
        <w:t>measurement</w:t>
      </w:r>
      <w:r w:rsidR="00894E5D">
        <w:rPr>
          <w:rFonts w:ascii="Arial" w:hAnsi="Arial" w:cs="Arial"/>
          <w:bCs/>
          <w:sz w:val="24"/>
          <w:szCs w:val="24"/>
        </w:rPr>
        <w:t xml:space="preserve"> of</w:t>
      </w:r>
      <w:r w:rsidR="007D3B13">
        <w:rPr>
          <w:rFonts w:ascii="Arial" w:hAnsi="Arial" w:cs="Arial"/>
          <w:bCs/>
          <w:sz w:val="24"/>
          <w:szCs w:val="24"/>
        </w:rPr>
        <w:t xml:space="preserve"> </w:t>
      </w:r>
      <w:r w:rsidR="00894E5D">
        <w:rPr>
          <w:rFonts w:ascii="Arial" w:hAnsi="Arial" w:cs="Arial"/>
          <w:bCs/>
          <w:sz w:val="24"/>
          <w:szCs w:val="24"/>
        </w:rPr>
        <w:t>the ring road was incorrectly recorded</w:t>
      </w:r>
      <w:r w:rsidR="007D3B13">
        <w:rPr>
          <w:rFonts w:ascii="Arial" w:hAnsi="Arial" w:cs="Arial"/>
          <w:bCs/>
          <w:sz w:val="24"/>
          <w:szCs w:val="24"/>
        </w:rPr>
        <w:t>. The parties accordingly concluded a written addendum to the written sale of land agreement wherein the measurement of the ring road was rectified to ‘9045 Square Metres’.</w:t>
      </w:r>
      <w:r w:rsidR="00537D69">
        <w:rPr>
          <w:rFonts w:ascii="Arial" w:hAnsi="Arial" w:cs="Arial"/>
          <w:bCs/>
          <w:sz w:val="24"/>
          <w:szCs w:val="24"/>
        </w:rPr>
        <w:t xml:space="preserve"> However, </w:t>
      </w:r>
      <w:r w:rsidR="00537D69" w:rsidRPr="009623C5">
        <w:rPr>
          <w:rFonts w:ascii="Arial" w:hAnsi="Arial" w:cs="Arial"/>
          <w:bCs/>
          <w:sz w:val="24"/>
          <w:szCs w:val="24"/>
        </w:rPr>
        <w:t xml:space="preserve">the parties </w:t>
      </w:r>
      <w:r w:rsidR="00B46C5C" w:rsidRPr="009623C5">
        <w:rPr>
          <w:rFonts w:ascii="Arial" w:hAnsi="Arial" w:cs="Arial"/>
          <w:bCs/>
          <w:sz w:val="24"/>
          <w:szCs w:val="24"/>
        </w:rPr>
        <w:t>did not r</w:t>
      </w:r>
      <w:r w:rsidR="00DE433D" w:rsidRPr="009623C5">
        <w:rPr>
          <w:rFonts w:ascii="Arial" w:hAnsi="Arial" w:cs="Arial"/>
          <w:bCs/>
          <w:sz w:val="24"/>
          <w:szCs w:val="24"/>
        </w:rPr>
        <w:t>e</w:t>
      </w:r>
      <w:r w:rsidR="00B46C5C" w:rsidRPr="009623C5">
        <w:rPr>
          <w:rFonts w:ascii="Arial" w:hAnsi="Arial" w:cs="Arial"/>
          <w:bCs/>
          <w:sz w:val="24"/>
          <w:szCs w:val="24"/>
        </w:rPr>
        <w:t>alise</w:t>
      </w:r>
      <w:r w:rsidR="00B46C5C">
        <w:rPr>
          <w:rFonts w:ascii="Arial" w:hAnsi="Arial" w:cs="Arial"/>
          <w:bCs/>
          <w:sz w:val="24"/>
          <w:szCs w:val="24"/>
        </w:rPr>
        <w:t xml:space="preserve"> </w:t>
      </w:r>
      <w:r w:rsidR="00537D69">
        <w:rPr>
          <w:rFonts w:ascii="Arial" w:hAnsi="Arial" w:cs="Arial"/>
          <w:bCs/>
          <w:sz w:val="24"/>
          <w:szCs w:val="24"/>
        </w:rPr>
        <w:t xml:space="preserve">that the written sale of land agreement also erroneously recorded the </w:t>
      </w:r>
      <w:r>
        <w:rPr>
          <w:rFonts w:ascii="Arial" w:hAnsi="Arial" w:cs="Arial"/>
          <w:bCs/>
          <w:sz w:val="24"/>
          <w:szCs w:val="24"/>
        </w:rPr>
        <w:t>ring road’s e</w:t>
      </w:r>
      <w:r w:rsidR="00537D69">
        <w:rPr>
          <w:rFonts w:ascii="Arial" w:hAnsi="Arial" w:cs="Arial"/>
          <w:bCs/>
          <w:sz w:val="24"/>
          <w:szCs w:val="24"/>
        </w:rPr>
        <w:t>rf number as ‘195</w:t>
      </w:r>
      <w:r w:rsidR="00537D69" w:rsidRPr="00737F12">
        <w:rPr>
          <w:rFonts w:ascii="Arial" w:hAnsi="Arial" w:cs="Arial"/>
          <w:bCs/>
          <w:sz w:val="24"/>
          <w:szCs w:val="24"/>
          <w:u w:val="single"/>
        </w:rPr>
        <w:t>5</w:t>
      </w:r>
      <w:r w:rsidR="00537D69">
        <w:rPr>
          <w:rFonts w:ascii="Arial" w:hAnsi="Arial" w:cs="Arial"/>
          <w:bCs/>
          <w:sz w:val="24"/>
          <w:szCs w:val="24"/>
        </w:rPr>
        <w:t>5’ instead of ‘195</w:t>
      </w:r>
      <w:r w:rsidR="00537D69" w:rsidRPr="00737F12">
        <w:rPr>
          <w:rFonts w:ascii="Arial" w:hAnsi="Arial" w:cs="Arial"/>
          <w:bCs/>
          <w:sz w:val="24"/>
          <w:szCs w:val="24"/>
          <w:u w:val="single"/>
        </w:rPr>
        <w:t>6</w:t>
      </w:r>
      <w:r w:rsidR="00537D69">
        <w:rPr>
          <w:rFonts w:ascii="Arial" w:hAnsi="Arial" w:cs="Arial"/>
          <w:bCs/>
          <w:sz w:val="24"/>
          <w:szCs w:val="24"/>
        </w:rPr>
        <w:t xml:space="preserve">5’. As </w:t>
      </w:r>
      <w:r w:rsidR="007D3B13">
        <w:rPr>
          <w:rFonts w:ascii="Arial" w:hAnsi="Arial" w:cs="Arial"/>
          <w:bCs/>
          <w:sz w:val="24"/>
          <w:szCs w:val="24"/>
        </w:rPr>
        <w:t>a result of</w:t>
      </w:r>
      <w:r w:rsidR="00B94BD3">
        <w:rPr>
          <w:rFonts w:ascii="Arial" w:hAnsi="Arial" w:cs="Arial"/>
          <w:bCs/>
          <w:sz w:val="24"/>
          <w:szCs w:val="24"/>
        </w:rPr>
        <w:t xml:space="preserve"> Curro’s failure to make payment of the deposit</w:t>
      </w:r>
      <w:r>
        <w:rPr>
          <w:rFonts w:ascii="Arial" w:hAnsi="Arial" w:cs="Arial"/>
          <w:bCs/>
          <w:sz w:val="24"/>
          <w:szCs w:val="24"/>
        </w:rPr>
        <w:t>, the</w:t>
      </w:r>
      <w:r w:rsidR="00537D69">
        <w:rPr>
          <w:rFonts w:ascii="Arial" w:hAnsi="Arial" w:cs="Arial"/>
          <w:bCs/>
          <w:sz w:val="24"/>
          <w:szCs w:val="24"/>
        </w:rPr>
        <w:t xml:space="preserve"> written sale of land agreement was cancelled</w:t>
      </w:r>
      <w:r w:rsidR="00B94BD3">
        <w:rPr>
          <w:rFonts w:ascii="Arial" w:hAnsi="Arial" w:cs="Arial"/>
          <w:bCs/>
          <w:sz w:val="24"/>
          <w:szCs w:val="24"/>
        </w:rPr>
        <w:t xml:space="preserve"> (the cancelled agreement).</w:t>
      </w:r>
      <w:r w:rsidR="004A20BB">
        <w:rPr>
          <w:rFonts w:ascii="Arial" w:hAnsi="Arial" w:cs="Arial"/>
          <w:bCs/>
          <w:sz w:val="24"/>
          <w:szCs w:val="24"/>
        </w:rPr>
        <w:t xml:space="preserve"> </w:t>
      </w:r>
    </w:p>
    <w:p w14:paraId="16A10342" w14:textId="77777777" w:rsidR="007D3B13" w:rsidRDefault="007D3B13" w:rsidP="00106D1F">
      <w:pPr>
        <w:tabs>
          <w:tab w:val="left" w:pos="720"/>
          <w:tab w:val="left" w:pos="1440"/>
          <w:tab w:val="left" w:pos="2160"/>
          <w:tab w:val="right" w:pos="9026"/>
        </w:tabs>
        <w:rPr>
          <w:rFonts w:ascii="Arial" w:hAnsi="Arial" w:cs="Arial"/>
          <w:bCs/>
          <w:sz w:val="24"/>
          <w:szCs w:val="24"/>
        </w:rPr>
      </w:pPr>
    </w:p>
    <w:p w14:paraId="5DE3D28F" w14:textId="45B35207" w:rsidR="0055096D" w:rsidRDefault="00537D69" w:rsidP="00106D1F">
      <w:pPr>
        <w:tabs>
          <w:tab w:val="left" w:pos="720"/>
          <w:tab w:val="left" w:pos="1440"/>
          <w:tab w:val="left" w:pos="2160"/>
          <w:tab w:val="right" w:pos="9026"/>
        </w:tabs>
        <w:rPr>
          <w:rFonts w:ascii="Arial" w:hAnsi="Arial" w:cs="Arial"/>
          <w:bCs/>
          <w:sz w:val="24"/>
          <w:szCs w:val="24"/>
        </w:rPr>
      </w:pPr>
      <w:r>
        <w:rPr>
          <w:rFonts w:ascii="Arial" w:hAnsi="Arial" w:cs="Arial"/>
          <w:bCs/>
          <w:sz w:val="24"/>
          <w:szCs w:val="24"/>
        </w:rPr>
        <w:t>[</w:t>
      </w:r>
      <w:r w:rsidR="00DD148D">
        <w:rPr>
          <w:rFonts w:ascii="Arial" w:hAnsi="Arial" w:cs="Arial"/>
          <w:bCs/>
          <w:sz w:val="24"/>
          <w:szCs w:val="24"/>
        </w:rPr>
        <w:t>6</w:t>
      </w:r>
      <w:r>
        <w:rPr>
          <w:rFonts w:ascii="Arial" w:hAnsi="Arial" w:cs="Arial"/>
          <w:bCs/>
          <w:sz w:val="24"/>
          <w:szCs w:val="24"/>
        </w:rPr>
        <w:t>]</w:t>
      </w:r>
      <w:r>
        <w:rPr>
          <w:rFonts w:ascii="Arial" w:hAnsi="Arial" w:cs="Arial"/>
          <w:bCs/>
          <w:sz w:val="24"/>
          <w:szCs w:val="24"/>
        </w:rPr>
        <w:tab/>
      </w:r>
      <w:r w:rsidR="004A20BB">
        <w:rPr>
          <w:rFonts w:ascii="Arial" w:hAnsi="Arial" w:cs="Arial"/>
          <w:bCs/>
          <w:sz w:val="24"/>
          <w:szCs w:val="24"/>
        </w:rPr>
        <w:t>On 1</w:t>
      </w:r>
      <w:r w:rsidR="00300033">
        <w:rPr>
          <w:rFonts w:ascii="Arial" w:hAnsi="Arial" w:cs="Arial"/>
          <w:bCs/>
          <w:sz w:val="24"/>
          <w:szCs w:val="24"/>
        </w:rPr>
        <w:t>4</w:t>
      </w:r>
      <w:r w:rsidR="004A20BB">
        <w:rPr>
          <w:rFonts w:ascii="Arial" w:hAnsi="Arial" w:cs="Arial"/>
          <w:bCs/>
          <w:sz w:val="24"/>
          <w:szCs w:val="24"/>
        </w:rPr>
        <w:t xml:space="preserve"> November 2016</w:t>
      </w:r>
      <w:r w:rsidR="0015362A">
        <w:rPr>
          <w:rFonts w:ascii="Arial" w:hAnsi="Arial" w:cs="Arial"/>
          <w:bCs/>
          <w:sz w:val="24"/>
          <w:szCs w:val="24"/>
        </w:rPr>
        <w:t>,</w:t>
      </w:r>
      <w:r w:rsidR="004A20BB">
        <w:rPr>
          <w:rFonts w:ascii="Arial" w:hAnsi="Arial" w:cs="Arial"/>
          <w:bCs/>
          <w:sz w:val="24"/>
          <w:szCs w:val="24"/>
        </w:rPr>
        <w:t xml:space="preserve"> the liquidators and Curro, represented by Mr Molyneux</w:t>
      </w:r>
      <w:r>
        <w:rPr>
          <w:rFonts w:ascii="Arial" w:hAnsi="Arial" w:cs="Arial"/>
          <w:bCs/>
          <w:sz w:val="24"/>
          <w:szCs w:val="24"/>
        </w:rPr>
        <w:t xml:space="preserve">, concluded yet another written sale of land agreement in terms whereof the same </w:t>
      </w:r>
      <w:r w:rsidR="0015362A">
        <w:rPr>
          <w:rFonts w:ascii="Arial" w:hAnsi="Arial" w:cs="Arial"/>
          <w:bCs/>
          <w:sz w:val="24"/>
          <w:szCs w:val="24"/>
        </w:rPr>
        <w:t>l</w:t>
      </w:r>
      <w:r>
        <w:rPr>
          <w:rFonts w:ascii="Arial" w:hAnsi="Arial" w:cs="Arial"/>
          <w:bCs/>
          <w:sz w:val="24"/>
          <w:szCs w:val="24"/>
        </w:rPr>
        <w:t>and was sold to Curro</w:t>
      </w:r>
      <w:r w:rsidR="004A20BB">
        <w:rPr>
          <w:rFonts w:ascii="Arial" w:hAnsi="Arial" w:cs="Arial"/>
          <w:bCs/>
          <w:sz w:val="24"/>
          <w:szCs w:val="24"/>
        </w:rPr>
        <w:t xml:space="preserve"> </w:t>
      </w:r>
      <w:r w:rsidR="00651918">
        <w:rPr>
          <w:rFonts w:ascii="Arial" w:hAnsi="Arial" w:cs="Arial"/>
          <w:bCs/>
          <w:sz w:val="24"/>
          <w:szCs w:val="24"/>
        </w:rPr>
        <w:t xml:space="preserve">for </w:t>
      </w:r>
      <w:r>
        <w:rPr>
          <w:rFonts w:ascii="Arial" w:hAnsi="Arial" w:cs="Arial"/>
          <w:bCs/>
          <w:sz w:val="24"/>
          <w:szCs w:val="24"/>
        </w:rPr>
        <w:t>a purchase price</w:t>
      </w:r>
      <w:r w:rsidR="0015362A">
        <w:rPr>
          <w:rFonts w:ascii="Arial" w:hAnsi="Arial" w:cs="Arial"/>
          <w:bCs/>
          <w:sz w:val="24"/>
          <w:szCs w:val="24"/>
        </w:rPr>
        <w:t xml:space="preserve"> of</w:t>
      </w:r>
      <w:r>
        <w:rPr>
          <w:rFonts w:ascii="Arial" w:hAnsi="Arial" w:cs="Arial"/>
          <w:bCs/>
          <w:sz w:val="24"/>
          <w:szCs w:val="24"/>
        </w:rPr>
        <w:t xml:space="preserve"> </w:t>
      </w:r>
      <w:r w:rsidR="003628A8">
        <w:rPr>
          <w:rFonts w:ascii="Arial" w:hAnsi="Arial" w:cs="Arial"/>
          <w:bCs/>
          <w:sz w:val="24"/>
          <w:szCs w:val="24"/>
        </w:rPr>
        <w:t>R4.</w:t>
      </w:r>
      <w:r w:rsidR="00651918">
        <w:rPr>
          <w:rFonts w:ascii="Arial" w:hAnsi="Arial" w:cs="Arial"/>
          <w:bCs/>
          <w:sz w:val="24"/>
          <w:szCs w:val="24"/>
        </w:rPr>
        <w:t>5 million</w:t>
      </w:r>
      <w:r>
        <w:rPr>
          <w:rFonts w:ascii="Arial" w:hAnsi="Arial" w:cs="Arial"/>
          <w:bCs/>
          <w:sz w:val="24"/>
          <w:szCs w:val="24"/>
        </w:rPr>
        <w:t xml:space="preserve"> plus VAT (the agreement)</w:t>
      </w:r>
      <w:r w:rsidR="00651918">
        <w:rPr>
          <w:rFonts w:ascii="Arial" w:hAnsi="Arial" w:cs="Arial"/>
          <w:bCs/>
          <w:sz w:val="24"/>
          <w:szCs w:val="24"/>
        </w:rPr>
        <w:t>.</w:t>
      </w:r>
      <w:r w:rsidR="00300033">
        <w:rPr>
          <w:rFonts w:ascii="Arial" w:hAnsi="Arial" w:cs="Arial"/>
          <w:color w:val="000000" w:themeColor="text1"/>
          <w:sz w:val="24"/>
          <w:szCs w:val="24"/>
        </w:rPr>
        <w:t xml:space="preserve"> It </w:t>
      </w:r>
      <w:r w:rsidR="00300033">
        <w:rPr>
          <w:rFonts w:ascii="Arial" w:hAnsi="Arial" w:cs="Arial"/>
          <w:color w:val="000000" w:themeColor="text1"/>
          <w:sz w:val="24"/>
          <w:szCs w:val="24"/>
        </w:rPr>
        <w:lastRenderedPageBreak/>
        <w:t xml:space="preserve">contemplated for the liquidators to receive expeditious payment of the whole purchase price and the passing of ownership of the land to Curro. A deposit of 10% of the purchase </w:t>
      </w:r>
      <w:r w:rsidR="0015362A">
        <w:rPr>
          <w:rFonts w:ascii="Arial" w:hAnsi="Arial" w:cs="Arial"/>
          <w:color w:val="000000" w:themeColor="text1"/>
          <w:sz w:val="24"/>
          <w:szCs w:val="24"/>
        </w:rPr>
        <w:t>consideration</w:t>
      </w:r>
      <w:r w:rsidR="00300033">
        <w:rPr>
          <w:rFonts w:ascii="Arial" w:hAnsi="Arial" w:cs="Arial"/>
          <w:color w:val="000000" w:themeColor="text1"/>
          <w:sz w:val="24"/>
          <w:szCs w:val="24"/>
        </w:rPr>
        <w:t xml:space="preserve">, R450 000, was payable within three days after signature of the agreement and the balance </w:t>
      </w:r>
      <w:r w:rsidR="00520732" w:rsidRPr="000F1C6C">
        <w:rPr>
          <w:rFonts w:ascii="Arial" w:hAnsi="Arial" w:cs="Arial"/>
          <w:color w:val="000000" w:themeColor="text1"/>
          <w:sz w:val="24"/>
          <w:szCs w:val="24"/>
        </w:rPr>
        <w:t>of the</w:t>
      </w:r>
      <w:r w:rsidR="00520732">
        <w:rPr>
          <w:rFonts w:ascii="Arial" w:hAnsi="Arial" w:cs="Arial"/>
          <w:color w:val="000000" w:themeColor="text1"/>
          <w:sz w:val="24"/>
          <w:szCs w:val="24"/>
        </w:rPr>
        <w:t xml:space="preserve"> </w:t>
      </w:r>
      <w:r w:rsidR="00300033">
        <w:rPr>
          <w:rFonts w:ascii="Arial" w:hAnsi="Arial" w:cs="Arial"/>
          <w:color w:val="000000" w:themeColor="text1"/>
          <w:sz w:val="24"/>
          <w:szCs w:val="24"/>
        </w:rPr>
        <w:t xml:space="preserve">purchase price </w:t>
      </w:r>
      <w:r w:rsidR="00B97C63" w:rsidRPr="009623C5">
        <w:rPr>
          <w:rFonts w:ascii="Arial" w:hAnsi="Arial" w:cs="Arial"/>
          <w:color w:val="000000" w:themeColor="text1"/>
          <w:sz w:val="24"/>
          <w:szCs w:val="24"/>
        </w:rPr>
        <w:t>was payable</w:t>
      </w:r>
      <w:r w:rsidR="00B97C63">
        <w:rPr>
          <w:rFonts w:ascii="Arial" w:hAnsi="Arial" w:cs="Arial"/>
          <w:color w:val="000000" w:themeColor="text1"/>
          <w:sz w:val="24"/>
          <w:szCs w:val="24"/>
        </w:rPr>
        <w:t xml:space="preserve"> </w:t>
      </w:r>
      <w:r w:rsidR="00300033">
        <w:rPr>
          <w:rFonts w:ascii="Arial" w:hAnsi="Arial" w:cs="Arial"/>
          <w:color w:val="000000" w:themeColor="text1"/>
          <w:sz w:val="24"/>
          <w:szCs w:val="24"/>
        </w:rPr>
        <w:t>against registration of transfer of the land into the name of Curro. Transfer was to be given ‘as soon as possible but not after 16 JANUARY 2017</w:t>
      </w:r>
      <w:r w:rsidR="006F0848">
        <w:rPr>
          <w:rFonts w:ascii="Arial" w:hAnsi="Arial" w:cs="Arial"/>
          <w:color w:val="000000" w:themeColor="text1"/>
          <w:sz w:val="24"/>
          <w:szCs w:val="24"/>
        </w:rPr>
        <w:t>’</w:t>
      </w:r>
      <w:r w:rsidR="00300033">
        <w:rPr>
          <w:rFonts w:ascii="Arial" w:hAnsi="Arial" w:cs="Arial"/>
          <w:color w:val="000000" w:themeColor="text1"/>
          <w:sz w:val="24"/>
          <w:szCs w:val="24"/>
        </w:rPr>
        <w:t>.</w:t>
      </w:r>
      <w:r w:rsidR="00651918">
        <w:rPr>
          <w:rFonts w:ascii="Arial" w:hAnsi="Arial" w:cs="Arial"/>
          <w:bCs/>
          <w:sz w:val="24"/>
          <w:szCs w:val="24"/>
        </w:rPr>
        <w:t xml:space="preserve"> The same </w:t>
      </w:r>
      <w:r>
        <w:rPr>
          <w:rFonts w:ascii="Arial" w:hAnsi="Arial" w:cs="Arial"/>
          <w:bCs/>
          <w:sz w:val="24"/>
          <w:szCs w:val="24"/>
        </w:rPr>
        <w:t>erroneous</w:t>
      </w:r>
      <w:r w:rsidR="00651918">
        <w:rPr>
          <w:rFonts w:ascii="Arial" w:hAnsi="Arial" w:cs="Arial"/>
          <w:bCs/>
          <w:sz w:val="24"/>
          <w:szCs w:val="24"/>
        </w:rPr>
        <w:t xml:space="preserve"> recordal of the </w:t>
      </w:r>
      <w:r w:rsidR="00FB707B">
        <w:rPr>
          <w:rFonts w:ascii="Arial" w:hAnsi="Arial" w:cs="Arial"/>
          <w:bCs/>
          <w:sz w:val="24"/>
          <w:szCs w:val="24"/>
        </w:rPr>
        <w:t xml:space="preserve">ring road’s </w:t>
      </w:r>
      <w:r w:rsidR="0015362A">
        <w:rPr>
          <w:rFonts w:ascii="Arial" w:hAnsi="Arial" w:cs="Arial"/>
          <w:bCs/>
          <w:sz w:val="24"/>
          <w:szCs w:val="24"/>
        </w:rPr>
        <w:t>e</w:t>
      </w:r>
      <w:r w:rsidR="00651918">
        <w:rPr>
          <w:rFonts w:ascii="Arial" w:hAnsi="Arial" w:cs="Arial"/>
          <w:bCs/>
          <w:sz w:val="24"/>
          <w:szCs w:val="24"/>
        </w:rPr>
        <w:t xml:space="preserve">rf number </w:t>
      </w:r>
      <w:r w:rsidR="00FB707B">
        <w:rPr>
          <w:rFonts w:ascii="Arial" w:hAnsi="Arial" w:cs="Arial"/>
          <w:bCs/>
          <w:sz w:val="24"/>
          <w:szCs w:val="24"/>
        </w:rPr>
        <w:t>crept into</w:t>
      </w:r>
      <w:r w:rsidR="00E57D31">
        <w:rPr>
          <w:rFonts w:ascii="Arial" w:hAnsi="Arial" w:cs="Arial"/>
          <w:bCs/>
          <w:sz w:val="24"/>
          <w:szCs w:val="24"/>
        </w:rPr>
        <w:t xml:space="preserve"> the</w:t>
      </w:r>
      <w:r w:rsidR="00FB707B">
        <w:rPr>
          <w:rFonts w:ascii="Arial" w:hAnsi="Arial" w:cs="Arial"/>
          <w:bCs/>
          <w:sz w:val="24"/>
          <w:szCs w:val="24"/>
        </w:rPr>
        <w:t xml:space="preserve"> </w:t>
      </w:r>
      <w:r w:rsidR="00651918">
        <w:rPr>
          <w:rFonts w:ascii="Arial" w:hAnsi="Arial" w:cs="Arial"/>
          <w:bCs/>
          <w:sz w:val="24"/>
          <w:szCs w:val="24"/>
        </w:rPr>
        <w:t xml:space="preserve">agreement, </w:t>
      </w:r>
      <w:r w:rsidR="00FB707B">
        <w:rPr>
          <w:rFonts w:ascii="Arial" w:hAnsi="Arial" w:cs="Arial"/>
          <w:bCs/>
          <w:sz w:val="24"/>
          <w:szCs w:val="24"/>
        </w:rPr>
        <w:t>although</w:t>
      </w:r>
      <w:r w:rsidR="00651918">
        <w:rPr>
          <w:rFonts w:ascii="Arial" w:hAnsi="Arial" w:cs="Arial"/>
          <w:bCs/>
          <w:sz w:val="24"/>
          <w:szCs w:val="24"/>
        </w:rPr>
        <w:t xml:space="preserve"> </w:t>
      </w:r>
      <w:r w:rsidR="00E57D31">
        <w:rPr>
          <w:rFonts w:ascii="Arial" w:hAnsi="Arial" w:cs="Arial"/>
          <w:bCs/>
          <w:sz w:val="24"/>
          <w:szCs w:val="24"/>
        </w:rPr>
        <w:t xml:space="preserve">this time </w:t>
      </w:r>
      <w:r w:rsidR="00651918">
        <w:rPr>
          <w:rFonts w:ascii="Arial" w:hAnsi="Arial" w:cs="Arial"/>
          <w:bCs/>
          <w:sz w:val="24"/>
          <w:szCs w:val="24"/>
        </w:rPr>
        <w:t>its measurement was correctly recorded. The parties are</w:t>
      </w:r>
      <w:r w:rsidR="00FB707B">
        <w:rPr>
          <w:rFonts w:ascii="Arial" w:hAnsi="Arial" w:cs="Arial"/>
          <w:bCs/>
          <w:sz w:val="24"/>
          <w:szCs w:val="24"/>
        </w:rPr>
        <w:t xml:space="preserve"> </w:t>
      </w:r>
      <w:r w:rsidR="00FB707B">
        <w:rPr>
          <w:rFonts w:ascii="Arial" w:hAnsi="Arial" w:cs="Arial"/>
          <w:bCs/>
          <w:i/>
          <w:iCs/>
          <w:sz w:val="24"/>
          <w:szCs w:val="24"/>
        </w:rPr>
        <w:t>ad idem</w:t>
      </w:r>
      <w:r w:rsidR="00FB707B">
        <w:rPr>
          <w:rFonts w:ascii="Arial" w:hAnsi="Arial" w:cs="Arial"/>
          <w:bCs/>
          <w:sz w:val="24"/>
          <w:szCs w:val="24"/>
        </w:rPr>
        <w:t xml:space="preserve"> that the</w:t>
      </w:r>
      <w:r w:rsidR="005A7DFF">
        <w:rPr>
          <w:rFonts w:ascii="Arial" w:hAnsi="Arial" w:cs="Arial"/>
          <w:bCs/>
          <w:sz w:val="24"/>
          <w:szCs w:val="24"/>
        </w:rPr>
        <w:t xml:space="preserve">ir common intention was to refer to </w:t>
      </w:r>
      <w:r w:rsidR="0015362A">
        <w:rPr>
          <w:rFonts w:ascii="Arial" w:hAnsi="Arial" w:cs="Arial"/>
          <w:bCs/>
          <w:sz w:val="24"/>
          <w:szCs w:val="24"/>
        </w:rPr>
        <w:t>e</w:t>
      </w:r>
      <w:r w:rsidR="005A7DFF">
        <w:rPr>
          <w:rFonts w:ascii="Arial" w:hAnsi="Arial" w:cs="Arial"/>
          <w:bCs/>
          <w:sz w:val="24"/>
          <w:szCs w:val="24"/>
        </w:rPr>
        <w:t>rf ‘195</w:t>
      </w:r>
      <w:r w:rsidR="005A7DFF" w:rsidRPr="0015362A">
        <w:rPr>
          <w:rFonts w:ascii="Arial" w:hAnsi="Arial" w:cs="Arial"/>
          <w:bCs/>
          <w:sz w:val="24"/>
          <w:szCs w:val="24"/>
          <w:u w:val="single"/>
        </w:rPr>
        <w:t>6</w:t>
      </w:r>
      <w:r w:rsidR="005A7DFF">
        <w:rPr>
          <w:rFonts w:ascii="Arial" w:hAnsi="Arial" w:cs="Arial"/>
          <w:bCs/>
          <w:sz w:val="24"/>
          <w:szCs w:val="24"/>
        </w:rPr>
        <w:t>5’</w:t>
      </w:r>
      <w:r w:rsidR="00FB707B">
        <w:rPr>
          <w:rFonts w:ascii="Arial" w:hAnsi="Arial" w:cs="Arial"/>
          <w:bCs/>
          <w:sz w:val="24"/>
          <w:szCs w:val="24"/>
        </w:rPr>
        <w:t xml:space="preserve"> </w:t>
      </w:r>
      <w:r w:rsidR="005A7DFF">
        <w:rPr>
          <w:rFonts w:ascii="Arial" w:hAnsi="Arial" w:cs="Arial"/>
          <w:bCs/>
          <w:sz w:val="24"/>
          <w:szCs w:val="24"/>
        </w:rPr>
        <w:t>and not to ‘195</w:t>
      </w:r>
      <w:r w:rsidR="005A7DFF" w:rsidRPr="0015362A">
        <w:rPr>
          <w:rFonts w:ascii="Arial" w:hAnsi="Arial" w:cs="Arial"/>
          <w:bCs/>
          <w:sz w:val="24"/>
          <w:szCs w:val="24"/>
          <w:u w:val="single"/>
        </w:rPr>
        <w:t>5</w:t>
      </w:r>
      <w:r w:rsidR="005A7DFF">
        <w:rPr>
          <w:rFonts w:ascii="Arial" w:hAnsi="Arial" w:cs="Arial"/>
          <w:bCs/>
          <w:sz w:val="24"/>
          <w:szCs w:val="24"/>
        </w:rPr>
        <w:t>5</w:t>
      </w:r>
      <w:r w:rsidR="00E57D31">
        <w:rPr>
          <w:rFonts w:ascii="Arial" w:hAnsi="Arial" w:cs="Arial"/>
          <w:bCs/>
          <w:sz w:val="24"/>
          <w:szCs w:val="24"/>
        </w:rPr>
        <w:t xml:space="preserve">’. </w:t>
      </w:r>
      <w:r w:rsidR="00DD4797">
        <w:rPr>
          <w:rFonts w:ascii="Arial" w:hAnsi="Arial" w:cs="Arial"/>
          <w:bCs/>
          <w:sz w:val="24"/>
          <w:szCs w:val="24"/>
        </w:rPr>
        <w:t>By Curro’s own admission,</w:t>
      </w:r>
      <w:r w:rsidR="003241B4">
        <w:rPr>
          <w:rFonts w:ascii="Arial" w:hAnsi="Arial" w:cs="Arial"/>
          <w:bCs/>
          <w:sz w:val="24"/>
          <w:szCs w:val="24"/>
        </w:rPr>
        <w:t xml:space="preserve"> the liquidators ‘never intended to sell Erf 19555 and [Curro] also did </w:t>
      </w:r>
      <w:r w:rsidR="00232523" w:rsidRPr="009623C5">
        <w:rPr>
          <w:rFonts w:ascii="Arial" w:hAnsi="Arial" w:cs="Arial"/>
          <w:bCs/>
          <w:sz w:val="24"/>
          <w:szCs w:val="24"/>
        </w:rPr>
        <w:t>not</w:t>
      </w:r>
      <w:r w:rsidR="00232523">
        <w:rPr>
          <w:rFonts w:ascii="Arial" w:hAnsi="Arial" w:cs="Arial"/>
          <w:bCs/>
          <w:sz w:val="24"/>
          <w:szCs w:val="24"/>
        </w:rPr>
        <w:t xml:space="preserve"> </w:t>
      </w:r>
      <w:r w:rsidR="003241B4">
        <w:rPr>
          <w:rFonts w:ascii="Arial" w:hAnsi="Arial" w:cs="Arial"/>
          <w:bCs/>
          <w:sz w:val="24"/>
          <w:szCs w:val="24"/>
        </w:rPr>
        <w:t xml:space="preserve">intend to purchase this </w:t>
      </w:r>
      <w:r w:rsidR="003D152F">
        <w:rPr>
          <w:rFonts w:ascii="Arial" w:hAnsi="Arial" w:cs="Arial"/>
          <w:bCs/>
          <w:sz w:val="24"/>
          <w:szCs w:val="24"/>
        </w:rPr>
        <w:t>e</w:t>
      </w:r>
      <w:r w:rsidR="003241B4">
        <w:rPr>
          <w:rFonts w:ascii="Arial" w:hAnsi="Arial" w:cs="Arial"/>
          <w:bCs/>
          <w:sz w:val="24"/>
          <w:szCs w:val="24"/>
        </w:rPr>
        <w:t>rf</w:t>
      </w:r>
      <w:r w:rsidR="003D152F">
        <w:rPr>
          <w:rFonts w:ascii="Arial" w:hAnsi="Arial" w:cs="Arial"/>
          <w:bCs/>
          <w:sz w:val="24"/>
          <w:szCs w:val="24"/>
        </w:rPr>
        <w:t xml:space="preserve">. The [liquidators] intended to sell Erf 19565 which is the property that fell into the estate of Nomic that had to be wound up’. </w:t>
      </w:r>
    </w:p>
    <w:p w14:paraId="261E1807" w14:textId="77777777" w:rsidR="0055096D" w:rsidRDefault="0055096D" w:rsidP="00106D1F">
      <w:pPr>
        <w:tabs>
          <w:tab w:val="left" w:pos="720"/>
          <w:tab w:val="left" w:pos="1440"/>
          <w:tab w:val="left" w:pos="2160"/>
          <w:tab w:val="right" w:pos="9026"/>
        </w:tabs>
        <w:rPr>
          <w:rFonts w:ascii="Arial" w:hAnsi="Arial" w:cs="Arial"/>
          <w:bCs/>
          <w:sz w:val="24"/>
          <w:szCs w:val="24"/>
        </w:rPr>
      </w:pPr>
    </w:p>
    <w:p w14:paraId="714C5621" w14:textId="6031E174" w:rsidR="00300033" w:rsidRDefault="0055096D" w:rsidP="00106D1F">
      <w:pPr>
        <w:tabs>
          <w:tab w:val="left" w:pos="720"/>
          <w:tab w:val="left" w:pos="1440"/>
          <w:tab w:val="left" w:pos="2160"/>
          <w:tab w:val="right" w:pos="9026"/>
        </w:tabs>
        <w:rPr>
          <w:rFonts w:ascii="Arial" w:hAnsi="Arial" w:cs="Arial"/>
          <w:sz w:val="24"/>
          <w:szCs w:val="24"/>
        </w:rPr>
      </w:pPr>
      <w:r>
        <w:rPr>
          <w:rFonts w:ascii="Arial" w:hAnsi="Arial" w:cs="Arial"/>
          <w:bCs/>
          <w:sz w:val="24"/>
          <w:szCs w:val="24"/>
        </w:rPr>
        <w:t>[</w:t>
      </w:r>
      <w:r w:rsidR="00DD148D">
        <w:rPr>
          <w:rFonts w:ascii="Arial" w:hAnsi="Arial" w:cs="Arial"/>
          <w:bCs/>
          <w:sz w:val="24"/>
          <w:szCs w:val="24"/>
        </w:rPr>
        <w:t>7</w:t>
      </w:r>
      <w:r>
        <w:rPr>
          <w:rFonts w:ascii="Arial" w:hAnsi="Arial" w:cs="Arial"/>
          <w:bCs/>
          <w:sz w:val="24"/>
          <w:szCs w:val="24"/>
        </w:rPr>
        <w:t>]</w:t>
      </w:r>
      <w:r>
        <w:rPr>
          <w:rFonts w:ascii="Arial" w:hAnsi="Arial" w:cs="Arial"/>
          <w:bCs/>
          <w:sz w:val="24"/>
          <w:szCs w:val="24"/>
        </w:rPr>
        <w:tab/>
      </w:r>
      <w:r w:rsidR="003D152F">
        <w:rPr>
          <w:rFonts w:ascii="Arial" w:hAnsi="Arial" w:cs="Arial"/>
          <w:bCs/>
          <w:sz w:val="24"/>
          <w:szCs w:val="24"/>
        </w:rPr>
        <w:t xml:space="preserve">This makes perfect </w:t>
      </w:r>
      <w:r w:rsidR="00583BAB">
        <w:rPr>
          <w:rFonts w:ascii="Arial" w:hAnsi="Arial" w:cs="Arial"/>
          <w:bCs/>
          <w:sz w:val="24"/>
          <w:szCs w:val="24"/>
        </w:rPr>
        <w:t>sense because</w:t>
      </w:r>
      <w:r w:rsidR="00F824A4">
        <w:rPr>
          <w:rFonts w:ascii="Arial" w:hAnsi="Arial" w:cs="Arial"/>
          <w:bCs/>
          <w:sz w:val="24"/>
          <w:szCs w:val="24"/>
        </w:rPr>
        <w:t xml:space="preserve"> ‘[</w:t>
      </w:r>
      <w:r w:rsidR="00583BAB">
        <w:rPr>
          <w:rFonts w:ascii="Arial" w:hAnsi="Arial" w:cs="Arial"/>
          <w:sz w:val="24"/>
          <w:szCs w:val="24"/>
        </w:rPr>
        <w:t>l</w:t>
      </w:r>
      <w:r w:rsidR="00F824A4">
        <w:rPr>
          <w:rFonts w:ascii="Arial" w:hAnsi="Arial" w:cs="Arial"/>
          <w:sz w:val="24"/>
          <w:szCs w:val="24"/>
        </w:rPr>
        <w:t>]</w:t>
      </w:r>
      <w:r w:rsidR="00583BAB" w:rsidRPr="00583BAB">
        <w:rPr>
          <w:rFonts w:ascii="Arial" w:hAnsi="Arial" w:cs="Arial"/>
          <w:sz w:val="24"/>
          <w:szCs w:val="24"/>
        </w:rPr>
        <w:t xml:space="preserve">iquidation proceedings are strictly proceedings to constitute a </w:t>
      </w:r>
      <w:r w:rsidR="00583BAB" w:rsidRPr="0029544E">
        <w:rPr>
          <w:rFonts w:ascii="Arial" w:hAnsi="Arial" w:cs="Arial"/>
          <w:i/>
          <w:iCs/>
          <w:sz w:val="24"/>
          <w:szCs w:val="24"/>
        </w:rPr>
        <w:t>concursus creditorum</w:t>
      </w:r>
      <w:r w:rsidR="00583BAB" w:rsidRPr="00583BAB">
        <w:rPr>
          <w:rFonts w:ascii="Arial" w:hAnsi="Arial" w:cs="Arial"/>
          <w:sz w:val="24"/>
          <w:szCs w:val="24"/>
        </w:rPr>
        <w:t>. The liquidation process continues until the company's affairs have been finally wound up, and the company is dissolved</w:t>
      </w:r>
      <w:r w:rsidR="0029544E">
        <w:rPr>
          <w:rFonts w:ascii="Arial" w:hAnsi="Arial" w:cs="Arial"/>
          <w:sz w:val="24"/>
          <w:szCs w:val="24"/>
        </w:rPr>
        <w:t>’</w:t>
      </w:r>
      <w:r w:rsidR="00583BAB" w:rsidRPr="00583BAB">
        <w:rPr>
          <w:rFonts w:ascii="Arial" w:hAnsi="Arial" w:cs="Arial"/>
          <w:sz w:val="24"/>
          <w:szCs w:val="24"/>
        </w:rPr>
        <w:t>.</w:t>
      </w:r>
      <w:r w:rsidR="0084527B">
        <w:rPr>
          <w:rStyle w:val="FootnoteReference"/>
          <w:rFonts w:ascii="Arial" w:hAnsi="Arial" w:cs="Arial"/>
          <w:bCs/>
          <w:sz w:val="24"/>
          <w:szCs w:val="24"/>
        </w:rPr>
        <w:footnoteReference w:id="1"/>
      </w:r>
      <w:r w:rsidR="0029544E">
        <w:rPr>
          <w:rFonts w:ascii="Arial" w:hAnsi="Arial" w:cs="Arial"/>
          <w:sz w:val="24"/>
          <w:szCs w:val="24"/>
        </w:rPr>
        <w:t xml:space="preserve"> Nomic had been placed </w:t>
      </w:r>
      <w:r w:rsidR="0029544E" w:rsidRPr="000F1C6C">
        <w:rPr>
          <w:rFonts w:ascii="Arial" w:hAnsi="Arial" w:cs="Arial"/>
          <w:sz w:val="24"/>
          <w:szCs w:val="24"/>
        </w:rPr>
        <w:t>in</w:t>
      </w:r>
      <w:r w:rsidR="0029544E">
        <w:rPr>
          <w:rFonts w:ascii="Arial" w:hAnsi="Arial" w:cs="Arial"/>
          <w:sz w:val="24"/>
          <w:szCs w:val="24"/>
        </w:rPr>
        <w:t xml:space="preserve"> liquidation </w:t>
      </w:r>
      <w:r w:rsidR="0084527B">
        <w:rPr>
          <w:rFonts w:ascii="Arial" w:hAnsi="Arial" w:cs="Arial"/>
          <w:sz w:val="24"/>
          <w:szCs w:val="24"/>
        </w:rPr>
        <w:t xml:space="preserve">as far back as </w:t>
      </w:r>
      <w:r w:rsidR="0029544E">
        <w:rPr>
          <w:rFonts w:ascii="Arial" w:hAnsi="Arial" w:cs="Arial"/>
          <w:sz w:val="24"/>
          <w:szCs w:val="24"/>
        </w:rPr>
        <w:t>26 June 2012</w:t>
      </w:r>
      <w:r w:rsidR="0084527B">
        <w:rPr>
          <w:rFonts w:ascii="Arial" w:hAnsi="Arial" w:cs="Arial"/>
          <w:sz w:val="24"/>
          <w:szCs w:val="24"/>
        </w:rPr>
        <w:t xml:space="preserve"> and</w:t>
      </w:r>
      <w:r w:rsidR="0029544E">
        <w:rPr>
          <w:rFonts w:ascii="Arial" w:hAnsi="Arial" w:cs="Arial"/>
          <w:sz w:val="24"/>
          <w:szCs w:val="24"/>
        </w:rPr>
        <w:t xml:space="preserve"> the liquidators</w:t>
      </w:r>
      <w:r w:rsidR="0084527B">
        <w:rPr>
          <w:rFonts w:ascii="Arial" w:hAnsi="Arial" w:cs="Arial"/>
          <w:sz w:val="24"/>
          <w:szCs w:val="24"/>
        </w:rPr>
        <w:t xml:space="preserve"> were </w:t>
      </w:r>
      <w:r w:rsidR="0029544E">
        <w:rPr>
          <w:rFonts w:ascii="Arial" w:hAnsi="Arial" w:cs="Arial"/>
          <w:sz w:val="24"/>
          <w:szCs w:val="24"/>
        </w:rPr>
        <w:t>appointed in March 2013</w:t>
      </w:r>
      <w:r w:rsidR="0084527B">
        <w:rPr>
          <w:rFonts w:ascii="Arial" w:hAnsi="Arial" w:cs="Arial"/>
          <w:sz w:val="24"/>
          <w:szCs w:val="24"/>
        </w:rPr>
        <w:t>. Yet,</w:t>
      </w:r>
      <w:r w:rsidR="0029544E">
        <w:rPr>
          <w:rFonts w:ascii="Arial" w:hAnsi="Arial" w:cs="Arial"/>
          <w:sz w:val="24"/>
          <w:szCs w:val="24"/>
        </w:rPr>
        <w:t xml:space="preserve"> by November 2016 the liquidators had not yet fulfilled their statutory obligations to finally w</w:t>
      </w:r>
      <w:r w:rsidR="00FE6694">
        <w:rPr>
          <w:rFonts w:ascii="Arial" w:hAnsi="Arial" w:cs="Arial"/>
          <w:sz w:val="24"/>
          <w:szCs w:val="24"/>
        </w:rPr>
        <w:t>in</w:t>
      </w:r>
      <w:r w:rsidR="0029544E">
        <w:rPr>
          <w:rFonts w:ascii="Arial" w:hAnsi="Arial" w:cs="Arial"/>
          <w:sz w:val="24"/>
          <w:szCs w:val="24"/>
        </w:rPr>
        <w:t xml:space="preserve">d up its </w:t>
      </w:r>
      <w:r w:rsidR="0029544E" w:rsidRPr="00583BAB">
        <w:rPr>
          <w:rFonts w:ascii="Arial" w:hAnsi="Arial" w:cs="Arial"/>
          <w:sz w:val="24"/>
          <w:szCs w:val="24"/>
        </w:rPr>
        <w:t xml:space="preserve">affairs </w:t>
      </w:r>
      <w:r>
        <w:rPr>
          <w:rFonts w:ascii="Arial" w:hAnsi="Arial" w:cs="Arial"/>
          <w:sz w:val="24"/>
          <w:szCs w:val="24"/>
        </w:rPr>
        <w:t xml:space="preserve">for it to be </w:t>
      </w:r>
      <w:r w:rsidR="0029544E" w:rsidRPr="00583BAB">
        <w:rPr>
          <w:rFonts w:ascii="Arial" w:hAnsi="Arial" w:cs="Arial"/>
          <w:sz w:val="24"/>
          <w:szCs w:val="24"/>
        </w:rPr>
        <w:t>dissolved</w:t>
      </w:r>
      <w:r>
        <w:rPr>
          <w:rFonts w:ascii="Arial" w:hAnsi="Arial" w:cs="Arial"/>
          <w:sz w:val="24"/>
          <w:szCs w:val="24"/>
        </w:rPr>
        <w:t>.</w:t>
      </w:r>
    </w:p>
    <w:p w14:paraId="150F5842" w14:textId="77777777" w:rsidR="00300033" w:rsidRDefault="00300033" w:rsidP="00E53C52">
      <w:pPr>
        <w:tabs>
          <w:tab w:val="left" w:pos="720"/>
          <w:tab w:val="left" w:pos="1440"/>
          <w:tab w:val="left" w:pos="2160"/>
          <w:tab w:val="right" w:pos="9026"/>
        </w:tabs>
        <w:rPr>
          <w:rFonts w:ascii="Arial" w:hAnsi="Arial" w:cs="Arial"/>
          <w:sz w:val="24"/>
          <w:szCs w:val="24"/>
        </w:rPr>
      </w:pPr>
    </w:p>
    <w:p w14:paraId="377FF3B1" w14:textId="171F90F9" w:rsidR="00E57D31" w:rsidRDefault="00300033" w:rsidP="00106D1F">
      <w:pPr>
        <w:tabs>
          <w:tab w:val="left" w:pos="720"/>
          <w:tab w:val="left" w:pos="1440"/>
          <w:tab w:val="left" w:pos="2160"/>
          <w:tab w:val="right" w:pos="9026"/>
        </w:tabs>
        <w:rPr>
          <w:rFonts w:ascii="Arial" w:hAnsi="Arial" w:cs="Arial"/>
          <w:bCs/>
          <w:sz w:val="24"/>
          <w:szCs w:val="24"/>
        </w:rPr>
      </w:pPr>
      <w:r>
        <w:rPr>
          <w:rFonts w:ascii="Arial" w:hAnsi="Arial" w:cs="Arial"/>
          <w:sz w:val="24"/>
          <w:szCs w:val="24"/>
        </w:rPr>
        <w:t>[</w:t>
      </w:r>
      <w:r w:rsidR="007F339A">
        <w:rPr>
          <w:rFonts w:ascii="Arial" w:hAnsi="Arial" w:cs="Arial"/>
          <w:sz w:val="24"/>
          <w:szCs w:val="24"/>
        </w:rPr>
        <w:t>8</w:t>
      </w:r>
      <w:r>
        <w:rPr>
          <w:rFonts w:ascii="Arial" w:hAnsi="Arial" w:cs="Arial"/>
          <w:sz w:val="24"/>
          <w:szCs w:val="24"/>
        </w:rPr>
        <w:t>]</w:t>
      </w:r>
      <w:r>
        <w:rPr>
          <w:rFonts w:ascii="Arial" w:hAnsi="Arial" w:cs="Arial"/>
          <w:sz w:val="24"/>
          <w:szCs w:val="24"/>
        </w:rPr>
        <w:tab/>
        <w:t xml:space="preserve">The difficulties with the sale of the land to Curro commenced soon after the conclusion of the agreement. </w:t>
      </w:r>
      <w:r w:rsidR="00911AA1">
        <w:rPr>
          <w:rFonts w:ascii="Arial" w:hAnsi="Arial" w:cs="Arial"/>
          <w:sz w:val="24"/>
          <w:szCs w:val="24"/>
        </w:rPr>
        <w:t>Curr</w:t>
      </w:r>
      <w:r w:rsidR="00716CFB">
        <w:rPr>
          <w:rFonts w:ascii="Arial" w:hAnsi="Arial" w:cs="Arial"/>
          <w:sz w:val="24"/>
          <w:szCs w:val="24"/>
        </w:rPr>
        <w:t>o</w:t>
      </w:r>
      <w:r>
        <w:rPr>
          <w:rFonts w:ascii="Arial" w:hAnsi="Arial" w:cs="Arial"/>
          <w:sz w:val="24"/>
          <w:szCs w:val="24"/>
        </w:rPr>
        <w:t xml:space="preserve"> failed to pay the R450 000 deposit within three days of </w:t>
      </w:r>
      <w:r w:rsidR="00716CFB">
        <w:rPr>
          <w:rFonts w:ascii="Arial" w:hAnsi="Arial" w:cs="Arial"/>
          <w:sz w:val="24"/>
          <w:szCs w:val="24"/>
        </w:rPr>
        <w:t>the</w:t>
      </w:r>
      <w:r>
        <w:rPr>
          <w:rFonts w:ascii="Arial" w:hAnsi="Arial" w:cs="Arial"/>
          <w:sz w:val="24"/>
          <w:szCs w:val="24"/>
        </w:rPr>
        <w:t xml:space="preserve"> signature date. After payment of the deposit had been demanded by the liqui</w:t>
      </w:r>
      <w:r w:rsidR="00553697">
        <w:rPr>
          <w:rFonts w:ascii="Arial" w:hAnsi="Arial" w:cs="Arial"/>
          <w:sz w:val="24"/>
          <w:szCs w:val="24"/>
        </w:rPr>
        <w:t>dators on 12 December 2016</w:t>
      </w:r>
      <w:r w:rsidR="002B7D89">
        <w:rPr>
          <w:rFonts w:ascii="Arial" w:hAnsi="Arial" w:cs="Arial"/>
          <w:sz w:val="24"/>
          <w:szCs w:val="24"/>
        </w:rPr>
        <w:t>,</w:t>
      </w:r>
      <w:r w:rsidR="00553697">
        <w:rPr>
          <w:rFonts w:ascii="Arial" w:hAnsi="Arial" w:cs="Arial"/>
          <w:sz w:val="24"/>
          <w:szCs w:val="24"/>
        </w:rPr>
        <w:t xml:space="preserve"> and before any steps had been taken by them to cancel the agreement, Curro remedied its breach and paid the deposit. However, the passing of ownership to Curro could no longer occur on or before 16 January 2017 as agreed to in clause 4 of the agreement. </w:t>
      </w:r>
      <w:r w:rsidR="00553697">
        <w:rPr>
          <w:rFonts w:ascii="Arial" w:hAnsi="Arial" w:cs="Arial"/>
          <w:bCs/>
          <w:sz w:val="24"/>
          <w:szCs w:val="24"/>
        </w:rPr>
        <w:t xml:space="preserve">The liquidators were willing to salvage the sale to </w:t>
      </w:r>
      <w:r w:rsidR="002D71DA">
        <w:rPr>
          <w:rFonts w:ascii="Arial" w:hAnsi="Arial" w:cs="Arial"/>
          <w:bCs/>
          <w:sz w:val="24"/>
          <w:szCs w:val="24"/>
        </w:rPr>
        <w:t xml:space="preserve">enable them to </w:t>
      </w:r>
      <w:r w:rsidR="00553697" w:rsidRPr="00583BAB">
        <w:rPr>
          <w:rFonts w:ascii="Arial" w:hAnsi="Arial" w:cs="Arial"/>
          <w:sz w:val="24"/>
          <w:szCs w:val="24"/>
        </w:rPr>
        <w:t>finally w</w:t>
      </w:r>
      <w:r w:rsidR="00D52351">
        <w:rPr>
          <w:rFonts w:ascii="Arial" w:hAnsi="Arial" w:cs="Arial"/>
          <w:sz w:val="24"/>
          <w:szCs w:val="24"/>
        </w:rPr>
        <w:t>i</w:t>
      </w:r>
      <w:r w:rsidR="00553697" w:rsidRPr="00583BAB">
        <w:rPr>
          <w:rFonts w:ascii="Arial" w:hAnsi="Arial" w:cs="Arial"/>
          <w:sz w:val="24"/>
          <w:szCs w:val="24"/>
        </w:rPr>
        <w:t>nd up</w:t>
      </w:r>
      <w:r w:rsidR="00553697">
        <w:rPr>
          <w:rFonts w:ascii="Arial" w:hAnsi="Arial" w:cs="Arial"/>
          <w:bCs/>
          <w:sz w:val="24"/>
          <w:szCs w:val="24"/>
        </w:rPr>
        <w:t xml:space="preserve"> the affairs of Nomic and cause its demise. The parties, therefore, concluded a written addendum to the agreement on</w:t>
      </w:r>
      <w:r w:rsidR="00E148C7">
        <w:rPr>
          <w:rFonts w:ascii="Arial" w:hAnsi="Arial" w:cs="Arial"/>
          <w:bCs/>
          <w:sz w:val="24"/>
          <w:szCs w:val="24"/>
        </w:rPr>
        <w:t xml:space="preserve"> 18 April 2017 (the addendum) in terms whereof clause 4 of the agreement was amended to read that ‘[t]ransfer </w:t>
      </w:r>
      <w:r w:rsidR="002B7D89">
        <w:rPr>
          <w:rFonts w:ascii="Arial" w:hAnsi="Arial" w:cs="Arial"/>
          <w:bCs/>
          <w:sz w:val="24"/>
          <w:szCs w:val="24"/>
        </w:rPr>
        <w:t>s</w:t>
      </w:r>
      <w:r w:rsidR="00E148C7">
        <w:rPr>
          <w:rFonts w:ascii="Arial" w:hAnsi="Arial" w:cs="Arial"/>
          <w:bCs/>
          <w:sz w:val="24"/>
          <w:szCs w:val="24"/>
        </w:rPr>
        <w:t>hall be given a</w:t>
      </w:r>
      <w:r w:rsidR="00E53C52">
        <w:rPr>
          <w:rFonts w:ascii="Arial" w:hAnsi="Arial" w:cs="Arial"/>
          <w:bCs/>
          <w:sz w:val="24"/>
          <w:szCs w:val="24"/>
        </w:rPr>
        <w:t xml:space="preserve">nd taken as soon as possible’. </w:t>
      </w:r>
    </w:p>
    <w:p w14:paraId="1B3EC835" w14:textId="46204F70" w:rsidR="008A624F" w:rsidRDefault="00E57D31" w:rsidP="00692CCD">
      <w:pPr>
        <w:tabs>
          <w:tab w:val="left" w:pos="720"/>
          <w:tab w:val="left" w:pos="1440"/>
          <w:tab w:val="left" w:pos="2160"/>
          <w:tab w:val="right" w:pos="9026"/>
        </w:tabs>
        <w:rPr>
          <w:rFonts w:ascii="Arial" w:hAnsi="Arial" w:cs="Arial"/>
          <w:bCs/>
          <w:sz w:val="24"/>
          <w:szCs w:val="24"/>
        </w:rPr>
      </w:pPr>
      <w:r>
        <w:rPr>
          <w:rFonts w:ascii="Arial" w:hAnsi="Arial" w:cs="Arial"/>
          <w:bCs/>
          <w:sz w:val="24"/>
          <w:szCs w:val="24"/>
        </w:rPr>
        <w:lastRenderedPageBreak/>
        <w:t>[</w:t>
      </w:r>
      <w:r w:rsidR="007F339A">
        <w:rPr>
          <w:rFonts w:ascii="Arial" w:hAnsi="Arial" w:cs="Arial"/>
          <w:bCs/>
          <w:sz w:val="24"/>
          <w:szCs w:val="24"/>
        </w:rPr>
        <w:t>9</w:t>
      </w:r>
      <w:r>
        <w:rPr>
          <w:rFonts w:ascii="Arial" w:hAnsi="Arial" w:cs="Arial"/>
          <w:bCs/>
          <w:sz w:val="24"/>
          <w:szCs w:val="24"/>
        </w:rPr>
        <w:t>]</w:t>
      </w:r>
      <w:r>
        <w:rPr>
          <w:rFonts w:ascii="Arial" w:hAnsi="Arial" w:cs="Arial"/>
          <w:bCs/>
          <w:sz w:val="24"/>
          <w:szCs w:val="24"/>
        </w:rPr>
        <w:tab/>
      </w:r>
      <w:r w:rsidR="00BA1D77">
        <w:rPr>
          <w:rFonts w:ascii="Arial" w:hAnsi="Arial" w:cs="Arial"/>
          <w:bCs/>
          <w:sz w:val="24"/>
          <w:szCs w:val="24"/>
        </w:rPr>
        <w:t>I</w:t>
      </w:r>
      <w:r w:rsidR="005A7DFF">
        <w:rPr>
          <w:rFonts w:ascii="Arial" w:hAnsi="Arial" w:cs="Arial"/>
          <w:bCs/>
          <w:sz w:val="24"/>
          <w:szCs w:val="24"/>
        </w:rPr>
        <w:t xml:space="preserve">t was only during the process of preparing the transfer documents that the erroneous recordal </w:t>
      </w:r>
      <w:r w:rsidR="0055096D">
        <w:rPr>
          <w:rFonts w:ascii="Arial" w:hAnsi="Arial" w:cs="Arial"/>
          <w:bCs/>
          <w:sz w:val="24"/>
          <w:szCs w:val="24"/>
        </w:rPr>
        <w:t xml:space="preserve">of the ring road’s erf number </w:t>
      </w:r>
      <w:r w:rsidR="005A7DFF">
        <w:rPr>
          <w:rFonts w:ascii="Arial" w:hAnsi="Arial" w:cs="Arial"/>
          <w:bCs/>
          <w:sz w:val="24"/>
          <w:szCs w:val="24"/>
        </w:rPr>
        <w:t>was detected. A</w:t>
      </w:r>
      <w:r w:rsidR="00B76DE6">
        <w:rPr>
          <w:rFonts w:ascii="Arial" w:hAnsi="Arial" w:cs="Arial"/>
          <w:bCs/>
          <w:sz w:val="24"/>
          <w:szCs w:val="24"/>
        </w:rPr>
        <w:t>t the behest of the liquidators</w:t>
      </w:r>
      <w:r w:rsidR="00232523" w:rsidRPr="00602B44">
        <w:rPr>
          <w:rFonts w:ascii="Arial" w:hAnsi="Arial" w:cs="Arial"/>
          <w:bCs/>
          <w:sz w:val="24"/>
          <w:szCs w:val="24"/>
        </w:rPr>
        <w:t>,</w:t>
      </w:r>
      <w:r w:rsidR="00B76DE6">
        <w:rPr>
          <w:rFonts w:ascii="Arial" w:hAnsi="Arial" w:cs="Arial"/>
          <w:bCs/>
          <w:sz w:val="24"/>
          <w:szCs w:val="24"/>
        </w:rPr>
        <w:t xml:space="preserve"> a</w:t>
      </w:r>
      <w:r w:rsidR="001E0866">
        <w:rPr>
          <w:rFonts w:ascii="Arial" w:hAnsi="Arial" w:cs="Arial"/>
          <w:bCs/>
          <w:sz w:val="24"/>
          <w:szCs w:val="24"/>
        </w:rPr>
        <w:t xml:space="preserve"> second</w:t>
      </w:r>
      <w:r w:rsidR="00B76DE6">
        <w:rPr>
          <w:rFonts w:ascii="Arial" w:hAnsi="Arial" w:cs="Arial"/>
          <w:bCs/>
          <w:sz w:val="24"/>
          <w:szCs w:val="24"/>
        </w:rPr>
        <w:t xml:space="preserve"> addendum was prepared to correct the erroneous </w:t>
      </w:r>
      <w:r w:rsidR="00445473">
        <w:rPr>
          <w:rFonts w:ascii="Arial" w:hAnsi="Arial" w:cs="Arial"/>
          <w:bCs/>
          <w:sz w:val="24"/>
          <w:szCs w:val="24"/>
        </w:rPr>
        <w:t>recordal</w:t>
      </w:r>
      <w:r w:rsidR="00B76DE6">
        <w:rPr>
          <w:rFonts w:ascii="Arial" w:hAnsi="Arial" w:cs="Arial"/>
          <w:bCs/>
          <w:sz w:val="24"/>
          <w:szCs w:val="24"/>
        </w:rPr>
        <w:t xml:space="preserve"> of the ring road’s erf number. It was signed by the liquidators on 3 May 2017 and sent by their attorneys to Mr Molyneux for his signature on behalf of Curro. </w:t>
      </w:r>
      <w:r w:rsidR="00440666">
        <w:rPr>
          <w:rFonts w:ascii="Arial" w:hAnsi="Arial" w:cs="Arial"/>
          <w:bCs/>
          <w:sz w:val="24"/>
          <w:szCs w:val="24"/>
        </w:rPr>
        <w:t>Mr Molyneux responded by email on 5 June 2017</w:t>
      </w:r>
      <w:r w:rsidR="000F3964" w:rsidRPr="009623C5">
        <w:rPr>
          <w:rFonts w:ascii="Arial" w:hAnsi="Arial" w:cs="Arial"/>
          <w:bCs/>
          <w:sz w:val="24"/>
          <w:szCs w:val="24"/>
        </w:rPr>
        <w:t>,</w:t>
      </w:r>
      <w:r w:rsidR="00440666" w:rsidRPr="009623C5">
        <w:rPr>
          <w:rFonts w:ascii="Arial" w:hAnsi="Arial" w:cs="Arial"/>
          <w:bCs/>
          <w:sz w:val="24"/>
          <w:szCs w:val="24"/>
        </w:rPr>
        <w:t xml:space="preserve"> stating</w:t>
      </w:r>
      <w:r w:rsidR="00692CCD" w:rsidRPr="009623C5">
        <w:rPr>
          <w:rFonts w:ascii="Arial" w:hAnsi="Arial" w:cs="Arial"/>
          <w:bCs/>
          <w:sz w:val="24"/>
          <w:szCs w:val="24"/>
        </w:rPr>
        <w:t xml:space="preserve"> essentially</w:t>
      </w:r>
      <w:r w:rsidR="00440666">
        <w:rPr>
          <w:rFonts w:ascii="Arial" w:hAnsi="Arial" w:cs="Arial"/>
          <w:bCs/>
          <w:sz w:val="24"/>
          <w:szCs w:val="24"/>
        </w:rPr>
        <w:t xml:space="preserve"> that </w:t>
      </w:r>
      <w:r w:rsidR="00692CCD">
        <w:rPr>
          <w:rFonts w:ascii="Arial" w:hAnsi="Arial" w:cs="Arial"/>
          <w:bCs/>
          <w:sz w:val="24"/>
          <w:szCs w:val="24"/>
        </w:rPr>
        <w:t>due to investigations that he did on the preceding Friday (some months after the agreement had been concluded) he realised that erf 19565 extend</w:t>
      </w:r>
      <w:r w:rsidR="00CF63C4">
        <w:rPr>
          <w:rFonts w:ascii="Arial" w:hAnsi="Arial" w:cs="Arial"/>
          <w:bCs/>
          <w:sz w:val="24"/>
          <w:szCs w:val="24"/>
        </w:rPr>
        <w:t>s</w:t>
      </w:r>
      <w:r w:rsidR="00692CCD">
        <w:rPr>
          <w:rFonts w:ascii="Arial" w:hAnsi="Arial" w:cs="Arial"/>
          <w:bCs/>
          <w:sz w:val="24"/>
          <w:szCs w:val="24"/>
        </w:rPr>
        <w:t xml:space="preserve"> into the adjacent Nurture </w:t>
      </w:r>
      <w:r w:rsidR="002B7D89">
        <w:rPr>
          <w:rFonts w:ascii="Arial" w:hAnsi="Arial" w:cs="Arial"/>
          <w:bCs/>
          <w:sz w:val="24"/>
          <w:szCs w:val="24"/>
        </w:rPr>
        <w:t xml:space="preserve">Park </w:t>
      </w:r>
      <w:r w:rsidR="00692CCD">
        <w:rPr>
          <w:rFonts w:ascii="Arial" w:hAnsi="Arial" w:cs="Arial"/>
          <w:bCs/>
          <w:sz w:val="24"/>
          <w:szCs w:val="24"/>
        </w:rPr>
        <w:t>development and tha</w:t>
      </w:r>
      <w:r w:rsidR="00692CCD" w:rsidRPr="00554DF5">
        <w:rPr>
          <w:rFonts w:ascii="Arial" w:hAnsi="Arial" w:cs="Arial"/>
          <w:bCs/>
          <w:sz w:val="24"/>
          <w:szCs w:val="24"/>
        </w:rPr>
        <w:t>t</w:t>
      </w:r>
      <w:r w:rsidR="00840AB7">
        <w:rPr>
          <w:rFonts w:ascii="Arial" w:hAnsi="Arial" w:cs="Arial"/>
          <w:bCs/>
          <w:sz w:val="24"/>
          <w:szCs w:val="24"/>
        </w:rPr>
        <w:t>,</w:t>
      </w:r>
      <w:r w:rsidR="00692CCD" w:rsidRPr="00554DF5">
        <w:rPr>
          <w:rFonts w:ascii="Arial" w:hAnsi="Arial" w:cs="Arial"/>
          <w:bCs/>
          <w:sz w:val="24"/>
          <w:szCs w:val="24"/>
        </w:rPr>
        <w:t xml:space="preserve"> t</w:t>
      </w:r>
      <w:r w:rsidR="00692CCD">
        <w:rPr>
          <w:rFonts w:ascii="Arial" w:hAnsi="Arial" w:cs="Arial"/>
          <w:bCs/>
          <w:sz w:val="24"/>
          <w:szCs w:val="24"/>
        </w:rPr>
        <w:t>h</w:t>
      </w:r>
      <w:r w:rsidR="002B7D89">
        <w:rPr>
          <w:rFonts w:ascii="Arial" w:hAnsi="Arial" w:cs="Arial"/>
          <w:bCs/>
          <w:sz w:val="24"/>
          <w:szCs w:val="24"/>
        </w:rPr>
        <w:t>at</w:t>
      </w:r>
      <w:r w:rsidR="00692CCD">
        <w:rPr>
          <w:rFonts w:ascii="Arial" w:hAnsi="Arial" w:cs="Arial"/>
          <w:bCs/>
          <w:sz w:val="24"/>
          <w:szCs w:val="24"/>
        </w:rPr>
        <w:t xml:space="preserve"> part of the erf would also vest in Curro if effect is given to the sale. He accordingly suggested that th</w:t>
      </w:r>
      <w:r w:rsidR="002B7D89">
        <w:rPr>
          <w:rFonts w:ascii="Arial" w:hAnsi="Arial" w:cs="Arial"/>
          <w:bCs/>
          <w:sz w:val="24"/>
          <w:szCs w:val="24"/>
        </w:rPr>
        <w:t>at</w:t>
      </w:r>
      <w:r w:rsidR="00692CCD">
        <w:rPr>
          <w:rFonts w:ascii="Arial" w:hAnsi="Arial" w:cs="Arial"/>
          <w:bCs/>
          <w:sz w:val="24"/>
          <w:szCs w:val="24"/>
        </w:rPr>
        <w:t xml:space="preserve"> part of the ring</w:t>
      </w:r>
      <w:r w:rsidR="006F28EF">
        <w:rPr>
          <w:rFonts w:ascii="Arial" w:hAnsi="Arial" w:cs="Arial"/>
          <w:bCs/>
          <w:sz w:val="24"/>
          <w:szCs w:val="24"/>
        </w:rPr>
        <w:t xml:space="preserve"> </w:t>
      </w:r>
      <w:r w:rsidR="00692CCD">
        <w:rPr>
          <w:rFonts w:ascii="Arial" w:hAnsi="Arial" w:cs="Arial"/>
          <w:bCs/>
          <w:sz w:val="24"/>
          <w:szCs w:val="24"/>
        </w:rPr>
        <w:t>road be excluded from the sale</w:t>
      </w:r>
      <w:r w:rsidR="002B7D89">
        <w:rPr>
          <w:rFonts w:ascii="Arial" w:hAnsi="Arial" w:cs="Arial"/>
          <w:bCs/>
          <w:sz w:val="24"/>
          <w:szCs w:val="24"/>
        </w:rPr>
        <w:t xml:space="preserve"> and that </w:t>
      </w:r>
      <w:r w:rsidR="00692CCD">
        <w:rPr>
          <w:rFonts w:ascii="Arial" w:hAnsi="Arial" w:cs="Arial"/>
          <w:bCs/>
          <w:sz w:val="24"/>
          <w:szCs w:val="24"/>
        </w:rPr>
        <w:t>er</w:t>
      </w:r>
      <w:r w:rsidR="002B7D89">
        <w:rPr>
          <w:rFonts w:ascii="Arial" w:hAnsi="Arial" w:cs="Arial"/>
          <w:bCs/>
          <w:sz w:val="24"/>
          <w:szCs w:val="24"/>
        </w:rPr>
        <w:t>f</w:t>
      </w:r>
      <w:r w:rsidR="00692CCD">
        <w:rPr>
          <w:rFonts w:ascii="Arial" w:hAnsi="Arial" w:cs="Arial"/>
          <w:bCs/>
          <w:sz w:val="24"/>
          <w:szCs w:val="24"/>
        </w:rPr>
        <w:t xml:space="preserve"> 19565 be subdivided</w:t>
      </w:r>
      <w:r w:rsidR="002B7D89">
        <w:rPr>
          <w:rFonts w:ascii="Arial" w:hAnsi="Arial" w:cs="Arial"/>
          <w:bCs/>
          <w:sz w:val="24"/>
          <w:szCs w:val="24"/>
        </w:rPr>
        <w:t xml:space="preserve">. He </w:t>
      </w:r>
      <w:r w:rsidR="00692CCD">
        <w:rPr>
          <w:rFonts w:ascii="Arial" w:hAnsi="Arial" w:cs="Arial"/>
          <w:bCs/>
          <w:sz w:val="24"/>
          <w:szCs w:val="24"/>
        </w:rPr>
        <w:t xml:space="preserve">asked how the </w:t>
      </w:r>
      <w:r w:rsidR="00753F38">
        <w:rPr>
          <w:rFonts w:ascii="Arial" w:hAnsi="Arial" w:cs="Arial"/>
          <w:bCs/>
          <w:sz w:val="24"/>
          <w:szCs w:val="24"/>
        </w:rPr>
        <w:t>‘i</w:t>
      </w:r>
      <w:r w:rsidR="00692CCD">
        <w:rPr>
          <w:rFonts w:ascii="Arial" w:hAnsi="Arial" w:cs="Arial"/>
          <w:bCs/>
          <w:sz w:val="24"/>
          <w:szCs w:val="24"/>
        </w:rPr>
        <w:t>mpasse</w:t>
      </w:r>
      <w:r w:rsidR="00753F38">
        <w:rPr>
          <w:rFonts w:ascii="Arial" w:hAnsi="Arial" w:cs="Arial"/>
          <w:bCs/>
          <w:sz w:val="24"/>
          <w:szCs w:val="24"/>
        </w:rPr>
        <w:t>’ should be ‘rectified’.</w:t>
      </w:r>
    </w:p>
    <w:p w14:paraId="770A9E14" w14:textId="77777777" w:rsidR="008A624F" w:rsidRDefault="008A624F" w:rsidP="008E76A5">
      <w:pPr>
        <w:tabs>
          <w:tab w:val="left" w:pos="720"/>
          <w:tab w:val="left" w:pos="1440"/>
          <w:tab w:val="left" w:pos="2160"/>
          <w:tab w:val="right" w:pos="9026"/>
        </w:tabs>
        <w:rPr>
          <w:rFonts w:ascii="Arial" w:hAnsi="Arial" w:cs="Arial"/>
          <w:bCs/>
          <w:sz w:val="24"/>
          <w:szCs w:val="24"/>
        </w:rPr>
      </w:pPr>
    </w:p>
    <w:p w14:paraId="14DCB345" w14:textId="26418DBC" w:rsidR="003A79C3" w:rsidRDefault="008A624F" w:rsidP="008E76A5">
      <w:pPr>
        <w:tabs>
          <w:tab w:val="left" w:pos="720"/>
          <w:tab w:val="left" w:pos="1440"/>
          <w:tab w:val="left" w:pos="2160"/>
          <w:tab w:val="right" w:pos="9026"/>
        </w:tabs>
        <w:rPr>
          <w:rFonts w:ascii="Arial" w:hAnsi="Arial" w:cs="Arial"/>
          <w:bCs/>
          <w:sz w:val="24"/>
          <w:szCs w:val="24"/>
        </w:rPr>
      </w:pPr>
      <w:r>
        <w:rPr>
          <w:rFonts w:ascii="Arial" w:hAnsi="Arial" w:cs="Arial"/>
          <w:bCs/>
          <w:sz w:val="24"/>
          <w:szCs w:val="24"/>
        </w:rPr>
        <w:t>[</w:t>
      </w:r>
      <w:r w:rsidR="007F339A">
        <w:rPr>
          <w:rFonts w:ascii="Arial" w:hAnsi="Arial" w:cs="Arial"/>
          <w:bCs/>
          <w:sz w:val="24"/>
          <w:szCs w:val="24"/>
        </w:rPr>
        <w:t>10</w:t>
      </w:r>
      <w:r>
        <w:rPr>
          <w:rFonts w:ascii="Arial" w:hAnsi="Arial" w:cs="Arial"/>
          <w:bCs/>
          <w:sz w:val="24"/>
          <w:szCs w:val="24"/>
        </w:rPr>
        <w:t>]</w:t>
      </w:r>
      <w:r>
        <w:rPr>
          <w:rFonts w:ascii="Arial" w:hAnsi="Arial" w:cs="Arial"/>
          <w:bCs/>
          <w:sz w:val="24"/>
          <w:szCs w:val="24"/>
        </w:rPr>
        <w:tab/>
        <w:t xml:space="preserve">The liquidators were </w:t>
      </w:r>
      <w:r w:rsidR="00E70759">
        <w:rPr>
          <w:rFonts w:ascii="Arial" w:hAnsi="Arial" w:cs="Arial"/>
          <w:bCs/>
          <w:sz w:val="24"/>
          <w:szCs w:val="24"/>
        </w:rPr>
        <w:t>still</w:t>
      </w:r>
      <w:r w:rsidR="00CE444C">
        <w:rPr>
          <w:rFonts w:ascii="Arial" w:hAnsi="Arial" w:cs="Arial"/>
          <w:bCs/>
          <w:sz w:val="24"/>
          <w:szCs w:val="24"/>
        </w:rPr>
        <w:t xml:space="preserve"> </w:t>
      </w:r>
      <w:r>
        <w:rPr>
          <w:rFonts w:ascii="Arial" w:hAnsi="Arial" w:cs="Arial"/>
          <w:bCs/>
          <w:sz w:val="24"/>
          <w:szCs w:val="24"/>
        </w:rPr>
        <w:t xml:space="preserve">willing to attempt to salvage the sale </w:t>
      </w:r>
      <w:r w:rsidR="00E70759">
        <w:rPr>
          <w:rFonts w:ascii="Arial" w:hAnsi="Arial" w:cs="Arial"/>
          <w:bCs/>
          <w:sz w:val="24"/>
          <w:szCs w:val="24"/>
        </w:rPr>
        <w:t xml:space="preserve">in order </w:t>
      </w:r>
      <w:r>
        <w:rPr>
          <w:rFonts w:ascii="Arial" w:hAnsi="Arial" w:cs="Arial"/>
          <w:bCs/>
          <w:sz w:val="24"/>
          <w:szCs w:val="24"/>
        </w:rPr>
        <w:t>to cause the demise of Nomic. Negotiations ensued between the</w:t>
      </w:r>
      <w:r w:rsidR="003A79C3">
        <w:rPr>
          <w:rFonts w:ascii="Arial" w:hAnsi="Arial" w:cs="Arial"/>
          <w:bCs/>
          <w:sz w:val="24"/>
          <w:szCs w:val="24"/>
        </w:rPr>
        <w:t xml:space="preserve"> parties</w:t>
      </w:r>
      <w:r w:rsidR="00753F38">
        <w:rPr>
          <w:rFonts w:ascii="Arial" w:hAnsi="Arial" w:cs="Arial"/>
          <w:bCs/>
          <w:sz w:val="24"/>
          <w:szCs w:val="24"/>
        </w:rPr>
        <w:t xml:space="preserve"> in respect of the subdivision </w:t>
      </w:r>
      <w:r w:rsidR="003A79C3">
        <w:rPr>
          <w:rFonts w:ascii="Arial" w:hAnsi="Arial" w:cs="Arial"/>
          <w:bCs/>
          <w:sz w:val="24"/>
          <w:szCs w:val="24"/>
        </w:rPr>
        <w:t xml:space="preserve">of the ring road </w:t>
      </w:r>
      <w:r w:rsidR="00753F38">
        <w:rPr>
          <w:rFonts w:ascii="Arial" w:hAnsi="Arial" w:cs="Arial"/>
          <w:bCs/>
          <w:sz w:val="24"/>
          <w:szCs w:val="24"/>
        </w:rPr>
        <w:t xml:space="preserve">with </w:t>
      </w:r>
      <w:r w:rsidR="003A79C3">
        <w:rPr>
          <w:rFonts w:ascii="Arial" w:hAnsi="Arial" w:cs="Arial"/>
          <w:bCs/>
          <w:sz w:val="24"/>
          <w:szCs w:val="24"/>
        </w:rPr>
        <w:t>a</w:t>
      </w:r>
      <w:r w:rsidR="00753F38">
        <w:rPr>
          <w:rFonts w:ascii="Arial" w:hAnsi="Arial" w:cs="Arial"/>
          <w:bCs/>
          <w:sz w:val="24"/>
          <w:szCs w:val="24"/>
        </w:rPr>
        <w:t xml:space="preserve"> view of ensuring that effect could be given to the sale. The negotiations</w:t>
      </w:r>
      <w:r>
        <w:rPr>
          <w:rFonts w:ascii="Arial" w:hAnsi="Arial" w:cs="Arial"/>
          <w:bCs/>
          <w:sz w:val="24"/>
          <w:szCs w:val="24"/>
        </w:rPr>
        <w:t xml:space="preserve"> might or might not have resulted in an informal arrangement or even an </w:t>
      </w:r>
      <w:r w:rsidR="003A79C3">
        <w:rPr>
          <w:rFonts w:ascii="Arial" w:hAnsi="Arial" w:cs="Arial"/>
          <w:bCs/>
          <w:sz w:val="24"/>
          <w:szCs w:val="24"/>
        </w:rPr>
        <w:t xml:space="preserve">oral </w:t>
      </w:r>
      <w:r>
        <w:rPr>
          <w:rFonts w:ascii="Arial" w:hAnsi="Arial" w:cs="Arial"/>
          <w:bCs/>
          <w:sz w:val="24"/>
          <w:szCs w:val="24"/>
        </w:rPr>
        <w:t>agreement</w:t>
      </w:r>
      <w:r w:rsidR="003A79C3">
        <w:rPr>
          <w:rFonts w:ascii="Arial" w:hAnsi="Arial" w:cs="Arial"/>
          <w:bCs/>
          <w:sz w:val="24"/>
          <w:szCs w:val="24"/>
        </w:rPr>
        <w:t xml:space="preserve">, but no formal written agreement or addendum </w:t>
      </w:r>
      <w:r w:rsidR="002B7D89">
        <w:rPr>
          <w:rFonts w:ascii="Arial" w:hAnsi="Arial" w:cs="Arial"/>
          <w:bCs/>
          <w:sz w:val="24"/>
          <w:szCs w:val="24"/>
        </w:rPr>
        <w:t>was ever</w:t>
      </w:r>
      <w:r>
        <w:rPr>
          <w:rFonts w:ascii="Arial" w:hAnsi="Arial" w:cs="Arial"/>
          <w:bCs/>
          <w:sz w:val="24"/>
          <w:szCs w:val="24"/>
        </w:rPr>
        <w:t xml:space="preserve"> </w:t>
      </w:r>
      <w:r w:rsidR="00F609BF">
        <w:rPr>
          <w:rFonts w:ascii="Arial" w:hAnsi="Arial" w:cs="Arial"/>
          <w:bCs/>
          <w:sz w:val="24"/>
          <w:szCs w:val="24"/>
        </w:rPr>
        <w:t xml:space="preserve">concluded and </w:t>
      </w:r>
      <w:r>
        <w:rPr>
          <w:rFonts w:ascii="Arial" w:hAnsi="Arial" w:cs="Arial"/>
          <w:bCs/>
          <w:sz w:val="24"/>
          <w:szCs w:val="24"/>
        </w:rPr>
        <w:t>signed by or on behalf of the parties</w:t>
      </w:r>
      <w:r w:rsidR="003A79C3">
        <w:rPr>
          <w:rFonts w:ascii="Arial" w:hAnsi="Arial" w:cs="Arial"/>
          <w:bCs/>
          <w:sz w:val="24"/>
          <w:szCs w:val="24"/>
        </w:rPr>
        <w:t>.</w:t>
      </w:r>
    </w:p>
    <w:p w14:paraId="3D070C2F" w14:textId="77777777" w:rsidR="003A79C3" w:rsidRDefault="003A79C3" w:rsidP="008E76A5">
      <w:pPr>
        <w:tabs>
          <w:tab w:val="left" w:pos="720"/>
          <w:tab w:val="left" w:pos="1440"/>
          <w:tab w:val="left" w:pos="2160"/>
          <w:tab w:val="right" w:pos="9026"/>
        </w:tabs>
        <w:rPr>
          <w:rFonts w:ascii="Arial" w:hAnsi="Arial" w:cs="Arial"/>
          <w:bCs/>
          <w:sz w:val="24"/>
          <w:szCs w:val="24"/>
        </w:rPr>
      </w:pPr>
    </w:p>
    <w:p w14:paraId="535231A2" w14:textId="12C19EE0" w:rsidR="0084101D" w:rsidRDefault="003A79C3" w:rsidP="008E76A5">
      <w:pPr>
        <w:tabs>
          <w:tab w:val="left" w:pos="720"/>
          <w:tab w:val="left" w:pos="1440"/>
          <w:tab w:val="left" w:pos="2160"/>
          <w:tab w:val="right" w:pos="9026"/>
        </w:tabs>
        <w:rPr>
          <w:rFonts w:ascii="Arial" w:hAnsi="Arial" w:cs="Arial"/>
          <w:sz w:val="24"/>
          <w:szCs w:val="24"/>
        </w:rPr>
      </w:pPr>
      <w:r>
        <w:rPr>
          <w:rFonts w:ascii="Arial" w:hAnsi="Arial" w:cs="Arial"/>
          <w:bCs/>
          <w:sz w:val="24"/>
          <w:szCs w:val="24"/>
        </w:rPr>
        <w:t>[</w:t>
      </w:r>
      <w:r w:rsidR="006C572C">
        <w:rPr>
          <w:rFonts w:ascii="Arial" w:hAnsi="Arial" w:cs="Arial"/>
          <w:bCs/>
          <w:sz w:val="24"/>
          <w:szCs w:val="24"/>
        </w:rPr>
        <w:t>1</w:t>
      </w:r>
      <w:r w:rsidR="007F339A">
        <w:rPr>
          <w:rFonts w:ascii="Arial" w:hAnsi="Arial" w:cs="Arial"/>
          <w:bCs/>
          <w:sz w:val="24"/>
          <w:szCs w:val="24"/>
        </w:rPr>
        <w:t>1</w:t>
      </w:r>
      <w:r>
        <w:rPr>
          <w:rFonts w:ascii="Arial" w:hAnsi="Arial" w:cs="Arial"/>
          <w:bCs/>
          <w:sz w:val="24"/>
          <w:szCs w:val="24"/>
        </w:rPr>
        <w:t>]</w:t>
      </w:r>
      <w:r>
        <w:rPr>
          <w:rFonts w:ascii="Arial" w:hAnsi="Arial" w:cs="Arial"/>
          <w:bCs/>
          <w:sz w:val="24"/>
          <w:szCs w:val="24"/>
        </w:rPr>
        <w:tab/>
        <w:t xml:space="preserve">No subdivision materialised during the next few years. </w:t>
      </w:r>
      <w:r w:rsidR="00691CDB">
        <w:rPr>
          <w:rFonts w:ascii="Arial" w:hAnsi="Arial" w:cs="Arial"/>
          <w:bCs/>
          <w:sz w:val="24"/>
          <w:szCs w:val="24"/>
        </w:rPr>
        <w:t xml:space="preserve">On 1 November 2019, almost three years after the agreement had been </w:t>
      </w:r>
      <w:r w:rsidR="00F609BF">
        <w:rPr>
          <w:rFonts w:ascii="Arial" w:hAnsi="Arial" w:cs="Arial"/>
          <w:bCs/>
          <w:sz w:val="24"/>
          <w:szCs w:val="24"/>
        </w:rPr>
        <w:t>concluded</w:t>
      </w:r>
      <w:r w:rsidR="00691CDB">
        <w:rPr>
          <w:rFonts w:ascii="Arial" w:hAnsi="Arial" w:cs="Arial"/>
          <w:bCs/>
          <w:sz w:val="24"/>
          <w:szCs w:val="24"/>
        </w:rPr>
        <w:t>, the liquidators, through the</w:t>
      </w:r>
      <w:r w:rsidR="00F609BF">
        <w:rPr>
          <w:rFonts w:ascii="Arial" w:hAnsi="Arial" w:cs="Arial"/>
          <w:bCs/>
          <w:sz w:val="24"/>
          <w:szCs w:val="24"/>
        </w:rPr>
        <w:t>i</w:t>
      </w:r>
      <w:r w:rsidR="00691CDB">
        <w:rPr>
          <w:rFonts w:ascii="Arial" w:hAnsi="Arial" w:cs="Arial"/>
          <w:bCs/>
          <w:sz w:val="24"/>
          <w:szCs w:val="24"/>
        </w:rPr>
        <w:t>r attorneys, in writin</w:t>
      </w:r>
      <w:r w:rsidR="00691CDB" w:rsidRPr="009623C5">
        <w:rPr>
          <w:rFonts w:ascii="Arial" w:hAnsi="Arial" w:cs="Arial"/>
          <w:bCs/>
          <w:sz w:val="24"/>
          <w:szCs w:val="24"/>
        </w:rPr>
        <w:t>g m</w:t>
      </w:r>
      <w:r w:rsidR="00691CDB">
        <w:rPr>
          <w:rFonts w:ascii="Arial" w:hAnsi="Arial" w:cs="Arial"/>
          <w:bCs/>
          <w:sz w:val="24"/>
          <w:szCs w:val="24"/>
        </w:rPr>
        <w:t xml:space="preserve">ade it clear to Curro that they would no longer entertain any further indulgences in respect of the subdivision of the ring road and </w:t>
      </w:r>
      <w:r w:rsidR="00F609BF">
        <w:rPr>
          <w:rFonts w:ascii="Arial" w:hAnsi="Arial" w:cs="Arial"/>
          <w:bCs/>
          <w:sz w:val="24"/>
          <w:szCs w:val="24"/>
        </w:rPr>
        <w:t xml:space="preserve">they </w:t>
      </w:r>
      <w:r w:rsidR="00691CDB">
        <w:rPr>
          <w:rFonts w:ascii="Arial" w:hAnsi="Arial" w:cs="Arial"/>
          <w:bCs/>
          <w:sz w:val="24"/>
          <w:szCs w:val="24"/>
        </w:rPr>
        <w:t>demanded signature of the necessary document</w:t>
      </w:r>
      <w:r w:rsidR="00F609BF">
        <w:rPr>
          <w:rFonts w:ascii="Arial" w:hAnsi="Arial" w:cs="Arial"/>
          <w:bCs/>
          <w:sz w:val="24"/>
          <w:szCs w:val="24"/>
        </w:rPr>
        <w:t>s</w:t>
      </w:r>
      <w:r w:rsidR="00691CDB">
        <w:rPr>
          <w:rFonts w:ascii="Arial" w:hAnsi="Arial" w:cs="Arial"/>
          <w:bCs/>
          <w:sz w:val="24"/>
          <w:szCs w:val="24"/>
        </w:rPr>
        <w:t xml:space="preserve"> to allow ownership of the land to pass to Curro.</w:t>
      </w:r>
      <w:r w:rsidR="00E16D72">
        <w:rPr>
          <w:rFonts w:ascii="Arial" w:hAnsi="Arial" w:cs="Arial"/>
          <w:bCs/>
          <w:sz w:val="24"/>
          <w:szCs w:val="24"/>
        </w:rPr>
        <w:t xml:space="preserve"> Curro did not </w:t>
      </w:r>
      <w:r w:rsidR="00C71B2C">
        <w:rPr>
          <w:rFonts w:ascii="Arial" w:hAnsi="Arial" w:cs="Arial"/>
          <w:bCs/>
          <w:sz w:val="24"/>
          <w:szCs w:val="24"/>
        </w:rPr>
        <w:t>accede</w:t>
      </w:r>
      <w:r w:rsidR="00E16D72">
        <w:rPr>
          <w:rFonts w:ascii="Arial" w:hAnsi="Arial" w:cs="Arial"/>
          <w:bCs/>
          <w:sz w:val="24"/>
          <w:szCs w:val="24"/>
        </w:rPr>
        <w:t xml:space="preserve"> to the liquidators’ demand</w:t>
      </w:r>
      <w:r w:rsidR="00F609BF">
        <w:rPr>
          <w:rFonts w:ascii="Arial" w:hAnsi="Arial" w:cs="Arial"/>
          <w:bCs/>
          <w:sz w:val="24"/>
          <w:szCs w:val="24"/>
        </w:rPr>
        <w:t>. B</w:t>
      </w:r>
      <w:r w:rsidR="00E16D72">
        <w:rPr>
          <w:rFonts w:ascii="Arial" w:hAnsi="Arial" w:cs="Arial"/>
          <w:bCs/>
          <w:sz w:val="24"/>
          <w:szCs w:val="24"/>
        </w:rPr>
        <w:t>y letter dated 10 March 2020</w:t>
      </w:r>
      <w:r w:rsidR="00F609BF">
        <w:rPr>
          <w:rFonts w:ascii="Arial" w:hAnsi="Arial" w:cs="Arial"/>
          <w:bCs/>
          <w:sz w:val="24"/>
          <w:szCs w:val="24"/>
        </w:rPr>
        <w:t>,</w:t>
      </w:r>
      <w:r w:rsidR="00E16D72">
        <w:rPr>
          <w:rFonts w:ascii="Arial" w:hAnsi="Arial" w:cs="Arial"/>
          <w:bCs/>
          <w:sz w:val="24"/>
          <w:szCs w:val="24"/>
        </w:rPr>
        <w:t xml:space="preserve"> the</w:t>
      </w:r>
      <w:r w:rsidR="00F609BF">
        <w:rPr>
          <w:rFonts w:ascii="Arial" w:hAnsi="Arial" w:cs="Arial"/>
          <w:bCs/>
          <w:sz w:val="24"/>
          <w:szCs w:val="24"/>
        </w:rPr>
        <w:t xml:space="preserve"> liquidators</w:t>
      </w:r>
      <w:r w:rsidR="00E16D72">
        <w:rPr>
          <w:rFonts w:ascii="Arial" w:hAnsi="Arial" w:cs="Arial"/>
          <w:bCs/>
          <w:sz w:val="24"/>
          <w:szCs w:val="24"/>
        </w:rPr>
        <w:t xml:space="preserve"> called upon Curro to remedy its breach within 21 days. This was not done and by email dated 31 August 2020</w:t>
      </w:r>
      <w:r w:rsidR="00F609BF">
        <w:rPr>
          <w:rFonts w:ascii="Arial" w:hAnsi="Arial" w:cs="Arial"/>
          <w:bCs/>
          <w:sz w:val="24"/>
          <w:szCs w:val="24"/>
        </w:rPr>
        <w:t>,</w:t>
      </w:r>
      <w:r w:rsidR="00E16D72">
        <w:rPr>
          <w:rFonts w:ascii="Arial" w:hAnsi="Arial" w:cs="Arial"/>
          <w:bCs/>
          <w:sz w:val="24"/>
          <w:szCs w:val="24"/>
        </w:rPr>
        <w:t xml:space="preserve"> they advised Curro that they had cancelled the agreement insofar as it had ever been valid. On 10 September 2020</w:t>
      </w:r>
      <w:r w:rsidR="00F609BF">
        <w:rPr>
          <w:rFonts w:ascii="Arial" w:hAnsi="Arial" w:cs="Arial"/>
          <w:bCs/>
          <w:sz w:val="24"/>
          <w:szCs w:val="24"/>
        </w:rPr>
        <w:t>,</w:t>
      </w:r>
      <w:r w:rsidR="00E16D72">
        <w:rPr>
          <w:rFonts w:ascii="Arial" w:hAnsi="Arial" w:cs="Arial"/>
          <w:bCs/>
          <w:sz w:val="24"/>
          <w:szCs w:val="24"/>
        </w:rPr>
        <w:t xml:space="preserve"> the</w:t>
      </w:r>
      <w:r w:rsidR="00F609BF">
        <w:rPr>
          <w:rFonts w:ascii="Arial" w:hAnsi="Arial" w:cs="Arial"/>
          <w:bCs/>
          <w:sz w:val="24"/>
          <w:szCs w:val="24"/>
        </w:rPr>
        <w:t xml:space="preserve"> liquidators</w:t>
      </w:r>
      <w:r w:rsidR="00E16D72">
        <w:rPr>
          <w:rFonts w:ascii="Arial" w:hAnsi="Arial" w:cs="Arial"/>
          <w:bCs/>
          <w:sz w:val="24"/>
          <w:szCs w:val="24"/>
        </w:rPr>
        <w:t xml:space="preserve"> initiated the application under consideration</w:t>
      </w:r>
      <w:r w:rsidR="00F609BF">
        <w:rPr>
          <w:rFonts w:ascii="Arial" w:hAnsi="Arial" w:cs="Arial"/>
          <w:bCs/>
          <w:sz w:val="24"/>
          <w:szCs w:val="24"/>
        </w:rPr>
        <w:t xml:space="preserve"> </w:t>
      </w:r>
      <w:r w:rsidR="008C57BD">
        <w:rPr>
          <w:rFonts w:ascii="Arial" w:hAnsi="Arial" w:cs="Arial"/>
          <w:bCs/>
          <w:sz w:val="24"/>
          <w:szCs w:val="24"/>
        </w:rPr>
        <w:t xml:space="preserve">to enable them to </w:t>
      </w:r>
      <w:r w:rsidR="007911CC">
        <w:rPr>
          <w:rFonts w:ascii="Arial" w:hAnsi="Arial" w:cs="Arial"/>
          <w:bCs/>
          <w:sz w:val="24"/>
          <w:szCs w:val="24"/>
        </w:rPr>
        <w:t xml:space="preserve">lawfully </w:t>
      </w:r>
      <w:r w:rsidR="00E16D72">
        <w:rPr>
          <w:rFonts w:ascii="Arial" w:hAnsi="Arial" w:cs="Arial"/>
          <w:bCs/>
          <w:sz w:val="24"/>
          <w:szCs w:val="24"/>
        </w:rPr>
        <w:t>sell the land to a third-party buyer</w:t>
      </w:r>
      <w:r w:rsidR="0084101D">
        <w:rPr>
          <w:rFonts w:ascii="Arial" w:hAnsi="Arial" w:cs="Arial"/>
          <w:bCs/>
          <w:sz w:val="24"/>
          <w:szCs w:val="24"/>
        </w:rPr>
        <w:t xml:space="preserve"> and</w:t>
      </w:r>
      <w:r w:rsidR="00E16D72">
        <w:rPr>
          <w:rFonts w:ascii="Arial" w:hAnsi="Arial" w:cs="Arial"/>
          <w:bCs/>
          <w:sz w:val="24"/>
          <w:szCs w:val="24"/>
        </w:rPr>
        <w:t xml:space="preserve"> </w:t>
      </w:r>
      <w:r w:rsidR="00E16D72" w:rsidRPr="00583BAB">
        <w:rPr>
          <w:rFonts w:ascii="Arial" w:hAnsi="Arial" w:cs="Arial"/>
          <w:sz w:val="24"/>
          <w:szCs w:val="24"/>
        </w:rPr>
        <w:t>finally w</w:t>
      </w:r>
      <w:r w:rsidR="003C7EBB">
        <w:rPr>
          <w:rFonts w:ascii="Arial" w:hAnsi="Arial" w:cs="Arial"/>
          <w:sz w:val="24"/>
          <w:szCs w:val="24"/>
        </w:rPr>
        <w:t>i</w:t>
      </w:r>
      <w:r w:rsidR="00E16D72" w:rsidRPr="00583BAB">
        <w:rPr>
          <w:rFonts w:ascii="Arial" w:hAnsi="Arial" w:cs="Arial"/>
          <w:sz w:val="24"/>
          <w:szCs w:val="24"/>
        </w:rPr>
        <w:t>nd up</w:t>
      </w:r>
      <w:r w:rsidR="00E16D72">
        <w:rPr>
          <w:rFonts w:ascii="Arial" w:hAnsi="Arial" w:cs="Arial"/>
          <w:sz w:val="24"/>
          <w:szCs w:val="24"/>
        </w:rPr>
        <w:t xml:space="preserve"> Nomic</w:t>
      </w:r>
      <w:r w:rsidR="0084101D">
        <w:rPr>
          <w:rFonts w:ascii="Arial" w:hAnsi="Arial" w:cs="Arial"/>
          <w:sz w:val="24"/>
          <w:szCs w:val="24"/>
        </w:rPr>
        <w:t>’</w:t>
      </w:r>
      <w:r w:rsidR="00E16D72">
        <w:rPr>
          <w:rFonts w:ascii="Arial" w:hAnsi="Arial" w:cs="Arial"/>
          <w:sz w:val="24"/>
          <w:szCs w:val="24"/>
        </w:rPr>
        <w:t>s affairs</w:t>
      </w:r>
      <w:r w:rsidR="00E16D72" w:rsidRPr="00583BAB">
        <w:rPr>
          <w:rFonts w:ascii="Arial" w:hAnsi="Arial" w:cs="Arial"/>
          <w:sz w:val="24"/>
          <w:szCs w:val="24"/>
        </w:rPr>
        <w:t xml:space="preserve"> </w:t>
      </w:r>
      <w:r w:rsidR="0084101D">
        <w:rPr>
          <w:rFonts w:ascii="Arial" w:hAnsi="Arial" w:cs="Arial"/>
          <w:sz w:val="24"/>
          <w:szCs w:val="24"/>
        </w:rPr>
        <w:t xml:space="preserve">for it to be </w:t>
      </w:r>
      <w:r w:rsidR="00E16D72" w:rsidRPr="00583BAB">
        <w:rPr>
          <w:rFonts w:ascii="Arial" w:hAnsi="Arial" w:cs="Arial"/>
          <w:sz w:val="24"/>
          <w:szCs w:val="24"/>
        </w:rPr>
        <w:t>dissolved.</w:t>
      </w:r>
    </w:p>
    <w:p w14:paraId="258C14C8" w14:textId="77777777" w:rsidR="0084101D" w:rsidRDefault="0084101D" w:rsidP="008E76A5">
      <w:pPr>
        <w:tabs>
          <w:tab w:val="left" w:pos="720"/>
          <w:tab w:val="left" w:pos="1440"/>
          <w:tab w:val="left" w:pos="2160"/>
          <w:tab w:val="right" w:pos="9026"/>
        </w:tabs>
        <w:rPr>
          <w:rFonts w:ascii="Arial" w:hAnsi="Arial" w:cs="Arial"/>
          <w:sz w:val="24"/>
          <w:szCs w:val="24"/>
        </w:rPr>
      </w:pPr>
    </w:p>
    <w:p w14:paraId="4B93CE7F" w14:textId="63D04FC7" w:rsidR="008A5F5F" w:rsidRPr="00B04B79" w:rsidRDefault="0084101D" w:rsidP="008E76A5">
      <w:pPr>
        <w:tabs>
          <w:tab w:val="left" w:pos="720"/>
          <w:tab w:val="left" w:pos="1440"/>
          <w:tab w:val="left" w:pos="2160"/>
          <w:tab w:val="right" w:pos="9026"/>
        </w:tabs>
        <w:rPr>
          <w:rFonts w:ascii="Arial" w:hAnsi="Arial" w:cs="Arial"/>
          <w:sz w:val="24"/>
          <w:szCs w:val="24"/>
        </w:rPr>
      </w:pPr>
      <w:r>
        <w:rPr>
          <w:rFonts w:ascii="Arial" w:hAnsi="Arial" w:cs="Arial"/>
          <w:sz w:val="24"/>
          <w:szCs w:val="24"/>
        </w:rPr>
        <w:t>[</w:t>
      </w:r>
      <w:r w:rsidR="00E148C7">
        <w:rPr>
          <w:rFonts w:ascii="Arial" w:hAnsi="Arial" w:cs="Arial"/>
          <w:sz w:val="24"/>
          <w:szCs w:val="24"/>
        </w:rPr>
        <w:t>1</w:t>
      </w:r>
      <w:r w:rsidR="00C71B2C">
        <w:rPr>
          <w:rFonts w:ascii="Arial" w:hAnsi="Arial" w:cs="Arial"/>
          <w:sz w:val="24"/>
          <w:szCs w:val="24"/>
        </w:rPr>
        <w:t>2</w:t>
      </w:r>
      <w:r>
        <w:rPr>
          <w:rFonts w:ascii="Arial" w:hAnsi="Arial" w:cs="Arial"/>
          <w:sz w:val="24"/>
          <w:szCs w:val="24"/>
        </w:rPr>
        <w:t>]</w:t>
      </w:r>
      <w:r>
        <w:rPr>
          <w:rFonts w:ascii="Arial" w:hAnsi="Arial" w:cs="Arial"/>
          <w:sz w:val="24"/>
          <w:szCs w:val="24"/>
        </w:rPr>
        <w:tab/>
        <w:t xml:space="preserve">This brings me to the declarator that </w:t>
      </w:r>
      <w:r w:rsidRPr="00B04B79">
        <w:rPr>
          <w:rFonts w:ascii="Arial" w:hAnsi="Arial" w:cs="Arial"/>
          <w:sz w:val="24"/>
          <w:szCs w:val="24"/>
        </w:rPr>
        <w:t xml:space="preserve">the agreement </w:t>
      </w:r>
      <w:r w:rsidR="0065629B" w:rsidRPr="00B04B79">
        <w:rPr>
          <w:rFonts w:ascii="Arial" w:hAnsi="Arial" w:cs="Arial"/>
          <w:sz w:val="24"/>
          <w:szCs w:val="24"/>
        </w:rPr>
        <w:t>i</w:t>
      </w:r>
      <w:r w:rsidRPr="00B04B79">
        <w:rPr>
          <w:rFonts w:ascii="Arial" w:hAnsi="Arial" w:cs="Arial"/>
          <w:sz w:val="24"/>
          <w:szCs w:val="24"/>
        </w:rPr>
        <w:t xml:space="preserve">s void for </w:t>
      </w:r>
      <w:r w:rsidR="004A73D4" w:rsidRPr="00B04B79">
        <w:rPr>
          <w:rFonts w:ascii="Arial" w:hAnsi="Arial" w:cs="Arial"/>
          <w:sz w:val="24"/>
          <w:szCs w:val="24"/>
        </w:rPr>
        <w:t>want</w:t>
      </w:r>
      <w:r w:rsidRPr="00B04B79">
        <w:rPr>
          <w:rFonts w:ascii="Arial" w:hAnsi="Arial" w:cs="Arial"/>
          <w:sz w:val="24"/>
          <w:szCs w:val="24"/>
        </w:rPr>
        <w:t xml:space="preserve"> of consensus </w:t>
      </w:r>
      <w:r w:rsidR="00F609BF" w:rsidRPr="00B04B79">
        <w:rPr>
          <w:rFonts w:ascii="Arial" w:hAnsi="Arial" w:cs="Arial"/>
          <w:sz w:val="24"/>
          <w:szCs w:val="24"/>
        </w:rPr>
        <w:t>in respect of</w:t>
      </w:r>
      <w:r w:rsidRPr="00B04B79">
        <w:rPr>
          <w:rFonts w:ascii="Arial" w:hAnsi="Arial" w:cs="Arial"/>
          <w:sz w:val="24"/>
          <w:szCs w:val="24"/>
        </w:rPr>
        <w:t xml:space="preserve"> the </w:t>
      </w:r>
      <w:r w:rsidRPr="00B04B79">
        <w:rPr>
          <w:rFonts w:ascii="Arial" w:hAnsi="Arial" w:cs="Arial"/>
          <w:i/>
          <w:iCs/>
          <w:sz w:val="24"/>
          <w:szCs w:val="24"/>
        </w:rPr>
        <w:t>merx</w:t>
      </w:r>
      <w:r w:rsidRPr="00B04B79">
        <w:rPr>
          <w:rFonts w:ascii="Arial" w:hAnsi="Arial" w:cs="Arial"/>
          <w:sz w:val="24"/>
          <w:szCs w:val="24"/>
        </w:rPr>
        <w:t xml:space="preserve"> at the time of its conclusion.</w:t>
      </w:r>
      <w:r w:rsidR="00590D71" w:rsidRPr="00B04B79">
        <w:rPr>
          <w:rFonts w:ascii="Arial" w:hAnsi="Arial" w:cs="Arial"/>
          <w:sz w:val="24"/>
          <w:szCs w:val="24"/>
        </w:rPr>
        <w:t xml:space="preserve"> One of the </w:t>
      </w:r>
      <w:r w:rsidR="00590D71" w:rsidRPr="00B04B79">
        <w:rPr>
          <w:rFonts w:ascii="Arial" w:hAnsi="Arial" w:cs="Arial"/>
          <w:i/>
          <w:iCs/>
          <w:sz w:val="24"/>
          <w:szCs w:val="24"/>
        </w:rPr>
        <w:t>essentialia</w:t>
      </w:r>
      <w:r w:rsidR="00590D71" w:rsidRPr="00B04B79">
        <w:rPr>
          <w:rFonts w:ascii="Arial" w:hAnsi="Arial" w:cs="Arial"/>
          <w:sz w:val="24"/>
          <w:szCs w:val="24"/>
        </w:rPr>
        <w:t xml:space="preserve"> </w:t>
      </w:r>
      <w:r w:rsidR="00590D71" w:rsidRPr="00B04B79">
        <w:rPr>
          <w:rFonts w:ascii="Arial" w:hAnsi="Arial" w:cs="Arial"/>
          <w:sz w:val="24"/>
          <w:szCs w:val="24"/>
        </w:rPr>
        <w:lastRenderedPageBreak/>
        <w:t>of any contract of sale is</w:t>
      </w:r>
      <w:r w:rsidR="00F609BF" w:rsidRPr="00B04B79">
        <w:rPr>
          <w:rFonts w:ascii="Arial" w:hAnsi="Arial" w:cs="Arial"/>
          <w:sz w:val="24"/>
          <w:szCs w:val="24"/>
        </w:rPr>
        <w:t xml:space="preserve"> </w:t>
      </w:r>
      <w:r w:rsidR="003C7DAB" w:rsidRPr="00B04B79">
        <w:rPr>
          <w:rFonts w:ascii="Arial" w:hAnsi="Arial" w:cs="Arial"/>
          <w:sz w:val="24"/>
          <w:szCs w:val="24"/>
        </w:rPr>
        <w:t xml:space="preserve">the </w:t>
      </w:r>
      <w:r w:rsidR="00230E40" w:rsidRPr="00B04B79">
        <w:rPr>
          <w:rFonts w:ascii="Arial" w:hAnsi="Arial" w:cs="Arial"/>
          <w:i/>
          <w:iCs/>
          <w:sz w:val="24"/>
          <w:szCs w:val="24"/>
        </w:rPr>
        <w:t>merx</w:t>
      </w:r>
      <w:r w:rsidR="00590D71" w:rsidRPr="00B04B79">
        <w:rPr>
          <w:rFonts w:ascii="Arial" w:hAnsi="Arial" w:cs="Arial"/>
          <w:sz w:val="24"/>
          <w:szCs w:val="24"/>
        </w:rPr>
        <w:t>.</w:t>
      </w:r>
      <w:r w:rsidR="0065629B" w:rsidRPr="00B04B79">
        <w:rPr>
          <w:rFonts w:ascii="Arial" w:hAnsi="Arial" w:cs="Arial"/>
          <w:sz w:val="24"/>
          <w:szCs w:val="24"/>
        </w:rPr>
        <w:t xml:space="preserve"> </w:t>
      </w:r>
      <w:r w:rsidR="0035409F" w:rsidRPr="00B04B79">
        <w:rPr>
          <w:rFonts w:ascii="Arial" w:hAnsi="Arial" w:cs="Arial"/>
          <w:sz w:val="24"/>
          <w:szCs w:val="24"/>
        </w:rPr>
        <w:t>On the one hand, t</w:t>
      </w:r>
      <w:r w:rsidRPr="00B04B79">
        <w:rPr>
          <w:rFonts w:ascii="Arial" w:hAnsi="Arial" w:cs="Arial"/>
          <w:bCs/>
          <w:sz w:val="24"/>
          <w:szCs w:val="24"/>
        </w:rPr>
        <w:t xml:space="preserve">he liquidators intended to sell </w:t>
      </w:r>
      <w:r w:rsidR="0035409F" w:rsidRPr="00B04B79">
        <w:rPr>
          <w:rFonts w:ascii="Arial" w:hAnsi="Arial" w:cs="Arial"/>
          <w:bCs/>
          <w:sz w:val="24"/>
          <w:szCs w:val="24"/>
        </w:rPr>
        <w:t xml:space="preserve">the whole of </w:t>
      </w:r>
      <w:r w:rsidRPr="00B04B79">
        <w:rPr>
          <w:rFonts w:ascii="Arial" w:hAnsi="Arial" w:cs="Arial"/>
          <w:bCs/>
          <w:sz w:val="24"/>
          <w:szCs w:val="24"/>
        </w:rPr>
        <w:t>erf 19565, which is the property that fell into the estate of Nomic.</w:t>
      </w:r>
      <w:r w:rsidR="00AD630E" w:rsidRPr="00B04B79">
        <w:rPr>
          <w:rFonts w:ascii="Arial" w:hAnsi="Arial" w:cs="Arial"/>
          <w:bCs/>
          <w:sz w:val="24"/>
          <w:szCs w:val="24"/>
        </w:rPr>
        <w:t xml:space="preserve"> </w:t>
      </w:r>
      <w:r w:rsidR="00633E7D" w:rsidRPr="00B04B79">
        <w:rPr>
          <w:rFonts w:ascii="Arial" w:hAnsi="Arial" w:cs="Arial"/>
          <w:bCs/>
          <w:sz w:val="24"/>
          <w:szCs w:val="24"/>
        </w:rPr>
        <w:t xml:space="preserve">On the </w:t>
      </w:r>
      <w:r w:rsidR="00633E7D" w:rsidRPr="007220F9">
        <w:rPr>
          <w:rFonts w:ascii="Arial" w:hAnsi="Arial" w:cs="Arial"/>
          <w:bCs/>
          <w:sz w:val="24"/>
          <w:szCs w:val="24"/>
        </w:rPr>
        <w:t>other,</w:t>
      </w:r>
      <w:r w:rsidR="00633E7D" w:rsidRPr="00B04B79">
        <w:rPr>
          <w:rFonts w:ascii="Arial" w:hAnsi="Arial" w:cs="Arial"/>
          <w:bCs/>
          <w:sz w:val="24"/>
          <w:szCs w:val="24"/>
        </w:rPr>
        <w:t xml:space="preserve"> </w:t>
      </w:r>
      <w:r w:rsidRPr="00B04B79">
        <w:rPr>
          <w:rFonts w:ascii="Arial" w:hAnsi="Arial" w:cs="Arial"/>
          <w:bCs/>
          <w:sz w:val="24"/>
          <w:szCs w:val="24"/>
        </w:rPr>
        <w:t xml:space="preserve">Mr Molyneux on behalf of Curro stated in </w:t>
      </w:r>
      <w:r w:rsidR="003C7EBB" w:rsidRPr="00B04B79">
        <w:rPr>
          <w:rFonts w:ascii="Arial" w:hAnsi="Arial" w:cs="Arial"/>
          <w:bCs/>
          <w:sz w:val="24"/>
          <w:szCs w:val="24"/>
        </w:rPr>
        <w:t>the</w:t>
      </w:r>
      <w:r w:rsidRPr="00B04B79">
        <w:rPr>
          <w:rFonts w:ascii="Arial" w:hAnsi="Arial" w:cs="Arial"/>
          <w:bCs/>
          <w:sz w:val="24"/>
          <w:szCs w:val="24"/>
        </w:rPr>
        <w:t xml:space="preserve"> answering affidavit</w:t>
      </w:r>
      <w:r w:rsidR="00A22E93" w:rsidRPr="00B04B79">
        <w:rPr>
          <w:rFonts w:ascii="Arial" w:hAnsi="Arial" w:cs="Arial"/>
          <w:bCs/>
          <w:sz w:val="24"/>
          <w:szCs w:val="24"/>
        </w:rPr>
        <w:t xml:space="preserve"> that </w:t>
      </w:r>
      <w:r w:rsidR="00FE5CE3" w:rsidRPr="00B04B79">
        <w:rPr>
          <w:rFonts w:ascii="Arial" w:hAnsi="Arial" w:cs="Arial"/>
          <w:bCs/>
          <w:sz w:val="24"/>
          <w:szCs w:val="24"/>
        </w:rPr>
        <w:t>Curro</w:t>
      </w:r>
      <w:r w:rsidR="00A22E93" w:rsidRPr="00B04B79">
        <w:rPr>
          <w:rFonts w:ascii="Arial" w:hAnsi="Arial" w:cs="Arial"/>
          <w:bCs/>
          <w:sz w:val="24"/>
          <w:szCs w:val="24"/>
        </w:rPr>
        <w:t xml:space="preserve"> never intended to purchase</w:t>
      </w:r>
      <w:r w:rsidR="0072109E" w:rsidRPr="00B04B79">
        <w:rPr>
          <w:rFonts w:ascii="Arial" w:hAnsi="Arial" w:cs="Arial"/>
          <w:bCs/>
          <w:sz w:val="24"/>
          <w:szCs w:val="24"/>
        </w:rPr>
        <w:t xml:space="preserve"> that part of </w:t>
      </w:r>
      <w:r w:rsidR="0080048D" w:rsidRPr="00B04B79">
        <w:rPr>
          <w:rFonts w:ascii="Arial" w:hAnsi="Arial" w:cs="Arial"/>
          <w:bCs/>
          <w:sz w:val="24"/>
          <w:szCs w:val="24"/>
        </w:rPr>
        <w:t xml:space="preserve">erf 19565 </w:t>
      </w:r>
      <w:r w:rsidR="0072109E" w:rsidRPr="00B04B79">
        <w:rPr>
          <w:rFonts w:ascii="Arial" w:hAnsi="Arial" w:cs="Arial"/>
          <w:bCs/>
          <w:sz w:val="24"/>
          <w:szCs w:val="24"/>
        </w:rPr>
        <w:t>that extends into Nurture Park</w:t>
      </w:r>
      <w:r w:rsidR="00A22E93" w:rsidRPr="00B04B79">
        <w:rPr>
          <w:rFonts w:ascii="Arial" w:hAnsi="Arial" w:cs="Arial"/>
          <w:bCs/>
          <w:sz w:val="24"/>
          <w:szCs w:val="24"/>
        </w:rPr>
        <w:t xml:space="preserve">. </w:t>
      </w:r>
      <w:r w:rsidR="00FE5CE3" w:rsidRPr="00B04B79">
        <w:rPr>
          <w:rFonts w:ascii="Arial" w:hAnsi="Arial" w:cs="Arial"/>
          <w:bCs/>
          <w:sz w:val="24"/>
          <w:szCs w:val="24"/>
        </w:rPr>
        <w:t>O</w:t>
      </w:r>
      <w:r w:rsidR="00A22E93" w:rsidRPr="00B04B79">
        <w:rPr>
          <w:rFonts w:ascii="Arial" w:hAnsi="Arial" w:cs="Arial"/>
          <w:bCs/>
          <w:sz w:val="24"/>
          <w:szCs w:val="24"/>
        </w:rPr>
        <w:t xml:space="preserve">n </w:t>
      </w:r>
      <w:r w:rsidR="007F30FE" w:rsidRPr="00B04B79">
        <w:rPr>
          <w:rFonts w:ascii="Arial" w:hAnsi="Arial" w:cs="Arial"/>
          <w:bCs/>
          <w:sz w:val="24"/>
          <w:szCs w:val="24"/>
        </w:rPr>
        <w:t xml:space="preserve">the </w:t>
      </w:r>
      <w:r w:rsidR="00A22E93" w:rsidRPr="00B04B79">
        <w:rPr>
          <w:rFonts w:ascii="Arial" w:hAnsi="Arial" w:cs="Arial"/>
          <w:bCs/>
          <w:sz w:val="24"/>
          <w:szCs w:val="24"/>
        </w:rPr>
        <w:t>probabilit</w:t>
      </w:r>
      <w:r w:rsidR="007F30FE" w:rsidRPr="00B04B79">
        <w:rPr>
          <w:rFonts w:ascii="Arial" w:hAnsi="Arial" w:cs="Arial"/>
          <w:bCs/>
          <w:sz w:val="24"/>
          <w:szCs w:val="24"/>
        </w:rPr>
        <w:t>ies,</w:t>
      </w:r>
      <w:r w:rsidR="00522664" w:rsidRPr="00B04B79">
        <w:rPr>
          <w:rFonts w:ascii="Arial" w:hAnsi="Arial" w:cs="Arial"/>
          <w:bCs/>
          <w:sz w:val="24"/>
          <w:szCs w:val="24"/>
        </w:rPr>
        <w:t xml:space="preserve"> however,</w:t>
      </w:r>
      <w:r w:rsidR="00A22E93" w:rsidRPr="00B04B79">
        <w:rPr>
          <w:rFonts w:ascii="Arial" w:hAnsi="Arial" w:cs="Arial"/>
          <w:bCs/>
          <w:sz w:val="24"/>
          <w:szCs w:val="24"/>
        </w:rPr>
        <w:t xml:space="preserve"> it </w:t>
      </w:r>
      <w:r w:rsidR="00BF5FAC" w:rsidRPr="00B04B79">
        <w:rPr>
          <w:rFonts w:ascii="Arial" w:hAnsi="Arial" w:cs="Arial"/>
          <w:bCs/>
          <w:sz w:val="24"/>
          <w:szCs w:val="24"/>
        </w:rPr>
        <w:t>would</w:t>
      </w:r>
      <w:r w:rsidR="00FA7510" w:rsidRPr="00B04B79">
        <w:rPr>
          <w:rFonts w:ascii="Arial" w:hAnsi="Arial" w:cs="Arial"/>
          <w:bCs/>
          <w:sz w:val="24"/>
          <w:szCs w:val="24"/>
        </w:rPr>
        <w:t xml:space="preserve"> </w:t>
      </w:r>
      <w:r w:rsidR="00A22E93" w:rsidRPr="00B04B79">
        <w:rPr>
          <w:rFonts w:ascii="Arial" w:hAnsi="Arial" w:cs="Arial"/>
          <w:bCs/>
          <w:sz w:val="24"/>
          <w:szCs w:val="24"/>
        </w:rPr>
        <w:t xml:space="preserve">appear that at the time of the conclusion of the agreement </w:t>
      </w:r>
      <w:r w:rsidR="00685F1D" w:rsidRPr="00B04B79">
        <w:rPr>
          <w:rFonts w:ascii="Arial" w:hAnsi="Arial" w:cs="Arial"/>
          <w:bCs/>
          <w:sz w:val="24"/>
          <w:szCs w:val="24"/>
        </w:rPr>
        <w:t>both</w:t>
      </w:r>
      <w:r w:rsidR="00622AA1" w:rsidRPr="00B04B79">
        <w:rPr>
          <w:rFonts w:ascii="Arial" w:hAnsi="Arial" w:cs="Arial"/>
          <w:bCs/>
          <w:sz w:val="24"/>
          <w:szCs w:val="24"/>
        </w:rPr>
        <w:t xml:space="preserve"> </w:t>
      </w:r>
      <w:r w:rsidR="00A22E93" w:rsidRPr="00B04B79">
        <w:rPr>
          <w:rFonts w:ascii="Arial" w:hAnsi="Arial" w:cs="Arial"/>
          <w:bCs/>
          <w:sz w:val="24"/>
          <w:szCs w:val="24"/>
        </w:rPr>
        <w:t>the liquidators and Curro intended to sell and buy the whole of erf 19565</w:t>
      </w:r>
      <w:r w:rsidR="00334C3C" w:rsidRPr="00B04B79">
        <w:rPr>
          <w:rFonts w:ascii="Arial" w:hAnsi="Arial" w:cs="Arial"/>
          <w:bCs/>
          <w:sz w:val="24"/>
          <w:szCs w:val="24"/>
        </w:rPr>
        <w:t>.</w:t>
      </w:r>
      <w:r w:rsidR="00A22E93" w:rsidRPr="00B04B79">
        <w:rPr>
          <w:rFonts w:ascii="Arial" w:hAnsi="Arial" w:cs="Arial"/>
          <w:bCs/>
          <w:sz w:val="24"/>
          <w:szCs w:val="24"/>
        </w:rPr>
        <w:t xml:space="preserve"> </w:t>
      </w:r>
      <w:r w:rsidR="000F365F" w:rsidRPr="00B04B79">
        <w:rPr>
          <w:rFonts w:ascii="Arial" w:hAnsi="Arial" w:cs="Arial"/>
          <w:bCs/>
          <w:sz w:val="24"/>
          <w:szCs w:val="24"/>
        </w:rPr>
        <w:t xml:space="preserve">It was only </w:t>
      </w:r>
      <w:r w:rsidR="00B42BE2" w:rsidRPr="00B04B79">
        <w:rPr>
          <w:rFonts w:ascii="Arial" w:hAnsi="Arial" w:cs="Arial"/>
          <w:bCs/>
          <w:sz w:val="24"/>
          <w:szCs w:val="24"/>
        </w:rPr>
        <w:t>after</w:t>
      </w:r>
      <w:r w:rsidR="000F365F" w:rsidRPr="00B04B79">
        <w:rPr>
          <w:rFonts w:ascii="Arial" w:hAnsi="Arial" w:cs="Arial"/>
          <w:bCs/>
          <w:sz w:val="24"/>
          <w:szCs w:val="24"/>
        </w:rPr>
        <w:t xml:space="preserve"> the conclusion of the agreement</w:t>
      </w:r>
      <w:r w:rsidR="00835725" w:rsidRPr="00B04B79">
        <w:rPr>
          <w:rFonts w:ascii="Arial" w:hAnsi="Arial" w:cs="Arial"/>
          <w:bCs/>
          <w:sz w:val="24"/>
          <w:szCs w:val="24"/>
        </w:rPr>
        <w:t xml:space="preserve"> </w:t>
      </w:r>
      <w:r w:rsidR="00E53C52" w:rsidRPr="00B04B79">
        <w:rPr>
          <w:rFonts w:ascii="Arial" w:hAnsi="Arial" w:cs="Arial"/>
          <w:bCs/>
          <w:sz w:val="24"/>
          <w:szCs w:val="24"/>
        </w:rPr>
        <w:t>–</w:t>
      </w:r>
      <w:r w:rsidR="00EB0B06" w:rsidRPr="00B04B79">
        <w:rPr>
          <w:rFonts w:ascii="Arial" w:hAnsi="Arial" w:cs="Arial"/>
          <w:bCs/>
          <w:sz w:val="24"/>
          <w:szCs w:val="24"/>
        </w:rPr>
        <w:t xml:space="preserve"> </w:t>
      </w:r>
      <w:r w:rsidR="00E53C52" w:rsidRPr="00B04B79">
        <w:rPr>
          <w:rFonts w:ascii="Arial" w:hAnsi="Arial" w:cs="Arial"/>
          <w:bCs/>
          <w:sz w:val="24"/>
          <w:szCs w:val="24"/>
        </w:rPr>
        <w:t>d</w:t>
      </w:r>
      <w:r w:rsidR="008A5F5F" w:rsidRPr="00B04B79">
        <w:rPr>
          <w:rFonts w:ascii="Arial" w:hAnsi="Arial" w:cs="Arial"/>
          <w:bCs/>
          <w:sz w:val="24"/>
          <w:szCs w:val="24"/>
        </w:rPr>
        <w:t xml:space="preserve">ue to </w:t>
      </w:r>
      <w:r w:rsidR="0078407D" w:rsidRPr="00B04B79">
        <w:rPr>
          <w:rFonts w:ascii="Arial" w:hAnsi="Arial" w:cs="Arial"/>
          <w:bCs/>
          <w:sz w:val="24"/>
          <w:szCs w:val="24"/>
        </w:rPr>
        <w:t xml:space="preserve">the </w:t>
      </w:r>
      <w:r w:rsidR="008A5F5F" w:rsidRPr="00B04B79">
        <w:rPr>
          <w:rFonts w:ascii="Arial" w:hAnsi="Arial" w:cs="Arial"/>
          <w:bCs/>
          <w:sz w:val="24"/>
          <w:szCs w:val="24"/>
        </w:rPr>
        <w:t>investigations</w:t>
      </w:r>
      <w:r w:rsidR="004566D3" w:rsidRPr="00B04B79">
        <w:rPr>
          <w:rFonts w:ascii="Arial" w:hAnsi="Arial" w:cs="Arial"/>
          <w:bCs/>
          <w:sz w:val="24"/>
          <w:szCs w:val="24"/>
        </w:rPr>
        <w:t xml:space="preserve"> </w:t>
      </w:r>
      <w:r w:rsidR="00CA453F" w:rsidRPr="00B04B79">
        <w:rPr>
          <w:rFonts w:ascii="Arial" w:hAnsi="Arial" w:cs="Arial"/>
          <w:bCs/>
          <w:sz w:val="24"/>
          <w:szCs w:val="24"/>
        </w:rPr>
        <w:t>that Mr M</w:t>
      </w:r>
      <w:r w:rsidR="007D6E9A" w:rsidRPr="00B04B79">
        <w:rPr>
          <w:rFonts w:ascii="Arial" w:hAnsi="Arial" w:cs="Arial"/>
          <w:bCs/>
          <w:sz w:val="24"/>
          <w:szCs w:val="24"/>
        </w:rPr>
        <w:t>o</w:t>
      </w:r>
      <w:r w:rsidR="00CA453F" w:rsidRPr="00B04B79">
        <w:rPr>
          <w:rFonts w:ascii="Arial" w:hAnsi="Arial" w:cs="Arial"/>
          <w:bCs/>
          <w:sz w:val="24"/>
          <w:szCs w:val="24"/>
        </w:rPr>
        <w:t>lyneux</w:t>
      </w:r>
      <w:r w:rsidR="007620DA" w:rsidRPr="00B04B79">
        <w:rPr>
          <w:rFonts w:ascii="Arial" w:hAnsi="Arial" w:cs="Arial"/>
          <w:bCs/>
          <w:sz w:val="24"/>
          <w:szCs w:val="24"/>
        </w:rPr>
        <w:t xml:space="preserve"> undertook</w:t>
      </w:r>
      <w:r w:rsidR="00DF795A" w:rsidRPr="00B04B79">
        <w:rPr>
          <w:rFonts w:ascii="Arial" w:hAnsi="Arial" w:cs="Arial"/>
          <w:bCs/>
          <w:sz w:val="24"/>
          <w:szCs w:val="24"/>
        </w:rPr>
        <w:t xml:space="preserve"> </w:t>
      </w:r>
      <w:r w:rsidR="007C4CFA" w:rsidRPr="00B04B79">
        <w:rPr>
          <w:rFonts w:ascii="Arial" w:hAnsi="Arial" w:cs="Arial"/>
          <w:bCs/>
          <w:sz w:val="24"/>
          <w:szCs w:val="24"/>
        </w:rPr>
        <w:t>–</w:t>
      </w:r>
      <w:r w:rsidR="00AC363A" w:rsidRPr="00B04B79">
        <w:rPr>
          <w:rFonts w:ascii="Arial" w:hAnsi="Arial" w:cs="Arial"/>
          <w:bCs/>
          <w:sz w:val="24"/>
          <w:szCs w:val="24"/>
        </w:rPr>
        <w:t xml:space="preserve"> </w:t>
      </w:r>
      <w:r w:rsidR="00DF795A" w:rsidRPr="00B04B79">
        <w:rPr>
          <w:rFonts w:ascii="Arial" w:hAnsi="Arial" w:cs="Arial"/>
          <w:bCs/>
          <w:sz w:val="24"/>
          <w:szCs w:val="24"/>
        </w:rPr>
        <w:t>that Curro</w:t>
      </w:r>
      <w:r w:rsidR="00AC363A" w:rsidRPr="00B04B79">
        <w:rPr>
          <w:rFonts w:ascii="Arial" w:hAnsi="Arial" w:cs="Arial"/>
          <w:bCs/>
          <w:sz w:val="24"/>
          <w:szCs w:val="24"/>
        </w:rPr>
        <w:t xml:space="preserve">, </w:t>
      </w:r>
      <w:r w:rsidR="000F1854" w:rsidRPr="00B04B79">
        <w:rPr>
          <w:rFonts w:ascii="Arial" w:hAnsi="Arial" w:cs="Arial"/>
          <w:bCs/>
          <w:sz w:val="24"/>
          <w:szCs w:val="24"/>
        </w:rPr>
        <w:t>on Friday 2 June 2020</w:t>
      </w:r>
      <w:r w:rsidR="00AC363A" w:rsidRPr="00B04B79">
        <w:rPr>
          <w:rFonts w:ascii="Arial" w:hAnsi="Arial" w:cs="Arial"/>
          <w:bCs/>
          <w:sz w:val="24"/>
          <w:szCs w:val="24"/>
        </w:rPr>
        <w:t>,</w:t>
      </w:r>
      <w:r w:rsidR="000F1854" w:rsidRPr="00B04B79">
        <w:rPr>
          <w:rFonts w:ascii="Arial" w:hAnsi="Arial" w:cs="Arial"/>
          <w:bCs/>
          <w:sz w:val="24"/>
          <w:szCs w:val="24"/>
        </w:rPr>
        <w:t xml:space="preserve"> </w:t>
      </w:r>
      <w:r w:rsidR="008A5F5F" w:rsidRPr="00B04B79">
        <w:rPr>
          <w:rFonts w:ascii="Arial" w:hAnsi="Arial" w:cs="Arial"/>
          <w:bCs/>
          <w:sz w:val="24"/>
          <w:szCs w:val="24"/>
        </w:rPr>
        <w:t xml:space="preserve">realised that the part of </w:t>
      </w:r>
      <w:r w:rsidR="00792733" w:rsidRPr="00B04B79">
        <w:rPr>
          <w:rFonts w:ascii="Arial" w:hAnsi="Arial" w:cs="Arial"/>
          <w:bCs/>
          <w:sz w:val="24"/>
          <w:szCs w:val="24"/>
        </w:rPr>
        <w:t xml:space="preserve">erf 19565 </w:t>
      </w:r>
      <w:r w:rsidR="00222D6D" w:rsidRPr="00B04B79">
        <w:rPr>
          <w:rFonts w:ascii="Arial" w:hAnsi="Arial" w:cs="Arial"/>
          <w:bCs/>
          <w:sz w:val="24"/>
          <w:szCs w:val="24"/>
        </w:rPr>
        <w:t>(</w:t>
      </w:r>
      <w:r w:rsidR="007F30FE" w:rsidRPr="00B04B79">
        <w:rPr>
          <w:rFonts w:ascii="Arial" w:hAnsi="Arial" w:cs="Arial"/>
          <w:bCs/>
          <w:sz w:val="24"/>
          <w:szCs w:val="24"/>
        </w:rPr>
        <w:t>the ring road</w:t>
      </w:r>
      <w:r w:rsidR="00222D6D" w:rsidRPr="00B04B79">
        <w:rPr>
          <w:rFonts w:ascii="Arial" w:hAnsi="Arial" w:cs="Arial"/>
          <w:bCs/>
          <w:sz w:val="24"/>
          <w:szCs w:val="24"/>
        </w:rPr>
        <w:t>)</w:t>
      </w:r>
      <w:r w:rsidR="008A5F5F" w:rsidRPr="00B04B79">
        <w:rPr>
          <w:rFonts w:ascii="Arial" w:hAnsi="Arial" w:cs="Arial"/>
          <w:bCs/>
          <w:sz w:val="24"/>
          <w:szCs w:val="24"/>
        </w:rPr>
        <w:t xml:space="preserve"> that extends into Nurture Park would also vest in Curro if effect is given to the agreement.</w:t>
      </w:r>
    </w:p>
    <w:p w14:paraId="4EA22F27" w14:textId="3EF7B905" w:rsidR="008A5F5F" w:rsidRPr="00B04B79" w:rsidRDefault="008A5F5F" w:rsidP="008E76A5">
      <w:pPr>
        <w:tabs>
          <w:tab w:val="left" w:pos="720"/>
          <w:tab w:val="left" w:pos="1440"/>
          <w:tab w:val="left" w:pos="2160"/>
          <w:tab w:val="right" w:pos="9026"/>
        </w:tabs>
        <w:rPr>
          <w:rFonts w:ascii="Arial" w:hAnsi="Arial" w:cs="Arial"/>
          <w:bCs/>
          <w:sz w:val="24"/>
          <w:szCs w:val="24"/>
        </w:rPr>
      </w:pPr>
    </w:p>
    <w:p w14:paraId="49FFDBD1" w14:textId="63E9BBB1" w:rsidR="00E10F01" w:rsidRPr="00B04B79" w:rsidRDefault="008A5F5F" w:rsidP="00C56AFA">
      <w:pPr>
        <w:tabs>
          <w:tab w:val="left" w:pos="720"/>
          <w:tab w:val="left" w:pos="1440"/>
          <w:tab w:val="left" w:pos="2160"/>
          <w:tab w:val="right" w:pos="9026"/>
        </w:tabs>
        <w:rPr>
          <w:rFonts w:ascii="Arial" w:hAnsi="Arial" w:cs="Arial"/>
          <w:sz w:val="24"/>
          <w:szCs w:val="24"/>
        </w:rPr>
      </w:pPr>
      <w:r w:rsidRPr="00B04B79">
        <w:rPr>
          <w:rFonts w:ascii="Arial" w:hAnsi="Arial" w:cs="Arial"/>
          <w:bCs/>
          <w:sz w:val="24"/>
          <w:szCs w:val="24"/>
        </w:rPr>
        <w:t>[1</w:t>
      </w:r>
      <w:r w:rsidR="00C71B2C" w:rsidRPr="00B04B79">
        <w:rPr>
          <w:rFonts w:ascii="Arial" w:hAnsi="Arial" w:cs="Arial"/>
          <w:bCs/>
          <w:sz w:val="24"/>
          <w:szCs w:val="24"/>
        </w:rPr>
        <w:t>3</w:t>
      </w:r>
      <w:r w:rsidRPr="00B04B79">
        <w:rPr>
          <w:rFonts w:ascii="Arial" w:hAnsi="Arial" w:cs="Arial"/>
          <w:bCs/>
          <w:sz w:val="24"/>
          <w:szCs w:val="24"/>
        </w:rPr>
        <w:t>]</w:t>
      </w:r>
      <w:r w:rsidRPr="00B04B79">
        <w:rPr>
          <w:rFonts w:ascii="Arial" w:hAnsi="Arial" w:cs="Arial"/>
          <w:bCs/>
          <w:sz w:val="24"/>
          <w:szCs w:val="24"/>
        </w:rPr>
        <w:tab/>
        <w:t xml:space="preserve">But, </w:t>
      </w:r>
      <w:r w:rsidR="00A102ED" w:rsidRPr="00B04B79">
        <w:rPr>
          <w:rFonts w:ascii="Arial" w:hAnsi="Arial" w:cs="Arial"/>
          <w:bCs/>
          <w:sz w:val="24"/>
          <w:szCs w:val="24"/>
        </w:rPr>
        <w:t>it must be acknowledged that</w:t>
      </w:r>
      <w:r w:rsidR="00303BE2" w:rsidRPr="00B04B79">
        <w:rPr>
          <w:rFonts w:ascii="Arial" w:hAnsi="Arial" w:cs="Arial"/>
          <w:bCs/>
          <w:sz w:val="24"/>
          <w:szCs w:val="24"/>
        </w:rPr>
        <w:t xml:space="preserve"> </w:t>
      </w:r>
      <w:r w:rsidR="007F30FE" w:rsidRPr="00B04B79">
        <w:rPr>
          <w:rFonts w:ascii="Arial" w:hAnsi="Arial" w:cs="Arial"/>
          <w:bCs/>
          <w:sz w:val="24"/>
          <w:szCs w:val="24"/>
        </w:rPr>
        <w:t>‘</w:t>
      </w:r>
      <w:r w:rsidR="00C56AFA" w:rsidRPr="00B04B79">
        <w:rPr>
          <w:rFonts w:ascii="Arial" w:hAnsi="Arial" w:cs="Arial"/>
          <w:sz w:val="24"/>
          <w:szCs w:val="24"/>
        </w:rPr>
        <w:t>[m]otion proceedings, unless concerned with interim relief, are all about the resolution of legal issues based on common cause facts’ and, ‘[u]nless the circumstances are special they cannot be used to resolve factual issues because they are not designed to determine probabilities’.</w:t>
      </w:r>
      <w:r w:rsidR="007F30FE" w:rsidRPr="00B04B79">
        <w:rPr>
          <w:rStyle w:val="FootnoteReference"/>
          <w:rFonts w:ascii="Arial" w:hAnsi="Arial" w:cs="Arial"/>
          <w:sz w:val="24"/>
          <w:szCs w:val="24"/>
        </w:rPr>
        <w:footnoteReference w:id="2"/>
      </w:r>
      <w:r w:rsidR="00C56AFA" w:rsidRPr="00B04B79">
        <w:rPr>
          <w:rFonts w:ascii="Arial" w:hAnsi="Arial" w:cs="Arial"/>
          <w:sz w:val="24"/>
          <w:szCs w:val="24"/>
        </w:rPr>
        <w:t xml:space="preserve"> Even if I were to accept that Curro’s version is improbable in certain respects, the matter is to be decided without the benefit of oral evidence</w:t>
      </w:r>
      <w:r w:rsidR="007D776A" w:rsidRPr="00B04B79">
        <w:rPr>
          <w:rFonts w:ascii="Arial" w:hAnsi="Arial" w:cs="Arial"/>
          <w:sz w:val="24"/>
          <w:szCs w:val="24"/>
        </w:rPr>
        <w:t>.</w:t>
      </w:r>
      <w:r w:rsidR="00862A79" w:rsidRPr="00B04B79">
        <w:rPr>
          <w:rFonts w:ascii="Arial" w:hAnsi="Arial" w:cs="Arial"/>
          <w:sz w:val="24"/>
          <w:szCs w:val="24"/>
        </w:rPr>
        <w:t xml:space="preserve"> I, therefore,</w:t>
      </w:r>
      <w:r w:rsidR="00564B38" w:rsidRPr="00B04B79">
        <w:rPr>
          <w:rFonts w:ascii="Arial" w:hAnsi="Arial" w:cs="Arial"/>
          <w:sz w:val="24"/>
          <w:szCs w:val="24"/>
        </w:rPr>
        <w:t xml:space="preserve"> </w:t>
      </w:r>
      <w:r w:rsidR="00C56AFA" w:rsidRPr="00B04B79">
        <w:rPr>
          <w:rFonts w:ascii="Arial" w:hAnsi="Arial" w:cs="Arial"/>
          <w:sz w:val="24"/>
          <w:szCs w:val="24"/>
        </w:rPr>
        <w:t>have to accept the facts alleged in Curro’s answering affidavit ‘unless they constituted bald or uncreditworthy denials or were palpably implausible, far-fetched or so clearly untenable that they could safe</w:t>
      </w:r>
      <w:r w:rsidR="00134C1A" w:rsidRPr="00B04B79">
        <w:rPr>
          <w:rFonts w:ascii="Arial" w:hAnsi="Arial" w:cs="Arial"/>
          <w:sz w:val="24"/>
          <w:szCs w:val="24"/>
        </w:rPr>
        <w:t xml:space="preserve">ly be rejected on the papers’. </w:t>
      </w:r>
      <w:r w:rsidR="00564B38" w:rsidRPr="00B04B79">
        <w:rPr>
          <w:rFonts w:ascii="Arial" w:hAnsi="Arial" w:cs="Arial"/>
          <w:sz w:val="24"/>
          <w:szCs w:val="24"/>
        </w:rPr>
        <w:t>A ‘</w:t>
      </w:r>
      <w:r w:rsidR="00C56AFA" w:rsidRPr="00B04B79">
        <w:rPr>
          <w:rFonts w:ascii="Arial" w:hAnsi="Arial" w:cs="Arial"/>
          <w:sz w:val="24"/>
          <w:szCs w:val="24"/>
        </w:rPr>
        <w:t>finding to that effect occurs infrequently because courts are always alive to the potential for evidence and cross-examination to alter its view of the facts and the plausibility of the evidence’.</w:t>
      </w:r>
      <w:r w:rsidR="00E30FAE" w:rsidRPr="00B04B79">
        <w:rPr>
          <w:rStyle w:val="FootnoteReference"/>
          <w:rFonts w:ascii="Arial" w:hAnsi="Arial" w:cs="Arial"/>
          <w:sz w:val="24"/>
          <w:szCs w:val="24"/>
        </w:rPr>
        <w:footnoteReference w:id="3"/>
      </w:r>
      <w:r w:rsidR="00C56AFA" w:rsidRPr="00B04B79">
        <w:rPr>
          <w:rFonts w:ascii="Arial" w:hAnsi="Arial" w:cs="Arial"/>
          <w:sz w:val="24"/>
          <w:szCs w:val="24"/>
        </w:rPr>
        <w:t xml:space="preserve"> </w:t>
      </w:r>
      <w:r w:rsidR="00FA1177" w:rsidRPr="00B04B79">
        <w:rPr>
          <w:rFonts w:ascii="Arial" w:hAnsi="Arial" w:cs="Arial"/>
          <w:sz w:val="24"/>
          <w:szCs w:val="24"/>
        </w:rPr>
        <w:t>T</w:t>
      </w:r>
      <w:r w:rsidR="00C56AFA" w:rsidRPr="00B04B79">
        <w:rPr>
          <w:rFonts w:ascii="Arial" w:hAnsi="Arial" w:cs="Arial"/>
          <w:sz w:val="24"/>
          <w:szCs w:val="24"/>
        </w:rPr>
        <w:t>he test in t</w:t>
      </w:r>
      <w:r w:rsidR="00FA1177" w:rsidRPr="00B04B79">
        <w:rPr>
          <w:rFonts w:ascii="Arial" w:hAnsi="Arial" w:cs="Arial"/>
          <w:sz w:val="24"/>
          <w:szCs w:val="24"/>
        </w:rPr>
        <w:t>h</w:t>
      </w:r>
      <w:r w:rsidR="00083756" w:rsidRPr="00B04B79">
        <w:rPr>
          <w:rFonts w:ascii="Arial" w:hAnsi="Arial" w:cs="Arial"/>
          <w:sz w:val="24"/>
          <w:szCs w:val="24"/>
        </w:rPr>
        <w:t>at</w:t>
      </w:r>
      <w:r w:rsidR="00C56AFA" w:rsidRPr="00B04B79">
        <w:rPr>
          <w:rFonts w:ascii="Arial" w:hAnsi="Arial" w:cs="Arial"/>
          <w:sz w:val="24"/>
          <w:szCs w:val="24"/>
        </w:rPr>
        <w:t xml:space="preserve"> regard is </w:t>
      </w:r>
      <w:r w:rsidR="00235F76" w:rsidRPr="00B04B79">
        <w:rPr>
          <w:rFonts w:ascii="Arial" w:hAnsi="Arial" w:cs="Arial"/>
          <w:sz w:val="24"/>
          <w:szCs w:val="24"/>
        </w:rPr>
        <w:t>‘</w:t>
      </w:r>
      <w:r w:rsidR="00C56AFA" w:rsidRPr="00B04B79">
        <w:rPr>
          <w:rFonts w:ascii="Arial" w:hAnsi="Arial" w:cs="Arial"/>
          <w:sz w:val="24"/>
          <w:szCs w:val="24"/>
        </w:rPr>
        <w:t>a stringent one not easily satisfied</w:t>
      </w:r>
      <w:r w:rsidR="00235F76" w:rsidRPr="00B04B79">
        <w:rPr>
          <w:rFonts w:ascii="Arial" w:hAnsi="Arial" w:cs="Arial"/>
          <w:sz w:val="24"/>
          <w:szCs w:val="24"/>
        </w:rPr>
        <w:t>’</w:t>
      </w:r>
      <w:r w:rsidR="00C56AFA" w:rsidRPr="00B04B79">
        <w:rPr>
          <w:rFonts w:ascii="Arial" w:hAnsi="Arial" w:cs="Arial"/>
          <w:sz w:val="24"/>
          <w:szCs w:val="24"/>
        </w:rPr>
        <w:t>.</w:t>
      </w:r>
      <w:r w:rsidR="00774801" w:rsidRPr="00B04B79">
        <w:rPr>
          <w:rStyle w:val="FootnoteReference"/>
          <w:rFonts w:ascii="Arial" w:hAnsi="Arial" w:cs="Arial"/>
          <w:sz w:val="24"/>
          <w:szCs w:val="24"/>
        </w:rPr>
        <w:footnoteReference w:id="4"/>
      </w:r>
      <w:r w:rsidR="00C56AFA" w:rsidRPr="00B04B79">
        <w:rPr>
          <w:rFonts w:ascii="Arial" w:hAnsi="Arial" w:cs="Arial"/>
          <w:sz w:val="24"/>
          <w:szCs w:val="24"/>
        </w:rPr>
        <w:t xml:space="preserve"> </w:t>
      </w:r>
      <w:r w:rsidR="00B60BF5" w:rsidRPr="00B04B79">
        <w:rPr>
          <w:rFonts w:ascii="Arial" w:hAnsi="Arial" w:cs="Arial"/>
          <w:sz w:val="24"/>
          <w:szCs w:val="24"/>
        </w:rPr>
        <w:t>The rationale for its</w:t>
      </w:r>
      <w:r w:rsidR="00A95CCB" w:rsidRPr="00B04B79">
        <w:rPr>
          <w:rFonts w:ascii="Arial" w:hAnsi="Arial" w:cs="Arial"/>
          <w:sz w:val="24"/>
          <w:szCs w:val="24"/>
        </w:rPr>
        <w:t xml:space="preserve"> stringency is this:</w:t>
      </w:r>
    </w:p>
    <w:p w14:paraId="5EB86BFC" w14:textId="302BBC6B" w:rsidR="00640E58" w:rsidRPr="00B04B79" w:rsidRDefault="00485204" w:rsidP="00C56AFA">
      <w:pPr>
        <w:tabs>
          <w:tab w:val="left" w:pos="720"/>
          <w:tab w:val="left" w:pos="1440"/>
          <w:tab w:val="left" w:pos="2160"/>
          <w:tab w:val="right" w:pos="9026"/>
        </w:tabs>
        <w:rPr>
          <w:rFonts w:ascii="Arial" w:hAnsi="Arial" w:cs="Arial"/>
        </w:rPr>
      </w:pPr>
      <w:r w:rsidRPr="00B04B79">
        <w:rPr>
          <w:rFonts w:ascii="Arial" w:hAnsi="Arial" w:cs="Arial"/>
        </w:rPr>
        <w:t>‘</w:t>
      </w:r>
      <w:r w:rsidR="00C56AFA" w:rsidRPr="00B04B79">
        <w:rPr>
          <w:rFonts w:ascii="Arial" w:hAnsi="Arial" w:cs="Arial"/>
        </w:rPr>
        <w:t>As everybody who has anything to do with the law well knows, the path of the law is strewn with examples of open and shut cases which, somehow, were not; of unanswerable charges which, in the event, were completely answered; of inexplicable conduct which was fully explained; of fixed and unalterable determinations that, by discussion, suffered a change.</w:t>
      </w:r>
      <w:r w:rsidR="008C30DA" w:rsidRPr="00B04B79">
        <w:rPr>
          <w:rFonts w:ascii="Arial" w:hAnsi="Arial" w:cs="Arial"/>
        </w:rPr>
        <w:t>’</w:t>
      </w:r>
      <w:r w:rsidR="008C30DA" w:rsidRPr="00B04B79">
        <w:rPr>
          <w:rStyle w:val="FootnoteReference"/>
          <w:rFonts w:ascii="Arial" w:hAnsi="Arial" w:cs="Arial"/>
        </w:rPr>
        <w:footnoteReference w:id="5"/>
      </w:r>
    </w:p>
    <w:p w14:paraId="1723F54A" w14:textId="703FF9EE" w:rsidR="0065629B" w:rsidRPr="00B04B79" w:rsidRDefault="0065629B" w:rsidP="00C56AFA">
      <w:pPr>
        <w:tabs>
          <w:tab w:val="left" w:pos="720"/>
          <w:tab w:val="left" w:pos="1440"/>
          <w:tab w:val="left" w:pos="2160"/>
          <w:tab w:val="right" w:pos="9026"/>
        </w:tabs>
        <w:rPr>
          <w:rFonts w:ascii="Arial" w:hAnsi="Arial" w:cs="Arial"/>
          <w:sz w:val="24"/>
          <w:szCs w:val="24"/>
        </w:rPr>
      </w:pPr>
    </w:p>
    <w:p w14:paraId="2A92C82A" w14:textId="44080AE9" w:rsidR="00590D71" w:rsidRPr="00B04B79" w:rsidRDefault="0065629B" w:rsidP="00C56AFA">
      <w:pPr>
        <w:tabs>
          <w:tab w:val="left" w:pos="720"/>
          <w:tab w:val="left" w:pos="1440"/>
          <w:tab w:val="left" w:pos="2160"/>
          <w:tab w:val="right" w:pos="9026"/>
        </w:tabs>
        <w:rPr>
          <w:rFonts w:ascii="Arial" w:hAnsi="Arial" w:cs="Arial"/>
          <w:sz w:val="24"/>
          <w:szCs w:val="24"/>
        </w:rPr>
      </w:pPr>
      <w:r w:rsidRPr="00B04B79">
        <w:rPr>
          <w:rFonts w:ascii="Arial" w:hAnsi="Arial" w:cs="Arial"/>
          <w:sz w:val="24"/>
          <w:szCs w:val="24"/>
        </w:rPr>
        <w:lastRenderedPageBreak/>
        <w:t>[1</w:t>
      </w:r>
      <w:r w:rsidR="006B082F" w:rsidRPr="00B04B79">
        <w:rPr>
          <w:rFonts w:ascii="Arial" w:hAnsi="Arial" w:cs="Arial"/>
          <w:sz w:val="24"/>
          <w:szCs w:val="24"/>
        </w:rPr>
        <w:t>4</w:t>
      </w:r>
      <w:r w:rsidRPr="00B04B79">
        <w:rPr>
          <w:rFonts w:ascii="Arial" w:hAnsi="Arial" w:cs="Arial"/>
          <w:sz w:val="24"/>
          <w:szCs w:val="24"/>
        </w:rPr>
        <w:t>]</w:t>
      </w:r>
      <w:r w:rsidRPr="00B04B79">
        <w:rPr>
          <w:rFonts w:ascii="Arial" w:hAnsi="Arial" w:cs="Arial"/>
          <w:sz w:val="24"/>
          <w:szCs w:val="24"/>
        </w:rPr>
        <w:tab/>
        <w:t>That stringent test</w:t>
      </w:r>
      <w:r w:rsidR="00576D5D" w:rsidRPr="00B04B79">
        <w:rPr>
          <w:rFonts w:ascii="Arial" w:hAnsi="Arial" w:cs="Arial"/>
          <w:sz w:val="24"/>
          <w:szCs w:val="24"/>
        </w:rPr>
        <w:t xml:space="preserve"> </w:t>
      </w:r>
      <w:r w:rsidR="00745F85" w:rsidRPr="00B04B79">
        <w:rPr>
          <w:rFonts w:ascii="Arial" w:hAnsi="Arial" w:cs="Arial"/>
          <w:sz w:val="24"/>
          <w:szCs w:val="24"/>
        </w:rPr>
        <w:t>has not</w:t>
      </w:r>
      <w:r w:rsidRPr="00B04B79">
        <w:rPr>
          <w:rFonts w:ascii="Arial" w:hAnsi="Arial" w:cs="Arial"/>
          <w:sz w:val="24"/>
          <w:szCs w:val="24"/>
        </w:rPr>
        <w:t xml:space="preserve"> been satisfied</w:t>
      </w:r>
      <w:r w:rsidR="00745F85" w:rsidRPr="00B04B79">
        <w:rPr>
          <w:rFonts w:ascii="Arial" w:hAnsi="Arial" w:cs="Arial"/>
          <w:sz w:val="24"/>
          <w:szCs w:val="24"/>
        </w:rPr>
        <w:t xml:space="preserve"> in this instance</w:t>
      </w:r>
      <w:r w:rsidRPr="00B04B79">
        <w:rPr>
          <w:rFonts w:ascii="Arial" w:hAnsi="Arial" w:cs="Arial"/>
          <w:sz w:val="24"/>
          <w:szCs w:val="24"/>
        </w:rPr>
        <w:t xml:space="preserve">. I conclude, therefore, that the agreement </w:t>
      </w:r>
      <w:r w:rsidR="00E30FAE" w:rsidRPr="00B04B79">
        <w:rPr>
          <w:rFonts w:ascii="Arial" w:hAnsi="Arial" w:cs="Arial"/>
          <w:sz w:val="24"/>
          <w:szCs w:val="24"/>
        </w:rPr>
        <w:t>i</w:t>
      </w:r>
      <w:r w:rsidRPr="00B04B79">
        <w:rPr>
          <w:rFonts w:ascii="Arial" w:hAnsi="Arial" w:cs="Arial"/>
          <w:sz w:val="24"/>
          <w:szCs w:val="24"/>
        </w:rPr>
        <w:t xml:space="preserve">s </w:t>
      </w:r>
      <w:r w:rsidR="00E30FAE" w:rsidRPr="00B04B79">
        <w:rPr>
          <w:rFonts w:ascii="Arial" w:hAnsi="Arial" w:cs="Arial"/>
          <w:sz w:val="24"/>
          <w:szCs w:val="24"/>
        </w:rPr>
        <w:t xml:space="preserve">null and </w:t>
      </w:r>
      <w:r w:rsidRPr="00B04B79">
        <w:rPr>
          <w:rFonts w:ascii="Arial" w:hAnsi="Arial" w:cs="Arial"/>
          <w:sz w:val="24"/>
          <w:szCs w:val="24"/>
        </w:rPr>
        <w:t xml:space="preserve">void </w:t>
      </w:r>
      <w:r w:rsidR="00E30FAE" w:rsidRPr="00B04B79">
        <w:rPr>
          <w:rFonts w:ascii="Arial" w:hAnsi="Arial" w:cs="Arial"/>
          <w:i/>
          <w:iCs/>
          <w:sz w:val="24"/>
          <w:szCs w:val="24"/>
        </w:rPr>
        <w:t xml:space="preserve">ab initio </w:t>
      </w:r>
      <w:r w:rsidRPr="00B04B79">
        <w:rPr>
          <w:rFonts w:ascii="Arial" w:hAnsi="Arial" w:cs="Arial"/>
          <w:sz w:val="24"/>
          <w:szCs w:val="24"/>
        </w:rPr>
        <w:t xml:space="preserve">for </w:t>
      </w:r>
      <w:r w:rsidR="00E30FAE" w:rsidRPr="00B04B79">
        <w:rPr>
          <w:rFonts w:ascii="Arial" w:hAnsi="Arial" w:cs="Arial"/>
          <w:sz w:val="24"/>
          <w:szCs w:val="24"/>
        </w:rPr>
        <w:t>want</w:t>
      </w:r>
      <w:r w:rsidRPr="00B04B79">
        <w:rPr>
          <w:rFonts w:ascii="Arial" w:hAnsi="Arial" w:cs="Arial"/>
          <w:sz w:val="24"/>
          <w:szCs w:val="24"/>
        </w:rPr>
        <w:t xml:space="preserve"> of consensus </w:t>
      </w:r>
      <w:r w:rsidR="00E30FAE" w:rsidRPr="00B04B79">
        <w:rPr>
          <w:rFonts w:ascii="Arial" w:hAnsi="Arial" w:cs="Arial"/>
          <w:sz w:val="24"/>
          <w:szCs w:val="24"/>
        </w:rPr>
        <w:t>in respect of</w:t>
      </w:r>
      <w:r w:rsidRPr="00B04B79">
        <w:rPr>
          <w:rFonts w:ascii="Arial" w:hAnsi="Arial" w:cs="Arial"/>
          <w:sz w:val="24"/>
          <w:szCs w:val="24"/>
        </w:rPr>
        <w:t xml:space="preserve"> the </w:t>
      </w:r>
      <w:r w:rsidRPr="00B04B79">
        <w:rPr>
          <w:rFonts w:ascii="Arial" w:hAnsi="Arial" w:cs="Arial"/>
          <w:i/>
          <w:iCs/>
          <w:sz w:val="24"/>
          <w:szCs w:val="24"/>
        </w:rPr>
        <w:t>merx</w:t>
      </w:r>
      <w:r w:rsidRPr="00B04B79">
        <w:rPr>
          <w:rFonts w:ascii="Arial" w:hAnsi="Arial" w:cs="Arial"/>
          <w:sz w:val="24"/>
          <w:szCs w:val="24"/>
        </w:rPr>
        <w:t xml:space="preserve"> at the time of its conclusion.</w:t>
      </w:r>
      <w:r w:rsidR="000C1D49" w:rsidRPr="00B04B79">
        <w:rPr>
          <w:rFonts w:ascii="Arial" w:hAnsi="Arial" w:cs="Arial"/>
          <w:sz w:val="24"/>
          <w:szCs w:val="24"/>
        </w:rPr>
        <w:t xml:space="preserve"> </w:t>
      </w:r>
      <w:r w:rsidR="00DD6EB2" w:rsidRPr="00B04B79">
        <w:rPr>
          <w:rFonts w:ascii="Arial" w:hAnsi="Arial" w:cs="Arial"/>
          <w:sz w:val="24"/>
          <w:szCs w:val="24"/>
        </w:rPr>
        <w:t xml:space="preserve">A </w:t>
      </w:r>
      <w:r w:rsidR="000C1D49" w:rsidRPr="00B04B79">
        <w:rPr>
          <w:rFonts w:ascii="Arial" w:hAnsi="Arial" w:cs="Arial"/>
          <w:sz w:val="24"/>
          <w:szCs w:val="24"/>
        </w:rPr>
        <w:t>plea of rectification</w:t>
      </w:r>
      <w:r w:rsidR="00DD6EB2" w:rsidRPr="00B04B79">
        <w:rPr>
          <w:rFonts w:ascii="Arial" w:hAnsi="Arial" w:cs="Arial"/>
          <w:sz w:val="24"/>
          <w:szCs w:val="24"/>
        </w:rPr>
        <w:t xml:space="preserve"> </w:t>
      </w:r>
      <w:r w:rsidR="00267DFC" w:rsidRPr="00B04B79">
        <w:rPr>
          <w:rFonts w:ascii="Arial" w:hAnsi="Arial" w:cs="Arial"/>
          <w:sz w:val="24"/>
          <w:szCs w:val="24"/>
        </w:rPr>
        <w:t xml:space="preserve">thus </w:t>
      </w:r>
      <w:r w:rsidR="00B75366" w:rsidRPr="00B04B79">
        <w:rPr>
          <w:rFonts w:ascii="Arial" w:hAnsi="Arial" w:cs="Arial"/>
          <w:sz w:val="24"/>
          <w:szCs w:val="24"/>
        </w:rPr>
        <w:t>does not avail Curro</w:t>
      </w:r>
      <w:r w:rsidR="000C1D49" w:rsidRPr="00B04B79">
        <w:rPr>
          <w:rFonts w:ascii="Arial" w:hAnsi="Arial" w:cs="Arial"/>
          <w:sz w:val="24"/>
          <w:szCs w:val="24"/>
        </w:rPr>
        <w:t>. This is so</w:t>
      </w:r>
      <w:r w:rsidR="00E30FAE" w:rsidRPr="00B04B79">
        <w:rPr>
          <w:rFonts w:ascii="Arial" w:hAnsi="Arial" w:cs="Arial"/>
          <w:sz w:val="24"/>
          <w:szCs w:val="24"/>
        </w:rPr>
        <w:t>,</w:t>
      </w:r>
      <w:r w:rsidR="00FC73ED" w:rsidRPr="00B04B79">
        <w:rPr>
          <w:rFonts w:ascii="Arial" w:hAnsi="Arial" w:cs="Arial"/>
          <w:sz w:val="24"/>
          <w:szCs w:val="24"/>
        </w:rPr>
        <w:t xml:space="preserve"> because rectification of a written agreement is a remedy available to parties in instances where an agreement reduced to writing, through a mistake common to the parties, does not reflect the true intention of the contracting parties. ‘It is not the agreement between the parties which … is rectified. The Court has no power to alter it. To do so would be to amend their common intention and in effect to devise a fresh pact for them. That is their exclusive prerogative. All that the Court ever touches is the document’.</w:t>
      </w:r>
      <w:r w:rsidR="00A8214F" w:rsidRPr="00B04B79">
        <w:rPr>
          <w:rStyle w:val="FootnoteReference"/>
          <w:rFonts w:ascii="Arial" w:hAnsi="Arial" w:cs="Arial"/>
          <w:sz w:val="24"/>
          <w:szCs w:val="24"/>
        </w:rPr>
        <w:footnoteReference w:id="6"/>
      </w:r>
      <w:r w:rsidR="00FC73ED" w:rsidRPr="00B04B79">
        <w:rPr>
          <w:rFonts w:ascii="Arial" w:hAnsi="Arial" w:cs="Arial"/>
          <w:sz w:val="24"/>
          <w:szCs w:val="24"/>
        </w:rPr>
        <w:t xml:space="preserve"> The onus is on a party seeking rectification to show, on the balance of probabilities, that the written agreement does not correctly express what the parties had intended to set out in the agreement</w:t>
      </w:r>
      <w:r w:rsidR="00A8214F" w:rsidRPr="00B04B79">
        <w:rPr>
          <w:rFonts w:ascii="Arial" w:hAnsi="Arial" w:cs="Arial"/>
          <w:sz w:val="24"/>
          <w:szCs w:val="24"/>
        </w:rPr>
        <w:t>.</w:t>
      </w:r>
      <w:r w:rsidR="00A8214F" w:rsidRPr="00B04B79">
        <w:rPr>
          <w:rStyle w:val="FootnoteReference"/>
          <w:rFonts w:ascii="Arial" w:hAnsi="Arial" w:cs="Arial"/>
          <w:sz w:val="24"/>
          <w:szCs w:val="24"/>
        </w:rPr>
        <w:footnoteReference w:id="7"/>
      </w:r>
    </w:p>
    <w:p w14:paraId="464864DB" w14:textId="77777777" w:rsidR="00590D71" w:rsidRPr="00B04B79" w:rsidRDefault="00590D71" w:rsidP="00C56AFA">
      <w:pPr>
        <w:tabs>
          <w:tab w:val="left" w:pos="720"/>
          <w:tab w:val="left" w:pos="1440"/>
          <w:tab w:val="left" w:pos="2160"/>
          <w:tab w:val="right" w:pos="9026"/>
        </w:tabs>
        <w:rPr>
          <w:rFonts w:ascii="Arial" w:hAnsi="Arial" w:cs="Arial"/>
          <w:sz w:val="24"/>
          <w:szCs w:val="24"/>
        </w:rPr>
      </w:pPr>
    </w:p>
    <w:p w14:paraId="616423C8" w14:textId="1160CF5D" w:rsidR="0065629B" w:rsidRPr="00B04B79" w:rsidRDefault="00590D71" w:rsidP="00C56AFA">
      <w:pPr>
        <w:tabs>
          <w:tab w:val="left" w:pos="720"/>
          <w:tab w:val="left" w:pos="1440"/>
          <w:tab w:val="left" w:pos="2160"/>
          <w:tab w:val="right" w:pos="9026"/>
        </w:tabs>
        <w:rPr>
          <w:rFonts w:ascii="Arial" w:hAnsi="Arial" w:cs="Arial"/>
          <w:bCs/>
          <w:sz w:val="24"/>
          <w:szCs w:val="24"/>
        </w:rPr>
      </w:pPr>
      <w:r w:rsidRPr="00B04B79">
        <w:rPr>
          <w:rFonts w:ascii="Arial" w:hAnsi="Arial" w:cs="Arial"/>
          <w:sz w:val="24"/>
          <w:szCs w:val="24"/>
        </w:rPr>
        <w:t>[1</w:t>
      </w:r>
      <w:r w:rsidR="006B082F" w:rsidRPr="00B04B79">
        <w:rPr>
          <w:rFonts w:ascii="Arial" w:hAnsi="Arial" w:cs="Arial"/>
          <w:sz w:val="24"/>
          <w:szCs w:val="24"/>
        </w:rPr>
        <w:t>5</w:t>
      </w:r>
      <w:r w:rsidRPr="00B04B79">
        <w:rPr>
          <w:rFonts w:ascii="Arial" w:hAnsi="Arial" w:cs="Arial"/>
          <w:sz w:val="24"/>
          <w:szCs w:val="24"/>
        </w:rPr>
        <w:t>]</w:t>
      </w:r>
      <w:r w:rsidRPr="00B04B79">
        <w:rPr>
          <w:rFonts w:ascii="Arial" w:hAnsi="Arial" w:cs="Arial"/>
          <w:sz w:val="24"/>
          <w:szCs w:val="24"/>
        </w:rPr>
        <w:tab/>
      </w:r>
      <w:r w:rsidR="00B72462" w:rsidRPr="00B04B79">
        <w:rPr>
          <w:rFonts w:ascii="Arial" w:hAnsi="Arial" w:cs="Arial"/>
          <w:sz w:val="24"/>
          <w:szCs w:val="24"/>
        </w:rPr>
        <w:t xml:space="preserve">Next, </w:t>
      </w:r>
      <w:r w:rsidR="0065629B" w:rsidRPr="00B04B79">
        <w:rPr>
          <w:rFonts w:ascii="Arial" w:hAnsi="Arial" w:cs="Arial"/>
          <w:sz w:val="24"/>
          <w:szCs w:val="24"/>
        </w:rPr>
        <w:t xml:space="preserve">the declarator that the agreement is </w:t>
      </w:r>
      <w:r w:rsidR="0065629B" w:rsidRPr="00B04B79">
        <w:rPr>
          <w:rFonts w:ascii="Arial" w:hAnsi="Arial" w:cs="Arial"/>
          <w:bCs/>
          <w:sz w:val="24"/>
          <w:szCs w:val="24"/>
        </w:rPr>
        <w:t>of no force or effect for</w:t>
      </w:r>
      <w:r w:rsidR="00E30FAE" w:rsidRPr="00B04B79">
        <w:rPr>
          <w:rFonts w:ascii="Arial" w:hAnsi="Arial" w:cs="Arial"/>
          <w:bCs/>
          <w:sz w:val="24"/>
          <w:szCs w:val="24"/>
        </w:rPr>
        <w:t xml:space="preserve"> non-</w:t>
      </w:r>
      <w:r w:rsidR="0065629B" w:rsidRPr="00B04B79">
        <w:rPr>
          <w:rFonts w:ascii="Arial" w:hAnsi="Arial" w:cs="Arial"/>
          <w:bCs/>
          <w:sz w:val="24"/>
          <w:szCs w:val="24"/>
        </w:rPr>
        <w:t>compliance with</w:t>
      </w:r>
      <w:r w:rsidR="00E30FAE" w:rsidRPr="00B04B79">
        <w:rPr>
          <w:rFonts w:ascii="Arial" w:hAnsi="Arial" w:cs="Arial"/>
          <w:bCs/>
          <w:sz w:val="24"/>
          <w:szCs w:val="24"/>
        </w:rPr>
        <w:t xml:space="preserve"> </w:t>
      </w:r>
      <w:r w:rsidR="0065629B" w:rsidRPr="00B04B79">
        <w:rPr>
          <w:rFonts w:ascii="Arial" w:hAnsi="Arial" w:cs="Arial"/>
          <w:bCs/>
          <w:sz w:val="24"/>
          <w:szCs w:val="24"/>
        </w:rPr>
        <w:t>s 2(1) of the Act.</w:t>
      </w:r>
      <w:r w:rsidR="006B66BD" w:rsidRPr="00B04B79">
        <w:rPr>
          <w:rFonts w:ascii="Arial" w:hAnsi="Arial" w:cs="Arial"/>
          <w:bCs/>
          <w:sz w:val="24"/>
          <w:szCs w:val="24"/>
        </w:rPr>
        <w:t xml:space="preserve"> </w:t>
      </w:r>
      <w:r w:rsidR="00E30FAE" w:rsidRPr="00B04B79">
        <w:rPr>
          <w:rFonts w:ascii="Arial" w:hAnsi="Arial" w:cs="Arial"/>
          <w:bCs/>
          <w:sz w:val="24"/>
          <w:szCs w:val="24"/>
        </w:rPr>
        <w:t>The s</w:t>
      </w:r>
      <w:r w:rsidR="006B66BD" w:rsidRPr="00B04B79">
        <w:rPr>
          <w:rFonts w:ascii="Arial" w:hAnsi="Arial" w:cs="Arial"/>
          <w:bCs/>
          <w:sz w:val="24"/>
          <w:szCs w:val="24"/>
        </w:rPr>
        <w:t>ection reads thus:</w:t>
      </w:r>
    </w:p>
    <w:p w14:paraId="40B45CF0" w14:textId="77777777" w:rsidR="0009799A" w:rsidRPr="00B04B79" w:rsidRDefault="006B66BD" w:rsidP="00C56AFA">
      <w:pPr>
        <w:tabs>
          <w:tab w:val="left" w:pos="720"/>
          <w:tab w:val="left" w:pos="1440"/>
          <w:tab w:val="left" w:pos="2160"/>
          <w:tab w:val="right" w:pos="9026"/>
        </w:tabs>
        <w:rPr>
          <w:rFonts w:ascii="Arial" w:hAnsi="Arial" w:cs="Arial"/>
          <w:bCs/>
        </w:rPr>
      </w:pPr>
      <w:r w:rsidRPr="00B04B79">
        <w:rPr>
          <w:rFonts w:ascii="Arial" w:hAnsi="Arial" w:cs="Arial"/>
          <w:bCs/>
        </w:rPr>
        <w:t xml:space="preserve">‘No alienation of land after the commencement of this section shall, subject to the provisions of section 28, be of any force or effect unless it is contained in a deed of alienation signed by the parties thereto or by </w:t>
      </w:r>
      <w:r w:rsidR="0009799A" w:rsidRPr="00B04B79">
        <w:rPr>
          <w:rFonts w:ascii="Arial" w:hAnsi="Arial" w:cs="Arial"/>
          <w:bCs/>
        </w:rPr>
        <w:t>their agents acting on their written authority.’</w:t>
      </w:r>
    </w:p>
    <w:p w14:paraId="2AF1963F" w14:textId="738C2901" w:rsidR="006B66BD" w:rsidRPr="00B04B79" w:rsidRDefault="0009799A" w:rsidP="00C56AFA">
      <w:pPr>
        <w:tabs>
          <w:tab w:val="left" w:pos="720"/>
          <w:tab w:val="left" w:pos="1440"/>
          <w:tab w:val="left" w:pos="2160"/>
          <w:tab w:val="right" w:pos="9026"/>
        </w:tabs>
        <w:rPr>
          <w:rFonts w:ascii="Arial" w:hAnsi="Arial" w:cs="Arial"/>
          <w:bCs/>
        </w:rPr>
      </w:pPr>
      <w:r w:rsidRPr="00B04B79">
        <w:rPr>
          <w:rFonts w:ascii="Arial" w:hAnsi="Arial" w:cs="Arial"/>
          <w:bCs/>
          <w:sz w:val="24"/>
          <w:szCs w:val="24"/>
        </w:rPr>
        <w:t>The result of non-compliance with s 2(1)</w:t>
      </w:r>
      <w:r w:rsidR="00E30FAE" w:rsidRPr="00B04B79">
        <w:rPr>
          <w:rFonts w:ascii="Arial" w:hAnsi="Arial" w:cs="Arial"/>
          <w:bCs/>
          <w:sz w:val="24"/>
          <w:szCs w:val="24"/>
        </w:rPr>
        <w:t>,</w:t>
      </w:r>
      <w:r w:rsidRPr="00B04B79">
        <w:rPr>
          <w:rFonts w:ascii="Arial" w:hAnsi="Arial" w:cs="Arial"/>
          <w:bCs/>
          <w:sz w:val="24"/>
          <w:szCs w:val="24"/>
        </w:rPr>
        <w:t xml:space="preserve"> is ‘that the agreement concerned is of no force or effect. This means that it is void </w:t>
      </w:r>
      <w:r w:rsidRPr="00B04B79">
        <w:rPr>
          <w:rFonts w:ascii="Arial" w:hAnsi="Arial" w:cs="Arial"/>
          <w:bCs/>
          <w:i/>
          <w:iCs/>
          <w:sz w:val="24"/>
          <w:szCs w:val="24"/>
        </w:rPr>
        <w:t>ab initio</w:t>
      </w:r>
      <w:r w:rsidRPr="00B04B79">
        <w:rPr>
          <w:rFonts w:ascii="Arial" w:hAnsi="Arial" w:cs="Arial"/>
          <w:bCs/>
          <w:sz w:val="24"/>
          <w:szCs w:val="24"/>
        </w:rPr>
        <w:t xml:space="preserve"> and cannot confer a right of action’.</w:t>
      </w:r>
      <w:r w:rsidRPr="00B04B79">
        <w:rPr>
          <w:rStyle w:val="FootnoteReference"/>
          <w:rFonts w:ascii="Arial" w:hAnsi="Arial" w:cs="Arial"/>
          <w:bCs/>
          <w:sz w:val="24"/>
          <w:szCs w:val="24"/>
        </w:rPr>
        <w:footnoteReference w:id="8"/>
      </w:r>
      <w:r w:rsidR="00E53C52" w:rsidRPr="00B04B79">
        <w:rPr>
          <w:rFonts w:ascii="Arial" w:hAnsi="Arial" w:cs="Arial"/>
          <w:bCs/>
          <w:sz w:val="24"/>
          <w:szCs w:val="24"/>
        </w:rPr>
        <w:t xml:space="preserve"> </w:t>
      </w:r>
    </w:p>
    <w:p w14:paraId="500FB391" w14:textId="0568A363" w:rsidR="0011748B" w:rsidRPr="00B04B79" w:rsidRDefault="0011748B" w:rsidP="00C56AFA">
      <w:pPr>
        <w:tabs>
          <w:tab w:val="left" w:pos="720"/>
          <w:tab w:val="left" w:pos="1440"/>
          <w:tab w:val="left" w:pos="2160"/>
          <w:tab w:val="right" w:pos="9026"/>
        </w:tabs>
        <w:rPr>
          <w:rFonts w:ascii="Arial" w:hAnsi="Arial" w:cs="Arial"/>
          <w:bCs/>
          <w:sz w:val="24"/>
          <w:szCs w:val="24"/>
        </w:rPr>
      </w:pPr>
    </w:p>
    <w:p w14:paraId="55D60C2D" w14:textId="323C1EF5" w:rsidR="00C12741" w:rsidRPr="00B04B79" w:rsidRDefault="0011748B" w:rsidP="00227CB9">
      <w:pPr>
        <w:tabs>
          <w:tab w:val="left" w:pos="720"/>
          <w:tab w:val="left" w:pos="1440"/>
          <w:tab w:val="left" w:pos="2160"/>
          <w:tab w:val="right" w:pos="9026"/>
        </w:tabs>
        <w:rPr>
          <w:rFonts w:ascii="Arial" w:hAnsi="Arial" w:cs="Arial"/>
          <w:color w:val="000000" w:themeColor="text1"/>
          <w:sz w:val="24"/>
          <w:szCs w:val="24"/>
        </w:rPr>
      </w:pPr>
      <w:r w:rsidRPr="00B04B79">
        <w:rPr>
          <w:rFonts w:ascii="Arial" w:hAnsi="Arial" w:cs="Arial"/>
          <w:bCs/>
          <w:sz w:val="24"/>
          <w:szCs w:val="24"/>
        </w:rPr>
        <w:t>[1</w:t>
      </w:r>
      <w:r w:rsidR="006B082F" w:rsidRPr="00B04B79">
        <w:rPr>
          <w:rFonts w:ascii="Arial" w:hAnsi="Arial" w:cs="Arial"/>
          <w:bCs/>
          <w:sz w:val="24"/>
          <w:szCs w:val="24"/>
        </w:rPr>
        <w:t>6</w:t>
      </w:r>
      <w:r w:rsidRPr="00B04B79">
        <w:rPr>
          <w:rFonts w:ascii="Arial" w:hAnsi="Arial" w:cs="Arial"/>
          <w:bCs/>
          <w:sz w:val="24"/>
          <w:szCs w:val="24"/>
        </w:rPr>
        <w:t>]</w:t>
      </w:r>
      <w:r w:rsidRPr="00B04B79">
        <w:rPr>
          <w:rFonts w:ascii="Arial" w:hAnsi="Arial" w:cs="Arial"/>
          <w:bCs/>
          <w:sz w:val="24"/>
          <w:szCs w:val="24"/>
        </w:rPr>
        <w:tab/>
      </w:r>
      <w:r w:rsidR="00E646A6" w:rsidRPr="00B04B79">
        <w:rPr>
          <w:rFonts w:ascii="Arial" w:hAnsi="Arial" w:cs="Arial"/>
          <w:bCs/>
          <w:sz w:val="24"/>
          <w:szCs w:val="24"/>
        </w:rPr>
        <w:t xml:space="preserve">Section 2(1) requires </w:t>
      </w:r>
      <w:r w:rsidR="00BE5D8E" w:rsidRPr="00B04B79">
        <w:rPr>
          <w:rFonts w:ascii="Arial" w:hAnsi="Arial" w:cs="Arial"/>
          <w:color w:val="000000" w:themeColor="text1"/>
          <w:sz w:val="24"/>
          <w:szCs w:val="24"/>
        </w:rPr>
        <w:t>the whole contract of sale</w:t>
      </w:r>
      <w:r w:rsidR="00E646A6" w:rsidRPr="00B04B79">
        <w:rPr>
          <w:rFonts w:ascii="Arial" w:hAnsi="Arial" w:cs="Arial"/>
          <w:color w:val="000000" w:themeColor="text1"/>
          <w:sz w:val="24"/>
          <w:szCs w:val="24"/>
        </w:rPr>
        <w:t xml:space="preserve"> </w:t>
      </w:r>
      <w:r w:rsidR="00E53C52" w:rsidRPr="00B04B79">
        <w:rPr>
          <w:rFonts w:ascii="Arial" w:hAnsi="Arial" w:cs="Arial"/>
          <w:color w:val="000000" w:themeColor="text1"/>
          <w:sz w:val="24"/>
          <w:szCs w:val="24"/>
        </w:rPr>
        <w:t>–</w:t>
      </w:r>
      <w:r w:rsidR="00E646A6" w:rsidRPr="00B04B79">
        <w:rPr>
          <w:rFonts w:ascii="Arial" w:hAnsi="Arial" w:cs="Arial"/>
          <w:color w:val="000000" w:themeColor="text1"/>
          <w:sz w:val="24"/>
          <w:szCs w:val="24"/>
        </w:rPr>
        <w:t xml:space="preserve"> its material terms – to </w:t>
      </w:r>
      <w:r w:rsidR="00BE5D8E" w:rsidRPr="00B04B79">
        <w:rPr>
          <w:rFonts w:ascii="Arial" w:hAnsi="Arial" w:cs="Arial"/>
          <w:color w:val="000000" w:themeColor="text1"/>
          <w:sz w:val="24"/>
          <w:szCs w:val="24"/>
        </w:rPr>
        <w:t xml:space="preserve">be reduced to writing </w:t>
      </w:r>
      <w:r w:rsidR="00E646A6" w:rsidRPr="00B04B79">
        <w:rPr>
          <w:rFonts w:ascii="Arial" w:hAnsi="Arial" w:cs="Arial"/>
          <w:bCs/>
          <w:sz w:val="24"/>
          <w:szCs w:val="24"/>
        </w:rPr>
        <w:t xml:space="preserve">signed by </w:t>
      </w:r>
      <w:r w:rsidR="009741D4" w:rsidRPr="00B04B79">
        <w:rPr>
          <w:rFonts w:ascii="Arial" w:hAnsi="Arial" w:cs="Arial"/>
          <w:bCs/>
          <w:sz w:val="24"/>
          <w:szCs w:val="24"/>
        </w:rPr>
        <w:t xml:space="preserve">or on behalf of </w:t>
      </w:r>
      <w:r w:rsidR="00E646A6" w:rsidRPr="00B04B79">
        <w:rPr>
          <w:rFonts w:ascii="Arial" w:hAnsi="Arial" w:cs="Arial"/>
          <w:bCs/>
          <w:sz w:val="24"/>
          <w:szCs w:val="24"/>
        </w:rPr>
        <w:t>the parties.</w:t>
      </w:r>
      <w:r w:rsidR="00E646A6" w:rsidRPr="00B04B79">
        <w:rPr>
          <w:rFonts w:ascii="Arial" w:hAnsi="Arial" w:cs="Arial"/>
          <w:color w:val="000000" w:themeColor="text1"/>
          <w:sz w:val="24"/>
          <w:szCs w:val="24"/>
        </w:rPr>
        <w:t xml:space="preserve"> </w:t>
      </w:r>
      <w:r w:rsidR="00BE5D8E" w:rsidRPr="00B04B79">
        <w:rPr>
          <w:rFonts w:ascii="Arial" w:hAnsi="Arial" w:cs="Arial"/>
          <w:color w:val="000000" w:themeColor="text1"/>
          <w:sz w:val="24"/>
          <w:szCs w:val="24"/>
        </w:rPr>
        <w:t>The material terms of the contract are not confined to those prescribing the </w:t>
      </w:r>
      <w:r w:rsidR="00BE5D8E" w:rsidRPr="00B04B79">
        <w:rPr>
          <w:rFonts w:ascii="Arial" w:hAnsi="Arial" w:cs="Arial"/>
          <w:i/>
          <w:iCs/>
          <w:color w:val="000000" w:themeColor="text1"/>
          <w:sz w:val="24"/>
          <w:szCs w:val="24"/>
        </w:rPr>
        <w:t>essentialia</w:t>
      </w:r>
      <w:r w:rsidR="00BE5D8E" w:rsidRPr="00B04B79">
        <w:rPr>
          <w:rFonts w:ascii="Arial" w:hAnsi="Arial" w:cs="Arial"/>
          <w:color w:val="000000" w:themeColor="text1"/>
          <w:sz w:val="24"/>
          <w:szCs w:val="24"/>
        </w:rPr>
        <w:t xml:space="preserve"> of a contract of sale, </w:t>
      </w:r>
      <w:r w:rsidR="00E646A6" w:rsidRPr="00B04B79">
        <w:rPr>
          <w:rFonts w:ascii="Arial" w:hAnsi="Arial" w:cs="Arial"/>
          <w:color w:val="000000" w:themeColor="text1"/>
          <w:sz w:val="24"/>
          <w:szCs w:val="24"/>
        </w:rPr>
        <w:t>namely</w:t>
      </w:r>
      <w:r w:rsidR="00BE5D8E" w:rsidRPr="00B04B79">
        <w:rPr>
          <w:rFonts w:ascii="Arial" w:hAnsi="Arial" w:cs="Arial"/>
          <w:color w:val="000000" w:themeColor="text1"/>
          <w:sz w:val="24"/>
          <w:szCs w:val="24"/>
        </w:rPr>
        <w:t xml:space="preserve"> the parties to the contract, the </w:t>
      </w:r>
      <w:r w:rsidR="00BE5D8E" w:rsidRPr="00B04B79">
        <w:rPr>
          <w:rFonts w:ascii="Arial" w:hAnsi="Arial" w:cs="Arial"/>
          <w:i/>
          <w:iCs/>
          <w:color w:val="000000" w:themeColor="text1"/>
          <w:sz w:val="24"/>
          <w:szCs w:val="24"/>
        </w:rPr>
        <w:t>merx</w:t>
      </w:r>
      <w:r w:rsidR="00BE5D8E" w:rsidRPr="00B04B79">
        <w:rPr>
          <w:rFonts w:ascii="Arial" w:hAnsi="Arial" w:cs="Arial"/>
          <w:color w:val="000000" w:themeColor="text1"/>
          <w:sz w:val="24"/>
          <w:szCs w:val="24"/>
        </w:rPr>
        <w:t> and the </w:t>
      </w:r>
      <w:r w:rsidR="00BE5D8E" w:rsidRPr="00B04B79">
        <w:rPr>
          <w:rFonts w:ascii="Arial" w:hAnsi="Arial" w:cs="Arial"/>
          <w:i/>
          <w:iCs/>
          <w:color w:val="000000" w:themeColor="text1"/>
          <w:sz w:val="24"/>
          <w:szCs w:val="24"/>
        </w:rPr>
        <w:t>pretium</w:t>
      </w:r>
      <w:r w:rsidR="00E646A6" w:rsidRPr="00B04B79">
        <w:rPr>
          <w:rFonts w:ascii="Arial" w:hAnsi="Arial" w:cs="Arial"/>
          <w:color w:val="000000" w:themeColor="text1"/>
          <w:sz w:val="24"/>
          <w:szCs w:val="24"/>
        </w:rPr>
        <w:t xml:space="preserve">. </w:t>
      </w:r>
      <w:r w:rsidR="00BE5D8E" w:rsidRPr="00B04B79">
        <w:rPr>
          <w:rFonts w:ascii="Arial" w:hAnsi="Arial" w:cs="Arial"/>
          <w:color w:val="000000" w:themeColor="text1"/>
          <w:sz w:val="24"/>
          <w:szCs w:val="24"/>
        </w:rPr>
        <w:t>Generally speaking</w:t>
      </w:r>
      <w:r w:rsidR="00E646A6" w:rsidRPr="00B04B79">
        <w:rPr>
          <w:rFonts w:ascii="Arial" w:hAnsi="Arial" w:cs="Arial"/>
          <w:color w:val="000000" w:themeColor="text1"/>
          <w:sz w:val="24"/>
          <w:szCs w:val="24"/>
        </w:rPr>
        <w:t>,</w:t>
      </w:r>
      <w:r w:rsidR="00BE5D8E" w:rsidRPr="00B04B79">
        <w:rPr>
          <w:rFonts w:ascii="Arial" w:hAnsi="Arial" w:cs="Arial"/>
          <w:color w:val="000000" w:themeColor="text1"/>
          <w:sz w:val="24"/>
          <w:szCs w:val="24"/>
        </w:rPr>
        <w:t xml:space="preserve"> these terms</w:t>
      </w:r>
      <w:r w:rsidR="00E646A6" w:rsidRPr="00B04B79">
        <w:rPr>
          <w:rFonts w:ascii="Arial" w:hAnsi="Arial" w:cs="Arial"/>
          <w:color w:val="000000" w:themeColor="text1"/>
          <w:sz w:val="24"/>
          <w:szCs w:val="24"/>
        </w:rPr>
        <w:t xml:space="preserve">, </w:t>
      </w:r>
      <w:r w:rsidR="00BE5D8E" w:rsidRPr="00B04B79">
        <w:rPr>
          <w:rFonts w:ascii="Arial" w:hAnsi="Arial" w:cs="Arial"/>
          <w:color w:val="000000" w:themeColor="text1"/>
          <w:sz w:val="24"/>
          <w:szCs w:val="24"/>
        </w:rPr>
        <w:t>and especially the </w:t>
      </w:r>
      <w:r w:rsidR="00BE5D8E" w:rsidRPr="00B04B79">
        <w:rPr>
          <w:rFonts w:ascii="Arial" w:hAnsi="Arial" w:cs="Arial"/>
          <w:i/>
          <w:iCs/>
          <w:color w:val="000000" w:themeColor="text1"/>
          <w:sz w:val="24"/>
          <w:szCs w:val="24"/>
        </w:rPr>
        <w:t>essentialia</w:t>
      </w:r>
      <w:r w:rsidR="00E646A6" w:rsidRPr="00B04B79">
        <w:rPr>
          <w:rFonts w:ascii="Arial" w:hAnsi="Arial" w:cs="Arial"/>
          <w:color w:val="000000" w:themeColor="text1"/>
          <w:sz w:val="24"/>
          <w:szCs w:val="24"/>
        </w:rPr>
        <w:t xml:space="preserve">, </w:t>
      </w:r>
      <w:r w:rsidR="00BE5D8E" w:rsidRPr="00B04B79">
        <w:rPr>
          <w:rFonts w:ascii="Arial" w:hAnsi="Arial" w:cs="Arial"/>
          <w:color w:val="000000" w:themeColor="text1"/>
          <w:sz w:val="24"/>
          <w:szCs w:val="24"/>
        </w:rPr>
        <w:t>must be set forth with sufficient accuracy and particularity to enable the identity of the parties, the amount of the purchase price and the identity of the subject-matter of the contract, a</w:t>
      </w:r>
      <w:r w:rsidR="00CE6948" w:rsidRPr="00B04B79">
        <w:rPr>
          <w:rFonts w:ascii="Arial" w:hAnsi="Arial" w:cs="Arial"/>
          <w:color w:val="000000" w:themeColor="text1"/>
          <w:sz w:val="24"/>
          <w:szCs w:val="24"/>
        </w:rPr>
        <w:t>nd</w:t>
      </w:r>
      <w:r w:rsidR="00BE5D8E" w:rsidRPr="00B04B79">
        <w:rPr>
          <w:rFonts w:ascii="Arial" w:hAnsi="Arial" w:cs="Arial"/>
          <w:color w:val="000000" w:themeColor="text1"/>
          <w:sz w:val="24"/>
          <w:szCs w:val="24"/>
        </w:rPr>
        <w:t xml:space="preserve"> also the force and effect of other material terms of the contract, to be ascertained without recourse to</w:t>
      </w:r>
      <w:r w:rsidR="003331ED" w:rsidRPr="00B04B79">
        <w:rPr>
          <w:rFonts w:ascii="Arial" w:hAnsi="Arial" w:cs="Arial"/>
          <w:color w:val="000000" w:themeColor="text1"/>
          <w:sz w:val="24"/>
          <w:szCs w:val="24"/>
        </w:rPr>
        <w:t xml:space="preserve"> </w:t>
      </w:r>
      <w:r w:rsidR="00BE5D8E" w:rsidRPr="00B04B79">
        <w:rPr>
          <w:rFonts w:ascii="Arial" w:hAnsi="Arial" w:cs="Arial"/>
          <w:color w:val="000000" w:themeColor="text1"/>
          <w:sz w:val="24"/>
          <w:szCs w:val="24"/>
        </w:rPr>
        <w:t xml:space="preserve">evidence of </w:t>
      </w:r>
      <w:r w:rsidR="00BE5D8E" w:rsidRPr="00B04B79">
        <w:rPr>
          <w:rFonts w:ascii="Arial" w:hAnsi="Arial" w:cs="Arial"/>
          <w:color w:val="000000" w:themeColor="text1"/>
          <w:sz w:val="24"/>
          <w:szCs w:val="24"/>
        </w:rPr>
        <w:lastRenderedPageBreak/>
        <w:t>an oral </w:t>
      </w:r>
      <w:r w:rsidR="00BE5D8E" w:rsidRPr="00B04B79">
        <w:rPr>
          <w:rFonts w:ascii="Arial" w:hAnsi="Arial" w:cs="Arial"/>
          <w:i/>
          <w:iCs/>
          <w:color w:val="000000" w:themeColor="text1"/>
          <w:sz w:val="24"/>
          <w:szCs w:val="24"/>
        </w:rPr>
        <w:t>consensus</w:t>
      </w:r>
      <w:r w:rsidR="00BE5D8E" w:rsidRPr="00B04B79">
        <w:rPr>
          <w:rFonts w:ascii="Arial" w:hAnsi="Arial" w:cs="Arial"/>
          <w:color w:val="000000" w:themeColor="text1"/>
          <w:sz w:val="24"/>
          <w:szCs w:val="24"/>
        </w:rPr>
        <w:t> between the parties</w:t>
      </w:r>
      <w:r w:rsidR="00E646A6" w:rsidRPr="00B04B79">
        <w:rPr>
          <w:rFonts w:ascii="Arial" w:hAnsi="Arial" w:cs="Arial"/>
          <w:color w:val="000000" w:themeColor="text1"/>
          <w:sz w:val="24"/>
          <w:szCs w:val="24"/>
        </w:rPr>
        <w:t>.</w:t>
      </w:r>
      <w:r w:rsidR="00E646A6" w:rsidRPr="00B04B79">
        <w:rPr>
          <w:rStyle w:val="FootnoteReference"/>
          <w:rFonts w:ascii="Arial" w:hAnsi="Arial" w:cs="Arial"/>
          <w:bCs/>
          <w:sz w:val="24"/>
          <w:szCs w:val="24"/>
        </w:rPr>
        <w:footnoteReference w:id="9"/>
      </w:r>
      <w:r w:rsidR="00E646A6" w:rsidRPr="00B04B79">
        <w:rPr>
          <w:rFonts w:ascii="Arial" w:hAnsi="Arial" w:cs="Arial"/>
          <w:bCs/>
          <w:sz w:val="24"/>
          <w:szCs w:val="24"/>
        </w:rPr>
        <w:t xml:space="preserve"> </w:t>
      </w:r>
      <w:r w:rsidR="00A52EDD" w:rsidRPr="00B04B79">
        <w:rPr>
          <w:rFonts w:ascii="Arial" w:hAnsi="Arial" w:cs="Arial"/>
          <w:color w:val="000000" w:themeColor="text1"/>
          <w:sz w:val="24"/>
          <w:szCs w:val="24"/>
        </w:rPr>
        <w:t>Whether a term constitutes a material term is determined with reference to its effect on the rights and obligations of the parties.</w:t>
      </w:r>
      <w:r w:rsidR="00A52EDD" w:rsidRPr="00B04B79">
        <w:rPr>
          <w:rStyle w:val="FootnoteReference"/>
          <w:rFonts w:ascii="Arial" w:hAnsi="Arial" w:cs="Arial"/>
          <w:color w:val="000000" w:themeColor="text1"/>
          <w:sz w:val="24"/>
          <w:szCs w:val="24"/>
        </w:rPr>
        <w:footnoteReference w:id="10"/>
      </w:r>
      <w:r w:rsidR="00A52EDD" w:rsidRPr="00B04B79">
        <w:rPr>
          <w:rFonts w:ascii="Arial" w:hAnsi="Arial" w:cs="Arial"/>
          <w:color w:val="000000" w:themeColor="text1"/>
          <w:sz w:val="24"/>
          <w:szCs w:val="24"/>
        </w:rPr>
        <w:t xml:space="preserve"> </w:t>
      </w:r>
      <w:r w:rsidR="00C12741" w:rsidRPr="00B04B79">
        <w:rPr>
          <w:rFonts w:ascii="Arial" w:hAnsi="Arial" w:cs="Arial"/>
          <w:color w:val="000000" w:themeColor="text1"/>
          <w:sz w:val="24"/>
          <w:szCs w:val="24"/>
        </w:rPr>
        <w:t xml:space="preserve">It has been held </w:t>
      </w:r>
      <w:r w:rsidR="001E285A" w:rsidRPr="00B04B79">
        <w:rPr>
          <w:rFonts w:ascii="Arial" w:hAnsi="Arial" w:cs="Arial"/>
          <w:color w:val="000000" w:themeColor="text1"/>
          <w:sz w:val="24"/>
          <w:szCs w:val="24"/>
        </w:rPr>
        <w:t>that subdivision materially affects the rights and obligations of the parties to a contract</w:t>
      </w:r>
      <w:r w:rsidR="00395F88" w:rsidRPr="00B04B79">
        <w:rPr>
          <w:rFonts w:ascii="Arial" w:hAnsi="Arial" w:cs="Arial"/>
          <w:color w:val="000000" w:themeColor="text1"/>
          <w:sz w:val="24"/>
          <w:szCs w:val="24"/>
        </w:rPr>
        <w:t xml:space="preserve"> in a given case</w:t>
      </w:r>
      <w:r w:rsidR="001E285A" w:rsidRPr="00B04B79">
        <w:rPr>
          <w:rFonts w:ascii="Arial" w:hAnsi="Arial" w:cs="Arial"/>
          <w:color w:val="000000" w:themeColor="text1"/>
          <w:sz w:val="24"/>
          <w:szCs w:val="24"/>
        </w:rPr>
        <w:t>.</w:t>
      </w:r>
      <w:r w:rsidR="00C12741" w:rsidRPr="00B04B79">
        <w:rPr>
          <w:rStyle w:val="FootnoteReference"/>
          <w:rFonts w:ascii="Arial" w:hAnsi="Arial" w:cs="Arial"/>
          <w:color w:val="000000" w:themeColor="text1"/>
          <w:sz w:val="24"/>
          <w:szCs w:val="24"/>
        </w:rPr>
        <w:footnoteReference w:id="11"/>
      </w:r>
      <w:r w:rsidR="001E285A" w:rsidRPr="00B04B79">
        <w:rPr>
          <w:rFonts w:ascii="Arial" w:hAnsi="Arial" w:cs="Arial"/>
          <w:color w:val="000000" w:themeColor="text1"/>
          <w:sz w:val="24"/>
          <w:szCs w:val="24"/>
        </w:rPr>
        <w:t xml:space="preserve"> </w:t>
      </w:r>
    </w:p>
    <w:p w14:paraId="3BF24CFC" w14:textId="77777777" w:rsidR="00C12741" w:rsidRPr="00B04B79" w:rsidRDefault="00C12741" w:rsidP="00227CB9">
      <w:pPr>
        <w:tabs>
          <w:tab w:val="left" w:pos="720"/>
          <w:tab w:val="left" w:pos="1440"/>
          <w:tab w:val="left" w:pos="2160"/>
          <w:tab w:val="right" w:pos="9026"/>
        </w:tabs>
        <w:rPr>
          <w:rFonts w:ascii="Arial" w:hAnsi="Arial" w:cs="Arial"/>
          <w:color w:val="000000" w:themeColor="text1"/>
          <w:sz w:val="24"/>
          <w:szCs w:val="24"/>
        </w:rPr>
      </w:pPr>
    </w:p>
    <w:p w14:paraId="35E39CDF" w14:textId="708F5B50" w:rsidR="001473D4" w:rsidRDefault="00C12741" w:rsidP="008B025F">
      <w:pPr>
        <w:tabs>
          <w:tab w:val="left" w:pos="720"/>
          <w:tab w:val="left" w:pos="1440"/>
          <w:tab w:val="left" w:pos="2160"/>
          <w:tab w:val="right" w:pos="9026"/>
        </w:tabs>
        <w:rPr>
          <w:rFonts w:ascii="Arial" w:hAnsi="Arial" w:cs="Arial"/>
          <w:color w:val="000000" w:themeColor="text1"/>
          <w:sz w:val="24"/>
          <w:szCs w:val="24"/>
        </w:rPr>
      </w:pPr>
      <w:r w:rsidRPr="00B04B79">
        <w:rPr>
          <w:rFonts w:ascii="Arial" w:hAnsi="Arial" w:cs="Arial"/>
          <w:color w:val="000000" w:themeColor="text1"/>
          <w:sz w:val="24"/>
          <w:szCs w:val="24"/>
        </w:rPr>
        <w:t>[1</w:t>
      </w:r>
      <w:r w:rsidR="006B082F" w:rsidRPr="00B04B79">
        <w:rPr>
          <w:rFonts w:ascii="Arial" w:hAnsi="Arial" w:cs="Arial"/>
          <w:color w:val="000000" w:themeColor="text1"/>
          <w:sz w:val="24"/>
          <w:szCs w:val="24"/>
        </w:rPr>
        <w:t>7</w:t>
      </w:r>
      <w:r w:rsidRPr="00B04B79">
        <w:rPr>
          <w:rFonts w:ascii="Arial" w:hAnsi="Arial" w:cs="Arial"/>
          <w:color w:val="000000" w:themeColor="text1"/>
          <w:sz w:val="24"/>
          <w:szCs w:val="24"/>
        </w:rPr>
        <w:t>]</w:t>
      </w:r>
      <w:r w:rsidRPr="00B04B79">
        <w:rPr>
          <w:rFonts w:ascii="Arial" w:hAnsi="Arial" w:cs="Arial"/>
          <w:color w:val="000000" w:themeColor="text1"/>
          <w:sz w:val="24"/>
          <w:szCs w:val="24"/>
        </w:rPr>
        <w:tab/>
        <w:t>T</w:t>
      </w:r>
      <w:r w:rsidR="008E5939" w:rsidRPr="00B04B79">
        <w:rPr>
          <w:rFonts w:ascii="Arial" w:hAnsi="Arial" w:cs="Arial"/>
          <w:color w:val="000000" w:themeColor="text1"/>
          <w:sz w:val="24"/>
          <w:szCs w:val="24"/>
        </w:rPr>
        <w:t>his</w:t>
      </w:r>
      <w:r w:rsidRPr="00B04B79">
        <w:rPr>
          <w:rFonts w:ascii="Arial" w:hAnsi="Arial" w:cs="Arial"/>
          <w:color w:val="000000" w:themeColor="text1"/>
          <w:sz w:val="24"/>
          <w:szCs w:val="24"/>
        </w:rPr>
        <w:t xml:space="preserve"> </w:t>
      </w:r>
      <w:r w:rsidR="001538CB" w:rsidRPr="00B04B79">
        <w:rPr>
          <w:rFonts w:ascii="Arial" w:hAnsi="Arial" w:cs="Arial"/>
          <w:color w:val="000000" w:themeColor="text1"/>
          <w:sz w:val="24"/>
          <w:szCs w:val="24"/>
        </w:rPr>
        <w:t xml:space="preserve">is such a </w:t>
      </w:r>
      <w:r w:rsidRPr="00B04B79">
        <w:rPr>
          <w:rFonts w:ascii="Arial" w:hAnsi="Arial" w:cs="Arial"/>
          <w:color w:val="000000" w:themeColor="text1"/>
          <w:sz w:val="24"/>
          <w:szCs w:val="24"/>
        </w:rPr>
        <w:t>case, inter alia, for the following reasons:</w:t>
      </w:r>
      <w:r w:rsidR="00395F88" w:rsidRPr="00B04B79">
        <w:rPr>
          <w:rFonts w:ascii="Arial" w:hAnsi="Arial" w:cs="Arial"/>
          <w:color w:val="000000" w:themeColor="text1"/>
          <w:sz w:val="24"/>
          <w:szCs w:val="24"/>
        </w:rPr>
        <w:t xml:space="preserve"> </w:t>
      </w:r>
      <w:r w:rsidR="00043218" w:rsidRPr="00B04B79">
        <w:rPr>
          <w:rFonts w:ascii="Arial" w:hAnsi="Arial" w:cs="Arial"/>
          <w:color w:val="000000" w:themeColor="text1"/>
          <w:sz w:val="24"/>
          <w:szCs w:val="24"/>
        </w:rPr>
        <w:t xml:space="preserve">First, there is no express reference to a subdivision in the agreement or </w:t>
      </w:r>
      <w:r w:rsidR="001538CB" w:rsidRPr="00B04B79">
        <w:rPr>
          <w:rFonts w:ascii="Arial" w:hAnsi="Arial" w:cs="Arial"/>
          <w:color w:val="000000" w:themeColor="text1"/>
          <w:sz w:val="24"/>
          <w:szCs w:val="24"/>
        </w:rPr>
        <w:t>the</w:t>
      </w:r>
      <w:r w:rsidR="00043218" w:rsidRPr="00B04B79">
        <w:rPr>
          <w:rFonts w:ascii="Arial" w:hAnsi="Arial" w:cs="Arial"/>
          <w:color w:val="000000" w:themeColor="text1"/>
          <w:sz w:val="24"/>
          <w:szCs w:val="24"/>
        </w:rPr>
        <w:t xml:space="preserve"> addendum</w:t>
      </w:r>
      <w:r w:rsidR="00C05355" w:rsidRPr="00B04B79">
        <w:rPr>
          <w:rFonts w:ascii="Arial" w:hAnsi="Arial" w:cs="Arial"/>
          <w:color w:val="000000" w:themeColor="text1"/>
          <w:sz w:val="24"/>
          <w:szCs w:val="24"/>
        </w:rPr>
        <w:t xml:space="preserve"> and the possibility of </w:t>
      </w:r>
      <w:r w:rsidR="001538CB" w:rsidRPr="00B04B79">
        <w:rPr>
          <w:rFonts w:ascii="Arial" w:hAnsi="Arial" w:cs="Arial"/>
          <w:color w:val="000000" w:themeColor="text1"/>
          <w:sz w:val="24"/>
          <w:szCs w:val="24"/>
        </w:rPr>
        <w:t xml:space="preserve">a </w:t>
      </w:r>
      <w:r w:rsidR="00C05355" w:rsidRPr="00B04B79">
        <w:rPr>
          <w:rFonts w:ascii="Arial" w:hAnsi="Arial" w:cs="Arial"/>
          <w:color w:val="000000" w:themeColor="text1"/>
          <w:sz w:val="24"/>
          <w:szCs w:val="24"/>
        </w:rPr>
        <w:t xml:space="preserve">subdivision of the ring road was </w:t>
      </w:r>
      <w:r w:rsidR="001538CB" w:rsidRPr="00B04B79">
        <w:rPr>
          <w:rFonts w:ascii="Arial" w:hAnsi="Arial" w:cs="Arial"/>
          <w:color w:val="000000" w:themeColor="text1"/>
          <w:sz w:val="24"/>
          <w:szCs w:val="24"/>
        </w:rPr>
        <w:t>only raised</w:t>
      </w:r>
      <w:r w:rsidR="00C05355" w:rsidRPr="00B04B79">
        <w:rPr>
          <w:rFonts w:ascii="Arial" w:hAnsi="Arial" w:cs="Arial"/>
          <w:color w:val="000000" w:themeColor="text1"/>
          <w:sz w:val="24"/>
          <w:szCs w:val="24"/>
        </w:rPr>
        <w:t xml:space="preserve"> for the first time</w:t>
      </w:r>
      <w:r w:rsidR="001538CB" w:rsidRPr="00B04B79">
        <w:rPr>
          <w:rFonts w:ascii="Arial" w:hAnsi="Arial" w:cs="Arial"/>
          <w:color w:val="000000" w:themeColor="text1"/>
          <w:sz w:val="24"/>
          <w:szCs w:val="24"/>
        </w:rPr>
        <w:t xml:space="preserve"> by Mr Molyneux on 5 June 2017</w:t>
      </w:r>
      <w:r w:rsidR="00C05355" w:rsidRPr="00B04B79">
        <w:rPr>
          <w:rFonts w:ascii="Arial" w:hAnsi="Arial" w:cs="Arial"/>
          <w:color w:val="000000" w:themeColor="text1"/>
          <w:sz w:val="24"/>
          <w:szCs w:val="24"/>
        </w:rPr>
        <w:t>, some six months after the agreement had been signed</w:t>
      </w:r>
      <w:r w:rsidR="00043218" w:rsidRPr="00B04B79">
        <w:rPr>
          <w:rFonts w:ascii="Arial" w:hAnsi="Arial" w:cs="Arial"/>
          <w:color w:val="000000" w:themeColor="text1"/>
          <w:sz w:val="24"/>
          <w:szCs w:val="24"/>
        </w:rPr>
        <w:t>.</w:t>
      </w:r>
      <w:r w:rsidR="001538CB" w:rsidRPr="00B04B79">
        <w:rPr>
          <w:rFonts w:ascii="Arial" w:hAnsi="Arial" w:cs="Arial"/>
          <w:color w:val="000000" w:themeColor="text1"/>
          <w:sz w:val="24"/>
          <w:szCs w:val="24"/>
        </w:rPr>
        <w:t xml:space="preserve"> Even if the negotiations that ensued thereafter </w:t>
      </w:r>
      <w:r w:rsidR="001538CB" w:rsidRPr="00B04B79">
        <w:rPr>
          <w:rFonts w:ascii="Arial" w:hAnsi="Arial" w:cs="Arial"/>
          <w:bCs/>
          <w:sz w:val="24"/>
          <w:szCs w:val="24"/>
        </w:rPr>
        <w:t>resulted in a</w:t>
      </w:r>
      <w:r w:rsidR="00C95E7B" w:rsidRPr="00B04B79">
        <w:rPr>
          <w:rFonts w:ascii="Arial" w:hAnsi="Arial" w:cs="Arial"/>
          <w:bCs/>
          <w:sz w:val="24"/>
          <w:szCs w:val="24"/>
        </w:rPr>
        <w:t xml:space="preserve"> subsequent</w:t>
      </w:r>
      <w:r w:rsidR="001538CB" w:rsidRPr="00B04B79">
        <w:rPr>
          <w:rFonts w:ascii="Arial" w:hAnsi="Arial" w:cs="Arial"/>
          <w:bCs/>
          <w:sz w:val="24"/>
          <w:szCs w:val="24"/>
        </w:rPr>
        <w:t xml:space="preserve"> informal agreement having been reached regarding subdivision of the ring</w:t>
      </w:r>
      <w:r w:rsidR="001538CB">
        <w:rPr>
          <w:rFonts w:ascii="Arial" w:hAnsi="Arial" w:cs="Arial"/>
          <w:bCs/>
          <w:sz w:val="24"/>
          <w:szCs w:val="24"/>
        </w:rPr>
        <w:t xml:space="preserve"> road, </w:t>
      </w:r>
      <w:r w:rsidR="001538CB" w:rsidRPr="008B025F">
        <w:rPr>
          <w:rFonts w:ascii="Arial" w:eastAsia="Times New Roman" w:hAnsi="Arial" w:cs="Arial"/>
          <w:color w:val="000000"/>
          <w:sz w:val="24"/>
          <w:szCs w:val="24"/>
          <w:lang w:eastAsia="en-ZA"/>
        </w:rPr>
        <w:t>then</w:t>
      </w:r>
      <w:r w:rsidR="0037698E">
        <w:rPr>
          <w:rFonts w:ascii="Arial" w:eastAsia="Times New Roman" w:hAnsi="Arial" w:cs="Arial"/>
          <w:color w:val="000000"/>
          <w:sz w:val="24"/>
          <w:szCs w:val="24"/>
          <w:lang w:eastAsia="en-ZA"/>
        </w:rPr>
        <w:t>,</w:t>
      </w:r>
      <w:r w:rsidR="001538CB" w:rsidRPr="008B025F">
        <w:rPr>
          <w:rFonts w:ascii="Arial" w:eastAsia="Times New Roman" w:hAnsi="Arial" w:cs="Arial"/>
          <w:color w:val="000000"/>
          <w:sz w:val="24"/>
          <w:szCs w:val="24"/>
          <w:lang w:eastAsia="en-ZA"/>
        </w:rPr>
        <w:t xml:space="preserve"> of course</w:t>
      </w:r>
      <w:r w:rsidR="0037698E">
        <w:rPr>
          <w:rFonts w:ascii="Arial" w:eastAsia="Times New Roman" w:hAnsi="Arial" w:cs="Arial"/>
          <w:color w:val="000000"/>
          <w:sz w:val="24"/>
          <w:szCs w:val="24"/>
          <w:lang w:eastAsia="en-ZA"/>
        </w:rPr>
        <w:t>,</w:t>
      </w:r>
      <w:r w:rsidR="001538CB" w:rsidRPr="008B025F">
        <w:rPr>
          <w:rFonts w:ascii="Arial" w:eastAsia="Times New Roman" w:hAnsi="Arial" w:cs="Arial"/>
          <w:color w:val="000000"/>
          <w:sz w:val="24"/>
          <w:szCs w:val="24"/>
          <w:lang w:eastAsia="en-ZA"/>
        </w:rPr>
        <w:t xml:space="preserve"> there </w:t>
      </w:r>
      <w:r w:rsidR="0037698E">
        <w:rPr>
          <w:rFonts w:ascii="Arial" w:eastAsia="Times New Roman" w:hAnsi="Arial" w:cs="Arial"/>
          <w:color w:val="000000"/>
          <w:sz w:val="24"/>
          <w:szCs w:val="24"/>
          <w:lang w:eastAsia="en-ZA"/>
        </w:rPr>
        <w:t>would be</w:t>
      </w:r>
      <w:r w:rsidR="001538CB" w:rsidRPr="008B025F">
        <w:rPr>
          <w:rFonts w:ascii="Arial" w:eastAsia="Times New Roman" w:hAnsi="Arial" w:cs="Arial"/>
          <w:color w:val="000000"/>
          <w:sz w:val="24"/>
          <w:szCs w:val="24"/>
          <w:lang w:eastAsia="en-ZA"/>
        </w:rPr>
        <w:t xml:space="preserve"> non</w:t>
      </w:r>
      <w:r w:rsidR="0037698E">
        <w:rPr>
          <w:rFonts w:ascii="Arial" w:eastAsia="Times New Roman" w:hAnsi="Arial" w:cs="Arial"/>
          <w:color w:val="000000"/>
          <w:sz w:val="24"/>
          <w:szCs w:val="24"/>
          <w:lang w:eastAsia="en-ZA"/>
        </w:rPr>
        <w:t>-</w:t>
      </w:r>
      <w:r w:rsidR="001538CB" w:rsidRPr="008B025F">
        <w:rPr>
          <w:rFonts w:ascii="Arial" w:eastAsia="Times New Roman" w:hAnsi="Arial" w:cs="Arial"/>
          <w:color w:val="000000"/>
          <w:sz w:val="24"/>
          <w:szCs w:val="24"/>
          <w:lang w:eastAsia="en-ZA"/>
        </w:rPr>
        <w:t xml:space="preserve">compliance with s </w:t>
      </w:r>
      <w:r w:rsidR="0023222D">
        <w:rPr>
          <w:rFonts w:ascii="Arial" w:eastAsia="Times New Roman" w:hAnsi="Arial" w:cs="Arial"/>
          <w:color w:val="000000"/>
          <w:sz w:val="24"/>
          <w:szCs w:val="24"/>
          <w:lang w:eastAsia="en-ZA"/>
        </w:rPr>
        <w:t>2</w:t>
      </w:r>
      <w:r w:rsidR="001538CB" w:rsidRPr="008B025F">
        <w:rPr>
          <w:rFonts w:ascii="Arial" w:eastAsia="Times New Roman" w:hAnsi="Arial" w:cs="Arial"/>
          <w:color w:val="000000"/>
          <w:sz w:val="24"/>
          <w:szCs w:val="24"/>
          <w:lang w:eastAsia="en-ZA"/>
        </w:rPr>
        <w:t>(1) in that the whole contract is not in writing</w:t>
      </w:r>
      <w:r w:rsidR="00E40B83">
        <w:rPr>
          <w:rFonts w:ascii="Arial" w:eastAsia="Times New Roman" w:hAnsi="Arial" w:cs="Arial"/>
          <w:color w:val="000000"/>
          <w:sz w:val="24"/>
          <w:szCs w:val="24"/>
          <w:lang w:eastAsia="en-ZA"/>
        </w:rPr>
        <w:t xml:space="preserve"> and signed by or on behalf of the parties</w:t>
      </w:r>
      <w:r w:rsidR="001538CB" w:rsidRPr="008B025F">
        <w:rPr>
          <w:rFonts w:ascii="Arial" w:eastAsia="Times New Roman" w:hAnsi="Arial" w:cs="Arial"/>
          <w:color w:val="000000"/>
          <w:sz w:val="24"/>
          <w:szCs w:val="24"/>
          <w:lang w:eastAsia="en-ZA"/>
        </w:rPr>
        <w:t>.</w:t>
      </w:r>
      <w:r w:rsidR="005C371D" w:rsidRPr="008B025F">
        <w:rPr>
          <w:rStyle w:val="FootnoteReference"/>
          <w:rFonts w:ascii="Arial" w:hAnsi="Arial" w:cs="Arial"/>
          <w:bCs/>
          <w:sz w:val="24"/>
          <w:szCs w:val="24"/>
        </w:rPr>
        <w:footnoteReference w:id="12"/>
      </w:r>
      <w:r w:rsidR="001538CB" w:rsidRPr="008B025F">
        <w:rPr>
          <w:rFonts w:ascii="Arial" w:eastAsia="Times New Roman" w:hAnsi="Arial" w:cs="Arial"/>
          <w:color w:val="000000"/>
          <w:sz w:val="24"/>
          <w:szCs w:val="24"/>
          <w:lang w:eastAsia="en-ZA"/>
        </w:rPr>
        <w:t xml:space="preserve"> The consequence of this is that the contract of sale is null and void.</w:t>
      </w:r>
      <w:r w:rsidR="002B330E">
        <w:rPr>
          <w:rFonts w:ascii="Arial" w:hAnsi="Arial" w:cs="Arial"/>
          <w:color w:val="000000" w:themeColor="text1"/>
          <w:sz w:val="24"/>
          <w:szCs w:val="24"/>
        </w:rPr>
        <w:t xml:space="preserve"> </w:t>
      </w:r>
    </w:p>
    <w:p w14:paraId="14DC250E" w14:textId="77777777" w:rsidR="001473D4" w:rsidRDefault="001473D4" w:rsidP="008B025F">
      <w:pPr>
        <w:tabs>
          <w:tab w:val="left" w:pos="720"/>
          <w:tab w:val="left" w:pos="1440"/>
          <w:tab w:val="left" w:pos="2160"/>
          <w:tab w:val="right" w:pos="9026"/>
        </w:tabs>
        <w:rPr>
          <w:rFonts w:ascii="Arial" w:hAnsi="Arial" w:cs="Arial"/>
          <w:color w:val="000000" w:themeColor="text1"/>
          <w:sz w:val="24"/>
          <w:szCs w:val="24"/>
        </w:rPr>
      </w:pPr>
    </w:p>
    <w:p w14:paraId="0985695E" w14:textId="434E4BB2" w:rsidR="00E056D4" w:rsidRDefault="00E056D4" w:rsidP="008B025F">
      <w:pPr>
        <w:tabs>
          <w:tab w:val="left" w:pos="720"/>
          <w:tab w:val="left" w:pos="1440"/>
          <w:tab w:val="left" w:pos="2160"/>
          <w:tab w:val="right" w:pos="9026"/>
        </w:tabs>
        <w:rPr>
          <w:rFonts w:ascii="Arial" w:hAnsi="Arial" w:cs="Arial"/>
          <w:color w:val="000000" w:themeColor="text1"/>
          <w:sz w:val="24"/>
          <w:szCs w:val="24"/>
        </w:rPr>
      </w:pPr>
      <w:r>
        <w:rPr>
          <w:rFonts w:ascii="Arial" w:hAnsi="Arial" w:cs="Arial"/>
          <w:color w:val="000000" w:themeColor="text1"/>
          <w:sz w:val="24"/>
          <w:szCs w:val="24"/>
        </w:rPr>
        <w:t>[1</w:t>
      </w:r>
      <w:r w:rsidR="006B082F">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r>
      <w:r w:rsidR="00043218">
        <w:rPr>
          <w:rFonts w:ascii="Arial" w:hAnsi="Arial" w:cs="Arial"/>
          <w:color w:val="000000" w:themeColor="text1"/>
          <w:sz w:val="24"/>
          <w:szCs w:val="24"/>
        </w:rPr>
        <w:t>Second</w:t>
      </w:r>
      <w:r w:rsidR="00395F88">
        <w:rPr>
          <w:rFonts w:ascii="Arial" w:hAnsi="Arial" w:cs="Arial"/>
          <w:color w:val="000000" w:themeColor="text1"/>
          <w:sz w:val="24"/>
          <w:szCs w:val="24"/>
        </w:rPr>
        <w:t>, the agreement and</w:t>
      </w:r>
      <w:r w:rsidR="003121E0">
        <w:rPr>
          <w:rFonts w:ascii="Arial" w:hAnsi="Arial" w:cs="Arial"/>
          <w:color w:val="000000" w:themeColor="text1"/>
          <w:sz w:val="24"/>
          <w:szCs w:val="24"/>
        </w:rPr>
        <w:t xml:space="preserve"> </w:t>
      </w:r>
      <w:r w:rsidR="00043218">
        <w:rPr>
          <w:rFonts w:ascii="Arial" w:hAnsi="Arial" w:cs="Arial"/>
          <w:color w:val="000000" w:themeColor="text1"/>
          <w:sz w:val="24"/>
          <w:szCs w:val="24"/>
        </w:rPr>
        <w:t>the</w:t>
      </w:r>
      <w:r w:rsidR="00395F88">
        <w:rPr>
          <w:rFonts w:ascii="Arial" w:hAnsi="Arial" w:cs="Arial"/>
          <w:color w:val="000000" w:themeColor="text1"/>
          <w:sz w:val="24"/>
          <w:szCs w:val="24"/>
        </w:rPr>
        <w:t xml:space="preserve"> addendum</w:t>
      </w:r>
      <w:r w:rsidR="003121E0">
        <w:rPr>
          <w:rFonts w:ascii="Arial" w:hAnsi="Arial" w:cs="Arial"/>
          <w:color w:val="000000" w:themeColor="text1"/>
          <w:sz w:val="24"/>
          <w:szCs w:val="24"/>
        </w:rPr>
        <w:t xml:space="preserve"> bestowed rights on the liquidators to receive expeditious payment of the whole purchase price and the passing of ownership of the land to Curro. </w:t>
      </w:r>
      <w:r w:rsidR="00043218">
        <w:rPr>
          <w:rFonts w:ascii="Arial" w:hAnsi="Arial" w:cs="Arial"/>
          <w:color w:val="000000" w:themeColor="text1"/>
          <w:sz w:val="24"/>
          <w:szCs w:val="24"/>
        </w:rPr>
        <w:t>Third,</w:t>
      </w:r>
      <w:r w:rsidR="00EE3662">
        <w:rPr>
          <w:rFonts w:ascii="Arial" w:hAnsi="Arial" w:cs="Arial"/>
          <w:color w:val="000000" w:themeColor="text1"/>
          <w:sz w:val="24"/>
          <w:szCs w:val="24"/>
        </w:rPr>
        <w:t xml:space="preserve"> </w:t>
      </w:r>
      <w:r w:rsidR="006315A0">
        <w:rPr>
          <w:rFonts w:ascii="Arial" w:hAnsi="Arial" w:cs="Arial"/>
          <w:color w:val="000000" w:themeColor="text1"/>
          <w:sz w:val="24"/>
          <w:szCs w:val="24"/>
        </w:rPr>
        <w:t xml:space="preserve">which of the parties would </w:t>
      </w:r>
      <w:r w:rsidR="002B330E">
        <w:rPr>
          <w:rFonts w:ascii="Arial" w:hAnsi="Arial" w:cs="Arial"/>
          <w:color w:val="000000" w:themeColor="text1"/>
          <w:sz w:val="24"/>
          <w:szCs w:val="24"/>
        </w:rPr>
        <w:t xml:space="preserve">have </w:t>
      </w:r>
      <w:r w:rsidR="006315A0">
        <w:rPr>
          <w:rFonts w:ascii="Arial" w:hAnsi="Arial" w:cs="Arial"/>
          <w:color w:val="000000" w:themeColor="text1"/>
          <w:sz w:val="24"/>
          <w:szCs w:val="24"/>
        </w:rPr>
        <w:t>carr</w:t>
      </w:r>
      <w:r w:rsidR="002B330E">
        <w:rPr>
          <w:rFonts w:ascii="Arial" w:hAnsi="Arial" w:cs="Arial"/>
          <w:color w:val="000000" w:themeColor="text1"/>
          <w:sz w:val="24"/>
          <w:szCs w:val="24"/>
        </w:rPr>
        <w:t>ied</w:t>
      </w:r>
      <w:r w:rsidR="006315A0">
        <w:rPr>
          <w:rFonts w:ascii="Arial" w:hAnsi="Arial" w:cs="Arial"/>
          <w:color w:val="000000" w:themeColor="text1"/>
          <w:sz w:val="24"/>
          <w:szCs w:val="24"/>
        </w:rPr>
        <w:t xml:space="preserve"> the obligation to cause the subdivision to be effected</w:t>
      </w:r>
      <w:r w:rsidR="00043218">
        <w:rPr>
          <w:rFonts w:ascii="Arial" w:hAnsi="Arial" w:cs="Arial"/>
          <w:color w:val="000000" w:themeColor="text1"/>
          <w:sz w:val="24"/>
          <w:szCs w:val="24"/>
        </w:rPr>
        <w:t xml:space="preserve"> and</w:t>
      </w:r>
      <w:r w:rsidR="006315A0">
        <w:rPr>
          <w:rFonts w:ascii="Arial" w:hAnsi="Arial" w:cs="Arial"/>
          <w:color w:val="000000" w:themeColor="text1"/>
          <w:sz w:val="24"/>
          <w:szCs w:val="24"/>
        </w:rPr>
        <w:t xml:space="preserve"> the liability for the costs </w:t>
      </w:r>
      <w:r w:rsidR="00043218">
        <w:rPr>
          <w:rFonts w:ascii="Arial" w:hAnsi="Arial" w:cs="Arial"/>
          <w:color w:val="000000" w:themeColor="text1"/>
          <w:sz w:val="24"/>
          <w:szCs w:val="24"/>
        </w:rPr>
        <w:t>thereof</w:t>
      </w:r>
      <w:r w:rsidR="00650A07">
        <w:rPr>
          <w:rFonts w:ascii="Arial" w:hAnsi="Arial" w:cs="Arial"/>
          <w:color w:val="000000" w:themeColor="text1"/>
          <w:sz w:val="24"/>
          <w:szCs w:val="24"/>
        </w:rPr>
        <w:t>?</w:t>
      </w:r>
      <w:r w:rsidR="006315A0">
        <w:rPr>
          <w:rFonts w:ascii="Arial" w:hAnsi="Arial" w:cs="Arial"/>
          <w:color w:val="000000" w:themeColor="text1"/>
          <w:sz w:val="24"/>
          <w:szCs w:val="24"/>
        </w:rPr>
        <w:t xml:space="preserve"> </w:t>
      </w:r>
      <w:r w:rsidR="00043218">
        <w:rPr>
          <w:rFonts w:ascii="Arial" w:hAnsi="Arial" w:cs="Arial"/>
          <w:color w:val="000000" w:themeColor="text1"/>
          <w:sz w:val="24"/>
          <w:szCs w:val="24"/>
        </w:rPr>
        <w:t>Fourth, w</w:t>
      </w:r>
      <w:r w:rsidR="006315A0">
        <w:rPr>
          <w:rFonts w:ascii="Arial" w:hAnsi="Arial" w:cs="Arial"/>
          <w:color w:val="000000" w:themeColor="text1"/>
          <w:sz w:val="24"/>
          <w:szCs w:val="24"/>
        </w:rPr>
        <w:t xml:space="preserve">hat would have been the rights and obligations of the parties in the event of the </w:t>
      </w:r>
      <w:r w:rsidR="00043218">
        <w:rPr>
          <w:rFonts w:ascii="Arial" w:hAnsi="Arial" w:cs="Arial"/>
          <w:color w:val="000000" w:themeColor="text1"/>
          <w:sz w:val="24"/>
          <w:szCs w:val="24"/>
        </w:rPr>
        <w:t>subdivision not having been approved</w:t>
      </w:r>
      <w:r w:rsidR="00862D29">
        <w:rPr>
          <w:rFonts w:ascii="Arial" w:hAnsi="Arial" w:cs="Arial"/>
          <w:color w:val="000000" w:themeColor="text1"/>
          <w:sz w:val="24"/>
          <w:szCs w:val="24"/>
        </w:rPr>
        <w:t>?</w:t>
      </w:r>
      <w:r w:rsidR="00043218">
        <w:rPr>
          <w:rFonts w:ascii="Arial" w:hAnsi="Arial" w:cs="Arial"/>
          <w:color w:val="000000" w:themeColor="text1"/>
          <w:sz w:val="24"/>
          <w:szCs w:val="24"/>
        </w:rPr>
        <w:t xml:space="preserve"> </w:t>
      </w:r>
    </w:p>
    <w:p w14:paraId="3BFA6D4F" w14:textId="77777777" w:rsidR="00E056D4" w:rsidRDefault="00E056D4" w:rsidP="008B025F">
      <w:pPr>
        <w:tabs>
          <w:tab w:val="left" w:pos="720"/>
          <w:tab w:val="left" w:pos="1440"/>
          <w:tab w:val="left" w:pos="2160"/>
          <w:tab w:val="right" w:pos="9026"/>
        </w:tabs>
        <w:rPr>
          <w:rFonts w:ascii="Arial" w:hAnsi="Arial" w:cs="Arial"/>
          <w:color w:val="000000" w:themeColor="text1"/>
          <w:sz w:val="24"/>
          <w:szCs w:val="24"/>
        </w:rPr>
      </w:pPr>
    </w:p>
    <w:p w14:paraId="7F37F56F" w14:textId="30490A45" w:rsidR="00834CF0" w:rsidRDefault="00E056D4" w:rsidP="008B025F">
      <w:pPr>
        <w:tabs>
          <w:tab w:val="left" w:pos="720"/>
          <w:tab w:val="left" w:pos="1440"/>
          <w:tab w:val="left" w:pos="2160"/>
          <w:tab w:val="right" w:pos="9026"/>
        </w:tabs>
        <w:rPr>
          <w:rFonts w:ascii="Arial" w:hAnsi="Arial" w:cs="Arial"/>
          <w:color w:val="000000" w:themeColor="text1"/>
          <w:sz w:val="24"/>
          <w:szCs w:val="24"/>
        </w:rPr>
      </w:pPr>
      <w:r>
        <w:rPr>
          <w:rFonts w:ascii="Arial" w:hAnsi="Arial" w:cs="Arial"/>
          <w:color w:val="000000" w:themeColor="text1"/>
          <w:sz w:val="24"/>
          <w:szCs w:val="24"/>
        </w:rPr>
        <w:t>[1</w:t>
      </w:r>
      <w:r w:rsidR="006B082F">
        <w:rPr>
          <w:rFonts w:ascii="Arial" w:hAnsi="Arial" w:cs="Arial"/>
          <w:color w:val="000000" w:themeColor="text1"/>
          <w:sz w:val="24"/>
          <w:szCs w:val="24"/>
        </w:rPr>
        <w:t>9</w:t>
      </w:r>
      <w:r>
        <w:rPr>
          <w:rFonts w:ascii="Arial" w:hAnsi="Arial" w:cs="Arial"/>
          <w:color w:val="000000" w:themeColor="text1"/>
          <w:sz w:val="24"/>
          <w:szCs w:val="24"/>
        </w:rPr>
        <w:t>]</w:t>
      </w:r>
      <w:r>
        <w:rPr>
          <w:rFonts w:ascii="Arial" w:hAnsi="Arial" w:cs="Arial"/>
          <w:color w:val="000000" w:themeColor="text1"/>
          <w:sz w:val="24"/>
          <w:szCs w:val="24"/>
        </w:rPr>
        <w:tab/>
      </w:r>
      <w:r w:rsidR="00043218">
        <w:rPr>
          <w:rFonts w:ascii="Arial" w:hAnsi="Arial" w:cs="Arial"/>
          <w:color w:val="000000" w:themeColor="text1"/>
          <w:sz w:val="24"/>
          <w:szCs w:val="24"/>
        </w:rPr>
        <w:t xml:space="preserve">Fifth, if </w:t>
      </w:r>
      <w:r w:rsidR="00043218">
        <w:rPr>
          <w:rFonts w:ascii="Arial" w:hAnsi="Arial" w:cs="Arial"/>
          <w:bCs/>
          <w:sz w:val="24"/>
          <w:szCs w:val="24"/>
        </w:rPr>
        <w:t>that part of the ring road</w:t>
      </w:r>
      <w:r w:rsidR="00117A55">
        <w:rPr>
          <w:rFonts w:ascii="Arial" w:hAnsi="Arial" w:cs="Arial"/>
          <w:bCs/>
          <w:sz w:val="24"/>
          <w:szCs w:val="24"/>
        </w:rPr>
        <w:t xml:space="preserve"> that</w:t>
      </w:r>
      <w:r w:rsidR="00043218">
        <w:rPr>
          <w:rFonts w:ascii="Arial" w:hAnsi="Arial" w:cs="Arial"/>
          <w:bCs/>
          <w:sz w:val="24"/>
          <w:szCs w:val="24"/>
        </w:rPr>
        <w:t xml:space="preserve"> runs into Nurture </w:t>
      </w:r>
      <w:r w:rsidR="00F661CB">
        <w:rPr>
          <w:rFonts w:ascii="Arial" w:hAnsi="Arial" w:cs="Arial"/>
          <w:bCs/>
          <w:sz w:val="24"/>
          <w:szCs w:val="24"/>
        </w:rPr>
        <w:t>Park</w:t>
      </w:r>
      <w:r w:rsidR="00043218">
        <w:rPr>
          <w:rFonts w:ascii="Arial" w:hAnsi="Arial" w:cs="Arial"/>
          <w:bCs/>
          <w:sz w:val="24"/>
          <w:szCs w:val="24"/>
        </w:rPr>
        <w:t xml:space="preserve"> </w:t>
      </w:r>
      <w:r w:rsidR="00F629C8">
        <w:rPr>
          <w:rFonts w:ascii="Arial" w:hAnsi="Arial" w:cs="Arial"/>
          <w:bCs/>
          <w:sz w:val="24"/>
          <w:szCs w:val="24"/>
        </w:rPr>
        <w:t xml:space="preserve">was subdivided from the remainder of the ring road, ownership of which would have </w:t>
      </w:r>
      <w:r w:rsidR="002B330E">
        <w:rPr>
          <w:rFonts w:ascii="Arial" w:hAnsi="Arial" w:cs="Arial"/>
          <w:bCs/>
          <w:sz w:val="24"/>
          <w:szCs w:val="24"/>
        </w:rPr>
        <w:t xml:space="preserve">passed </w:t>
      </w:r>
      <w:r w:rsidR="00F629C8">
        <w:rPr>
          <w:rFonts w:ascii="Arial" w:hAnsi="Arial" w:cs="Arial"/>
          <w:bCs/>
          <w:sz w:val="24"/>
          <w:szCs w:val="24"/>
        </w:rPr>
        <w:t xml:space="preserve">to Curro, </w:t>
      </w:r>
      <w:r w:rsidR="002B330E">
        <w:rPr>
          <w:rFonts w:ascii="Arial" w:hAnsi="Arial" w:cs="Arial"/>
          <w:bCs/>
          <w:sz w:val="24"/>
          <w:szCs w:val="24"/>
        </w:rPr>
        <w:t xml:space="preserve">then </w:t>
      </w:r>
      <w:r w:rsidR="00F629C8">
        <w:rPr>
          <w:rFonts w:ascii="Arial" w:hAnsi="Arial" w:cs="Arial"/>
          <w:bCs/>
          <w:sz w:val="24"/>
          <w:szCs w:val="24"/>
        </w:rPr>
        <w:t xml:space="preserve">ownership </w:t>
      </w:r>
      <w:r w:rsidR="008A17FD">
        <w:rPr>
          <w:rFonts w:ascii="Arial" w:hAnsi="Arial" w:cs="Arial"/>
          <w:bCs/>
          <w:sz w:val="24"/>
          <w:szCs w:val="24"/>
        </w:rPr>
        <w:t xml:space="preserve">of </w:t>
      </w:r>
      <w:r w:rsidR="002B330E">
        <w:rPr>
          <w:rFonts w:ascii="Arial" w:hAnsi="Arial" w:cs="Arial"/>
          <w:bCs/>
          <w:sz w:val="24"/>
          <w:szCs w:val="24"/>
        </w:rPr>
        <w:t>the part that runs into Nurture Park</w:t>
      </w:r>
      <w:r w:rsidR="00F629C8">
        <w:rPr>
          <w:rFonts w:ascii="Arial" w:hAnsi="Arial" w:cs="Arial"/>
          <w:bCs/>
          <w:sz w:val="24"/>
          <w:szCs w:val="24"/>
        </w:rPr>
        <w:t xml:space="preserve"> would have r</w:t>
      </w:r>
      <w:r w:rsidR="002B330E">
        <w:rPr>
          <w:rFonts w:ascii="Arial" w:hAnsi="Arial" w:cs="Arial"/>
          <w:bCs/>
          <w:sz w:val="24"/>
          <w:szCs w:val="24"/>
        </w:rPr>
        <w:t>e</w:t>
      </w:r>
      <w:r w:rsidR="00CB65C4">
        <w:rPr>
          <w:rFonts w:ascii="Arial" w:hAnsi="Arial" w:cs="Arial"/>
          <w:bCs/>
          <w:sz w:val="24"/>
          <w:szCs w:val="24"/>
        </w:rPr>
        <w:t>mai</w:t>
      </w:r>
      <w:r w:rsidR="00CF2B54">
        <w:rPr>
          <w:rFonts w:ascii="Arial" w:hAnsi="Arial" w:cs="Arial"/>
          <w:bCs/>
          <w:sz w:val="24"/>
          <w:szCs w:val="24"/>
        </w:rPr>
        <w:t>ned</w:t>
      </w:r>
      <w:r w:rsidR="00F629C8">
        <w:rPr>
          <w:rFonts w:ascii="Arial" w:hAnsi="Arial" w:cs="Arial"/>
          <w:bCs/>
          <w:sz w:val="24"/>
          <w:szCs w:val="24"/>
        </w:rPr>
        <w:t xml:space="preserve"> </w:t>
      </w:r>
      <w:r w:rsidR="002B330E">
        <w:rPr>
          <w:rFonts w:ascii="Arial" w:hAnsi="Arial" w:cs="Arial"/>
          <w:bCs/>
          <w:sz w:val="24"/>
          <w:szCs w:val="24"/>
        </w:rPr>
        <w:t>in</w:t>
      </w:r>
      <w:r w:rsidR="00F629C8">
        <w:rPr>
          <w:rFonts w:ascii="Arial" w:hAnsi="Arial" w:cs="Arial"/>
          <w:bCs/>
          <w:sz w:val="24"/>
          <w:szCs w:val="24"/>
        </w:rPr>
        <w:t xml:space="preserve"> the estate of Nomic</w:t>
      </w:r>
      <w:r w:rsidR="00F661CB">
        <w:rPr>
          <w:rFonts w:ascii="Arial" w:hAnsi="Arial" w:cs="Arial"/>
          <w:bCs/>
          <w:sz w:val="24"/>
          <w:szCs w:val="24"/>
        </w:rPr>
        <w:t xml:space="preserve">, </w:t>
      </w:r>
      <w:r w:rsidR="002B330E">
        <w:rPr>
          <w:rFonts w:ascii="Arial" w:hAnsi="Arial" w:cs="Arial"/>
          <w:bCs/>
          <w:sz w:val="24"/>
          <w:szCs w:val="24"/>
        </w:rPr>
        <w:t>unless the liquidators would have been able to alienate it</w:t>
      </w:r>
      <w:r w:rsidR="000276B3">
        <w:rPr>
          <w:rFonts w:ascii="Arial" w:hAnsi="Arial" w:cs="Arial"/>
          <w:bCs/>
          <w:sz w:val="24"/>
          <w:szCs w:val="24"/>
        </w:rPr>
        <w:t xml:space="preserve">, which possibility </w:t>
      </w:r>
      <w:r w:rsidR="0041165C">
        <w:rPr>
          <w:rFonts w:ascii="Arial" w:hAnsi="Arial" w:cs="Arial"/>
          <w:bCs/>
          <w:sz w:val="24"/>
          <w:szCs w:val="24"/>
        </w:rPr>
        <w:t>is speculative</w:t>
      </w:r>
      <w:r w:rsidR="00372CDE">
        <w:rPr>
          <w:rFonts w:ascii="Arial" w:hAnsi="Arial" w:cs="Arial"/>
          <w:bCs/>
          <w:sz w:val="24"/>
          <w:szCs w:val="24"/>
        </w:rPr>
        <w:t xml:space="preserve"> and would otherwise </w:t>
      </w:r>
      <w:r w:rsidR="00F071EB">
        <w:rPr>
          <w:rFonts w:ascii="Arial" w:hAnsi="Arial" w:cs="Arial"/>
          <w:bCs/>
          <w:sz w:val="24"/>
          <w:szCs w:val="24"/>
        </w:rPr>
        <w:t>not have been the case</w:t>
      </w:r>
      <w:r w:rsidR="002B330E">
        <w:rPr>
          <w:rFonts w:ascii="Arial" w:hAnsi="Arial" w:cs="Arial"/>
          <w:bCs/>
          <w:sz w:val="24"/>
          <w:szCs w:val="24"/>
        </w:rPr>
        <w:t xml:space="preserve">. The </w:t>
      </w:r>
      <w:r w:rsidR="00F661CB">
        <w:rPr>
          <w:rFonts w:ascii="Arial" w:hAnsi="Arial" w:cs="Arial"/>
          <w:bCs/>
          <w:sz w:val="24"/>
          <w:szCs w:val="24"/>
        </w:rPr>
        <w:t xml:space="preserve">whole of </w:t>
      </w:r>
      <w:r w:rsidR="00834CF0">
        <w:rPr>
          <w:rFonts w:ascii="Arial" w:hAnsi="Arial" w:cs="Arial"/>
          <w:bCs/>
          <w:sz w:val="24"/>
          <w:szCs w:val="24"/>
        </w:rPr>
        <w:t xml:space="preserve">the land, including the ring road - </w:t>
      </w:r>
      <w:r w:rsidR="00F661CB">
        <w:rPr>
          <w:rFonts w:ascii="Arial" w:hAnsi="Arial" w:cs="Arial"/>
          <w:bCs/>
          <w:sz w:val="24"/>
          <w:szCs w:val="24"/>
        </w:rPr>
        <w:t xml:space="preserve">erf 19565 </w:t>
      </w:r>
      <w:r w:rsidR="00834CF0">
        <w:rPr>
          <w:rFonts w:ascii="Arial" w:hAnsi="Arial" w:cs="Arial"/>
          <w:bCs/>
          <w:sz w:val="24"/>
          <w:szCs w:val="24"/>
        </w:rPr>
        <w:t xml:space="preserve">- </w:t>
      </w:r>
      <w:r w:rsidR="00F661CB">
        <w:rPr>
          <w:rFonts w:ascii="Arial" w:hAnsi="Arial" w:cs="Arial"/>
          <w:bCs/>
          <w:sz w:val="24"/>
          <w:szCs w:val="24"/>
        </w:rPr>
        <w:t xml:space="preserve">fell into the estate of Nomic and had to be sold as part </w:t>
      </w:r>
      <w:r w:rsidR="00B655B4">
        <w:rPr>
          <w:rFonts w:ascii="Arial" w:hAnsi="Arial" w:cs="Arial"/>
          <w:bCs/>
          <w:sz w:val="24"/>
          <w:szCs w:val="24"/>
        </w:rPr>
        <w:t>of the</w:t>
      </w:r>
      <w:r w:rsidR="00C05355">
        <w:rPr>
          <w:rFonts w:ascii="Arial" w:hAnsi="Arial" w:cs="Arial"/>
          <w:bCs/>
          <w:sz w:val="24"/>
          <w:szCs w:val="24"/>
        </w:rPr>
        <w:t xml:space="preserve"> </w:t>
      </w:r>
      <w:r w:rsidR="00B655B4">
        <w:rPr>
          <w:rFonts w:ascii="Arial" w:hAnsi="Arial" w:cs="Arial"/>
          <w:bCs/>
          <w:sz w:val="24"/>
          <w:szCs w:val="24"/>
        </w:rPr>
        <w:t xml:space="preserve">process of </w:t>
      </w:r>
      <w:r w:rsidR="00C05355">
        <w:rPr>
          <w:rFonts w:ascii="Arial" w:hAnsi="Arial" w:cs="Arial"/>
          <w:bCs/>
          <w:sz w:val="24"/>
          <w:szCs w:val="24"/>
        </w:rPr>
        <w:t>winding up</w:t>
      </w:r>
      <w:r w:rsidR="00834CF0">
        <w:rPr>
          <w:rFonts w:ascii="Arial" w:hAnsi="Arial" w:cs="Arial"/>
          <w:bCs/>
          <w:sz w:val="24"/>
          <w:szCs w:val="24"/>
        </w:rPr>
        <w:t xml:space="preserve"> its affairs </w:t>
      </w:r>
      <w:r w:rsidR="009C3176">
        <w:rPr>
          <w:rFonts w:ascii="Arial" w:hAnsi="Arial" w:cs="Arial"/>
          <w:bCs/>
          <w:sz w:val="24"/>
          <w:szCs w:val="24"/>
        </w:rPr>
        <w:t xml:space="preserve">for </w:t>
      </w:r>
      <w:r w:rsidR="00834CF0">
        <w:rPr>
          <w:rFonts w:ascii="Arial" w:hAnsi="Arial" w:cs="Arial"/>
          <w:bCs/>
          <w:sz w:val="24"/>
          <w:szCs w:val="24"/>
        </w:rPr>
        <w:t>its demise</w:t>
      </w:r>
      <w:r w:rsidR="009C3176">
        <w:rPr>
          <w:rFonts w:ascii="Arial" w:hAnsi="Arial" w:cs="Arial"/>
          <w:bCs/>
          <w:sz w:val="24"/>
          <w:szCs w:val="24"/>
        </w:rPr>
        <w:t xml:space="preserve"> to result</w:t>
      </w:r>
      <w:r w:rsidR="00C05355">
        <w:rPr>
          <w:rFonts w:ascii="Arial" w:hAnsi="Arial" w:cs="Arial"/>
          <w:bCs/>
          <w:sz w:val="24"/>
          <w:szCs w:val="24"/>
        </w:rPr>
        <w:t>.</w:t>
      </w:r>
    </w:p>
    <w:p w14:paraId="59A459A6" w14:textId="77777777" w:rsidR="00834CF0" w:rsidRDefault="00834CF0" w:rsidP="008B025F">
      <w:pPr>
        <w:tabs>
          <w:tab w:val="left" w:pos="720"/>
          <w:tab w:val="left" w:pos="1440"/>
          <w:tab w:val="left" w:pos="2160"/>
          <w:tab w:val="right" w:pos="9026"/>
        </w:tabs>
        <w:rPr>
          <w:rFonts w:ascii="Arial" w:hAnsi="Arial" w:cs="Arial"/>
          <w:color w:val="000000" w:themeColor="text1"/>
          <w:sz w:val="24"/>
          <w:szCs w:val="24"/>
        </w:rPr>
      </w:pPr>
    </w:p>
    <w:p w14:paraId="7DAC5934" w14:textId="7DC697E7" w:rsidR="004D55C1" w:rsidRPr="00834CF0" w:rsidRDefault="008B025F" w:rsidP="008B025F">
      <w:pPr>
        <w:tabs>
          <w:tab w:val="left" w:pos="720"/>
          <w:tab w:val="left" w:pos="1440"/>
          <w:tab w:val="left" w:pos="2160"/>
          <w:tab w:val="right" w:pos="9026"/>
        </w:tabs>
        <w:rPr>
          <w:rFonts w:ascii="Arial" w:hAnsi="Arial" w:cs="Arial"/>
          <w:color w:val="000000" w:themeColor="text1"/>
          <w:sz w:val="24"/>
          <w:szCs w:val="24"/>
        </w:rPr>
      </w:pPr>
      <w:r>
        <w:rPr>
          <w:rFonts w:ascii="Arial" w:eastAsia="Times New Roman" w:hAnsi="Arial" w:cs="Arial"/>
          <w:color w:val="000000"/>
          <w:sz w:val="24"/>
          <w:szCs w:val="24"/>
          <w:lang w:eastAsia="en-ZA"/>
        </w:rPr>
        <w:lastRenderedPageBreak/>
        <w:t>[</w:t>
      </w:r>
      <w:r w:rsidR="006B082F">
        <w:rPr>
          <w:rFonts w:ascii="Arial" w:eastAsia="Times New Roman" w:hAnsi="Arial" w:cs="Arial"/>
          <w:color w:val="000000"/>
          <w:sz w:val="24"/>
          <w:szCs w:val="24"/>
          <w:lang w:eastAsia="en-ZA"/>
        </w:rPr>
        <w:t>20</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A23A09">
        <w:rPr>
          <w:rFonts w:ascii="Arial" w:eastAsia="Times New Roman" w:hAnsi="Arial" w:cs="Arial"/>
          <w:color w:val="000000"/>
          <w:sz w:val="24"/>
          <w:szCs w:val="24"/>
          <w:lang w:eastAsia="en-ZA"/>
        </w:rPr>
        <w:t>I conclude</w:t>
      </w:r>
      <w:r>
        <w:rPr>
          <w:rFonts w:ascii="Arial" w:eastAsia="Times New Roman" w:hAnsi="Arial" w:cs="Arial"/>
          <w:color w:val="000000"/>
          <w:sz w:val="24"/>
          <w:szCs w:val="24"/>
          <w:lang w:eastAsia="en-ZA"/>
        </w:rPr>
        <w:t>, therefore,</w:t>
      </w:r>
      <w:r w:rsidR="00A23A09">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that the agreement </w:t>
      </w:r>
      <w:r w:rsidR="000422F2">
        <w:rPr>
          <w:rFonts w:ascii="Arial" w:eastAsia="Times New Roman" w:hAnsi="Arial" w:cs="Arial"/>
          <w:color w:val="000000"/>
          <w:sz w:val="24"/>
          <w:szCs w:val="24"/>
          <w:lang w:eastAsia="en-ZA"/>
        </w:rPr>
        <w:t xml:space="preserve">and </w:t>
      </w:r>
      <w:r w:rsidR="00834CF0">
        <w:rPr>
          <w:rFonts w:ascii="Arial" w:eastAsia="Times New Roman" w:hAnsi="Arial" w:cs="Arial"/>
          <w:color w:val="000000"/>
          <w:sz w:val="24"/>
          <w:szCs w:val="24"/>
          <w:lang w:eastAsia="en-ZA"/>
        </w:rPr>
        <w:t>the</w:t>
      </w:r>
      <w:r w:rsidR="000422F2">
        <w:rPr>
          <w:rFonts w:ascii="Arial" w:eastAsia="Times New Roman" w:hAnsi="Arial" w:cs="Arial"/>
          <w:color w:val="000000"/>
          <w:sz w:val="24"/>
          <w:szCs w:val="24"/>
          <w:lang w:eastAsia="en-ZA"/>
        </w:rPr>
        <w:t xml:space="preserve"> addendum </w:t>
      </w:r>
      <w:r>
        <w:rPr>
          <w:rFonts w:ascii="Arial" w:eastAsia="Times New Roman" w:hAnsi="Arial" w:cs="Arial"/>
          <w:color w:val="000000"/>
          <w:sz w:val="24"/>
          <w:szCs w:val="24"/>
          <w:lang w:eastAsia="en-ZA"/>
        </w:rPr>
        <w:t xml:space="preserve">concluded between the parties </w:t>
      </w:r>
      <w:r w:rsidR="000422F2">
        <w:rPr>
          <w:rFonts w:ascii="Arial" w:eastAsia="Times New Roman" w:hAnsi="Arial" w:cs="Arial"/>
          <w:color w:val="000000"/>
          <w:sz w:val="24"/>
          <w:szCs w:val="24"/>
          <w:lang w:eastAsia="en-ZA"/>
        </w:rPr>
        <w:t>are</w:t>
      </w:r>
      <w:r>
        <w:rPr>
          <w:rFonts w:ascii="Arial" w:eastAsia="Times New Roman" w:hAnsi="Arial" w:cs="Arial"/>
          <w:color w:val="000000"/>
          <w:sz w:val="24"/>
          <w:szCs w:val="24"/>
          <w:lang w:eastAsia="en-ZA"/>
        </w:rPr>
        <w:t xml:space="preserve"> null and void </w:t>
      </w:r>
      <w:r w:rsidR="000422F2">
        <w:rPr>
          <w:rFonts w:ascii="Arial" w:eastAsia="Times New Roman" w:hAnsi="Arial" w:cs="Arial"/>
          <w:i/>
          <w:iCs/>
          <w:color w:val="000000"/>
          <w:sz w:val="24"/>
          <w:szCs w:val="24"/>
          <w:lang w:eastAsia="en-ZA"/>
        </w:rPr>
        <w:t>ab initio</w:t>
      </w:r>
      <w:r w:rsidR="000422F2" w:rsidRPr="00CB7242">
        <w:rPr>
          <w:rFonts w:ascii="Arial" w:eastAsia="Times New Roman" w:hAnsi="Arial" w:cs="Arial"/>
          <w:color w:val="000000"/>
          <w:sz w:val="24"/>
          <w:szCs w:val="24"/>
          <w:lang w:eastAsia="en-ZA"/>
        </w:rPr>
        <w:t xml:space="preserve"> </w:t>
      </w:r>
      <w:r w:rsidR="00CB7242" w:rsidRPr="00CB7242">
        <w:rPr>
          <w:rFonts w:ascii="Arial" w:eastAsia="Times New Roman" w:hAnsi="Arial" w:cs="Arial"/>
          <w:color w:val="000000"/>
          <w:sz w:val="24"/>
          <w:szCs w:val="24"/>
          <w:lang w:eastAsia="en-ZA"/>
        </w:rPr>
        <w:t>also due to</w:t>
      </w:r>
      <w:r w:rsidR="004D55C1">
        <w:rPr>
          <w:rFonts w:ascii="Arial" w:hAnsi="Arial" w:cs="Arial"/>
          <w:color w:val="000000" w:themeColor="text1"/>
          <w:sz w:val="24"/>
          <w:szCs w:val="24"/>
        </w:rPr>
        <w:t xml:space="preserve"> non-compliance with s 2(1) of the Alienation of Land Act.</w:t>
      </w:r>
    </w:p>
    <w:p w14:paraId="57D2B588" w14:textId="77777777" w:rsidR="004D55C1" w:rsidRDefault="004D55C1" w:rsidP="008B025F">
      <w:pPr>
        <w:tabs>
          <w:tab w:val="left" w:pos="720"/>
          <w:tab w:val="left" w:pos="1440"/>
          <w:tab w:val="left" w:pos="2160"/>
          <w:tab w:val="right" w:pos="9026"/>
        </w:tabs>
        <w:rPr>
          <w:rFonts w:ascii="Arial" w:eastAsia="Times New Roman" w:hAnsi="Arial" w:cs="Arial"/>
          <w:color w:val="000000"/>
          <w:sz w:val="24"/>
          <w:szCs w:val="24"/>
          <w:lang w:eastAsia="en-ZA"/>
        </w:rPr>
      </w:pPr>
    </w:p>
    <w:p w14:paraId="56238D23" w14:textId="115C6CEA" w:rsidR="008B025F" w:rsidRDefault="008B025F" w:rsidP="008B025F">
      <w:pPr>
        <w:tabs>
          <w:tab w:val="left" w:pos="720"/>
          <w:tab w:val="left" w:pos="1440"/>
          <w:tab w:val="left" w:pos="2160"/>
          <w:tab w:val="right" w:pos="9026"/>
        </w:tabs>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EC771D">
        <w:rPr>
          <w:rFonts w:ascii="Arial" w:eastAsia="Times New Roman" w:hAnsi="Arial" w:cs="Arial"/>
          <w:color w:val="000000"/>
          <w:sz w:val="24"/>
          <w:szCs w:val="24"/>
          <w:lang w:eastAsia="en-ZA"/>
        </w:rPr>
        <w:t>2</w:t>
      </w:r>
      <w:r w:rsidR="006B082F">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t>In the result the following order is made:</w:t>
      </w:r>
    </w:p>
    <w:p w14:paraId="2F250DF5" w14:textId="240D3909" w:rsidR="008B025F" w:rsidRDefault="007954FE" w:rsidP="008B025F">
      <w:pPr>
        <w:tabs>
          <w:tab w:val="left" w:pos="720"/>
          <w:tab w:val="left" w:pos="1440"/>
          <w:tab w:val="left" w:pos="2160"/>
          <w:tab w:val="right" w:pos="9026"/>
        </w:tabs>
        <w:rPr>
          <w:rFonts w:ascii="Arial" w:eastAsia="Times New Roman" w:hAnsi="Arial" w:cs="Arial"/>
          <w:color w:val="000000"/>
          <w:sz w:val="24"/>
          <w:szCs w:val="24"/>
          <w:lang w:eastAsia="en-ZA"/>
        </w:rPr>
      </w:pPr>
      <w:r w:rsidRPr="00611B0B">
        <w:rPr>
          <w:rFonts w:ascii="Arial" w:eastAsia="Times New Roman" w:hAnsi="Arial" w:cs="Arial"/>
          <w:color w:val="000000"/>
          <w:sz w:val="24"/>
          <w:szCs w:val="24"/>
          <w:lang w:eastAsia="en-ZA"/>
        </w:rPr>
        <w:t>1</w:t>
      </w:r>
      <w:r w:rsidR="00E53C52">
        <w:rPr>
          <w:rFonts w:ascii="Arial" w:eastAsia="Times New Roman" w:hAnsi="Arial" w:cs="Arial"/>
          <w:color w:val="000000"/>
          <w:sz w:val="24"/>
          <w:szCs w:val="24"/>
          <w:lang w:eastAsia="en-ZA"/>
        </w:rPr>
        <w:tab/>
        <w:t>T</w:t>
      </w:r>
      <w:r w:rsidR="008B025F">
        <w:rPr>
          <w:rFonts w:ascii="Arial" w:eastAsia="Times New Roman" w:hAnsi="Arial" w:cs="Arial"/>
          <w:color w:val="000000"/>
          <w:sz w:val="24"/>
          <w:szCs w:val="24"/>
          <w:lang w:eastAsia="en-ZA"/>
        </w:rPr>
        <w:t>he appeal is upheld with costs.</w:t>
      </w:r>
    </w:p>
    <w:p w14:paraId="3D9EEDC1" w14:textId="4BE079C4" w:rsidR="00256702" w:rsidRDefault="007954FE" w:rsidP="00E53C52">
      <w:pPr>
        <w:tabs>
          <w:tab w:val="left" w:pos="720"/>
          <w:tab w:val="left" w:pos="1440"/>
          <w:tab w:val="left" w:pos="2160"/>
          <w:tab w:val="right" w:pos="9026"/>
        </w:tabs>
        <w:ind w:left="720" w:hanging="720"/>
        <w:rPr>
          <w:rFonts w:ascii="Arial" w:eastAsia="Times New Roman" w:hAnsi="Arial" w:cs="Arial"/>
          <w:color w:val="000000"/>
          <w:sz w:val="24"/>
          <w:szCs w:val="24"/>
          <w:lang w:eastAsia="en-ZA"/>
        </w:rPr>
      </w:pPr>
      <w:r w:rsidRPr="00611B0B">
        <w:rPr>
          <w:rFonts w:ascii="Arial" w:eastAsia="Times New Roman" w:hAnsi="Arial" w:cs="Arial"/>
          <w:color w:val="000000"/>
          <w:sz w:val="24"/>
          <w:szCs w:val="24"/>
          <w:lang w:eastAsia="en-ZA"/>
        </w:rPr>
        <w:t>2</w:t>
      </w:r>
      <w:r w:rsidR="00E53C52">
        <w:rPr>
          <w:rFonts w:ascii="Arial" w:eastAsia="Times New Roman" w:hAnsi="Arial" w:cs="Arial"/>
          <w:color w:val="000000"/>
          <w:sz w:val="24"/>
          <w:szCs w:val="24"/>
          <w:lang w:eastAsia="en-ZA"/>
        </w:rPr>
        <w:tab/>
      </w:r>
      <w:r w:rsidR="000B50AB">
        <w:rPr>
          <w:rFonts w:ascii="Arial" w:eastAsia="Times New Roman" w:hAnsi="Arial" w:cs="Arial"/>
          <w:color w:val="000000"/>
          <w:sz w:val="24"/>
          <w:szCs w:val="24"/>
          <w:lang w:eastAsia="en-ZA"/>
        </w:rPr>
        <w:t>The order of the high court is set aside and in its place is substituted the following:</w:t>
      </w:r>
    </w:p>
    <w:p w14:paraId="63AE2645" w14:textId="6A6021CD" w:rsidR="000422F2" w:rsidRDefault="008C0CCF" w:rsidP="003C7545">
      <w:pPr>
        <w:tabs>
          <w:tab w:val="left" w:pos="720"/>
          <w:tab w:val="left" w:pos="1440"/>
          <w:tab w:val="left" w:pos="2160"/>
          <w:tab w:val="right" w:pos="9026"/>
        </w:tabs>
        <w:ind w:left="720"/>
        <w:rPr>
          <w:rFonts w:ascii="Arial" w:hAnsi="Arial" w:cs="Arial"/>
          <w:color w:val="000000" w:themeColor="text1"/>
          <w:sz w:val="24"/>
          <w:szCs w:val="24"/>
        </w:rPr>
      </w:pPr>
      <w:r>
        <w:rPr>
          <w:rFonts w:ascii="Arial" w:hAnsi="Arial" w:cs="Arial"/>
          <w:bCs/>
          <w:sz w:val="24"/>
          <w:szCs w:val="24"/>
        </w:rPr>
        <w:t>‘</w:t>
      </w:r>
      <w:r w:rsidR="00256702">
        <w:rPr>
          <w:rFonts w:ascii="Arial" w:hAnsi="Arial" w:cs="Arial"/>
          <w:bCs/>
          <w:sz w:val="24"/>
          <w:szCs w:val="24"/>
        </w:rPr>
        <w:t>(</w:t>
      </w:r>
      <w:r w:rsidR="00DA16FB">
        <w:rPr>
          <w:rFonts w:ascii="Arial" w:hAnsi="Arial" w:cs="Arial"/>
          <w:bCs/>
          <w:sz w:val="24"/>
          <w:szCs w:val="24"/>
        </w:rPr>
        <w:t>a</w:t>
      </w:r>
      <w:r w:rsidR="00256702">
        <w:rPr>
          <w:rFonts w:ascii="Arial" w:hAnsi="Arial" w:cs="Arial"/>
          <w:bCs/>
          <w:sz w:val="24"/>
          <w:szCs w:val="24"/>
        </w:rPr>
        <w:t>) The written sale of land agreement concluded between the parties on 1</w:t>
      </w:r>
      <w:r w:rsidR="000422F2">
        <w:rPr>
          <w:rFonts w:ascii="Arial" w:hAnsi="Arial" w:cs="Arial"/>
          <w:bCs/>
          <w:sz w:val="24"/>
          <w:szCs w:val="24"/>
        </w:rPr>
        <w:t>4</w:t>
      </w:r>
      <w:r w:rsidR="00256702">
        <w:rPr>
          <w:rFonts w:ascii="Arial" w:hAnsi="Arial" w:cs="Arial"/>
          <w:bCs/>
          <w:sz w:val="24"/>
          <w:szCs w:val="24"/>
        </w:rPr>
        <w:t xml:space="preserve"> November 2016 and its addendum concluded on</w:t>
      </w:r>
      <w:r w:rsidR="000422F2">
        <w:rPr>
          <w:rFonts w:ascii="Arial" w:hAnsi="Arial" w:cs="Arial"/>
          <w:bCs/>
          <w:sz w:val="24"/>
          <w:szCs w:val="24"/>
        </w:rPr>
        <w:t xml:space="preserve"> </w:t>
      </w:r>
      <w:r w:rsidR="000422F2">
        <w:rPr>
          <w:rFonts w:ascii="Arial" w:hAnsi="Arial" w:cs="Arial"/>
          <w:color w:val="000000" w:themeColor="text1"/>
          <w:sz w:val="24"/>
          <w:szCs w:val="24"/>
        </w:rPr>
        <w:t xml:space="preserve">18 April 2017, are declared void </w:t>
      </w:r>
      <w:r w:rsidR="000422F2">
        <w:rPr>
          <w:rFonts w:ascii="Arial" w:hAnsi="Arial" w:cs="Arial"/>
          <w:i/>
          <w:iCs/>
          <w:color w:val="000000" w:themeColor="text1"/>
          <w:sz w:val="24"/>
          <w:szCs w:val="24"/>
        </w:rPr>
        <w:t>ab initio</w:t>
      </w:r>
      <w:r w:rsidR="000422F2">
        <w:rPr>
          <w:rFonts w:ascii="Arial" w:hAnsi="Arial" w:cs="Arial"/>
          <w:color w:val="000000" w:themeColor="text1"/>
          <w:sz w:val="24"/>
          <w:szCs w:val="24"/>
        </w:rPr>
        <w:t xml:space="preserve"> </w:t>
      </w:r>
      <w:r w:rsidR="0010678F">
        <w:rPr>
          <w:rFonts w:ascii="Arial" w:hAnsi="Arial" w:cs="Arial"/>
          <w:color w:val="000000" w:themeColor="text1"/>
          <w:sz w:val="24"/>
          <w:szCs w:val="24"/>
        </w:rPr>
        <w:t xml:space="preserve">due to </w:t>
      </w:r>
      <w:r w:rsidR="000422F2">
        <w:rPr>
          <w:rFonts w:ascii="Arial" w:hAnsi="Arial" w:cs="Arial"/>
          <w:color w:val="000000" w:themeColor="text1"/>
          <w:sz w:val="24"/>
          <w:szCs w:val="24"/>
        </w:rPr>
        <w:t xml:space="preserve">non-compliance with section 2(1) of the Alienation of Land Act 68 of 1981 and for </w:t>
      </w:r>
      <w:r w:rsidR="00834CF0">
        <w:rPr>
          <w:rFonts w:ascii="Arial" w:hAnsi="Arial" w:cs="Arial"/>
          <w:color w:val="000000" w:themeColor="text1"/>
          <w:sz w:val="24"/>
          <w:szCs w:val="24"/>
        </w:rPr>
        <w:t>want</w:t>
      </w:r>
      <w:r w:rsidR="000422F2">
        <w:rPr>
          <w:rFonts w:ascii="Arial" w:hAnsi="Arial" w:cs="Arial"/>
          <w:color w:val="000000" w:themeColor="text1"/>
          <w:sz w:val="24"/>
          <w:szCs w:val="24"/>
        </w:rPr>
        <w:t xml:space="preserve"> of </w:t>
      </w:r>
      <w:r w:rsidR="000422F2" w:rsidRPr="00DA16FB">
        <w:rPr>
          <w:rFonts w:ascii="Arial" w:hAnsi="Arial" w:cs="Arial"/>
          <w:color w:val="000000" w:themeColor="text1"/>
          <w:sz w:val="24"/>
          <w:szCs w:val="24"/>
        </w:rPr>
        <w:t>consensus</w:t>
      </w:r>
      <w:r w:rsidR="000422F2">
        <w:rPr>
          <w:rFonts w:ascii="Arial" w:hAnsi="Arial" w:cs="Arial"/>
          <w:i/>
          <w:iCs/>
          <w:color w:val="000000" w:themeColor="text1"/>
          <w:sz w:val="24"/>
          <w:szCs w:val="24"/>
        </w:rPr>
        <w:t xml:space="preserve"> </w:t>
      </w:r>
      <w:r w:rsidR="000422F2">
        <w:rPr>
          <w:rFonts w:ascii="Arial" w:hAnsi="Arial" w:cs="Arial"/>
          <w:color w:val="000000" w:themeColor="text1"/>
          <w:sz w:val="24"/>
          <w:szCs w:val="24"/>
        </w:rPr>
        <w:t>between the</w:t>
      </w:r>
      <w:r w:rsidR="00834CF0">
        <w:rPr>
          <w:rFonts w:ascii="Arial" w:hAnsi="Arial" w:cs="Arial"/>
          <w:color w:val="000000" w:themeColor="text1"/>
          <w:sz w:val="24"/>
          <w:szCs w:val="24"/>
        </w:rPr>
        <w:t>m</w:t>
      </w:r>
      <w:r w:rsidR="000422F2">
        <w:rPr>
          <w:rFonts w:ascii="Arial" w:hAnsi="Arial" w:cs="Arial"/>
          <w:color w:val="000000" w:themeColor="text1"/>
          <w:sz w:val="24"/>
          <w:szCs w:val="24"/>
        </w:rPr>
        <w:t xml:space="preserve"> in respect of the </w:t>
      </w:r>
      <w:r w:rsidR="000422F2">
        <w:rPr>
          <w:rFonts w:ascii="Arial" w:hAnsi="Arial" w:cs="Arial"/>
          <w:i/>
          <w:iCs/>
          <w:color w:val="000000" w:themeColor="text1"/>
          <w:sz w:val="24"/>
          <w:szCs w:val="24"/>
        </w:rPr>
        <w:t>merx</w:t>
      </w:r>
      <w:r w:rsidR="000422F2">
        <w:rPr>
          <w:rFonts w:ascii="Arial" w:hAnsi="Arial" w:cs="Arial"/>
          <w:color w:val="000000" w:themeColor="text1"/>
          <w:sz w:val="24"/>
          <w:szCs w:val="24"/>
        </w:rPr>
        <w:t>.</w:t>
      </w:r>
    </w:p>
    <w:p w14:paraId="1D470A9A" w14:textId="7D5B07CF" w:rsidR="008B025F" w:rsidRDefault="003C7545" w:rsidP="003C7545">
      <w:pPr>
        <w:tabs>
          <w:tab w:val="left" w:pos="720"/>
          <w:tab w:val="left" w:pos="1440"/>
          <w:tab w:val="left" w:pos="2160"/>
          <w:tab w:val="right" w:pos="9026"/>
        </w:tabs>
        <w:rPr>
          <w:rFonts w:ascii="Arial" w:hAnsi="Arial" w:cs="Arial"/>
          <w:bCs/>
          <w:sz w:val="24"/>
          <w:szCs w:val="24"/>
        </w:rPr>
      </w:pPr>
      <w:r>
        <w:rPr>
          <w:rFonts w:ascii="Arial" w:hAnsi="Arial" w:cs="Arial"/>
          <w:bCs/>
          <w:sz w:val="24"/>
          <w:szCs w:val="24"/>
        </w:rPr>
        <w:tab/>
      </w:r>
      <w:r w:rsidR="000422F2">
        <w:rPr>
          <w:rFonts w:ascii="Arial" w:hAnsi="Arial" w:cs="Arial"/>
          <w:bCs/>
          <w:sz w:val="24"/>
          <w:szCs w:val="24"/>
        </w:rPr>
        <w:t>(</w:t>
      </w:r>
      <w:r w:rsidR="00DA16FB">
        <w:rPr>
          <w:rFonts w:ascii="Arial" w:hAnsi="Arial" w:cs="Arial"/>
          <w:bCs/>
          <w:sz w:val="24"/>
          <w:szCs w:val="24"/>
        </w:rPr>
        <w:t>b</w:t>
      </w:r>
      <w:r>
        <w:rPr>
          <w:rFonts w:ascii="Arial" w:hAnsi="Arial" w:cs="Arial"/>
          <w:bCs/>
          <w:sz w:val="24"/>
          <w:szCs w:val="24"/>
        </w:rPr>
        <w:t xml:space="preserve">) </w:t>
      </w:r>
      <w:r w:rsidR="000422F2">
        <w:rPr>
          <w:rFonts w:ascii="Arial" w:hAnsi="Arial" w:cs="Arial"/>
          <w:bCs/>
          <w:sz w:val="24"/>
          <w:szCs w:val="24"/>
        </w:rPr>
        <w:t>The respondent is to pay the applicant</w:t>
      </w:r>
      <w:r w:rsidR="00352C83">
        <w:rPr>
          <w:rFonts w:ascii="Arial" w:hAnsi="Arial" w:cs="Arial"/>
          <w:bCs/>
          <w:sz w:val="24"/>
          <w:szCs w:val="24"/>
        </w:rPr>
        <w:t>s’</w:t>
      </w:r>
      <w:r w:rsidR="000422F2">
        <w:rPr>
          <w:rFonts w:ascii="Arial" w:hAnsi="Arial" w:cs="Arial"/>
          <w:bCs/>
          <w:sz w:val="24"/>
          <w:szCs w:val="24"/>
        </w:rPr>
        <w:t xml:space="preserve"> costs.</w:t>
      </w:r>
      <w:r w:rsidR="008C0CCF">
        <w:rPr>
          <w:rFonts w:ascii="Arial" w:hAnsi="Arial" w:cs="Arial"/>
          <w:bCs/>
          <w:sz w:val="24"/>
          <w:szCs w:val="24"/>
        </w:rPr>
        <w:t>’</w:t>
      </w:r>
    </w:p>
    <w:p w14:paraId="791D1150" w14:textId="77777777" w:rsidR="002C1F91" w:rsidRPr="00256702" w:rsidRDefault="002C1F91" w:rsidP="003C7545">
      <w:pPr>
        <w:tabs>
          <w:tab w:val="left" w:pos="720"/>
          <w:tab w:val="left" w:pos="1440"/>
          <w:tab w:val="left" w:pos="2160"/>
          <w:tab w:val="right" w:pos="9026"/>
        </w:tabs>
        <w:rPr>
          <w:rFonts w:ascii="Arial" w:eastAsia="Times New Roman" w:hAnsi="Arial" w:cs="Arial"/>
          <w:color w:val="000000"/>
          <w:sz w:val="24"/>
          <w:szCs w:val="24"/>
          <w:lang w:eastAsia="en-ZA"/>
        </w:rPr>
      </w:pPr>
    </w:p>
    <w:p w14:paraId="2CF73896" w14:textId="387E36C1" w:rsidR="008B025F" w:rsidRDefault="008B025F" w:rsidP="008B025F">
      <w:pPr>
        <w:spacing w:line="240" w:lineRule="auto"/>
        <w:rPr>
          <w:rFonts w:ascii="Arial" w:hAnsi="Arial" w:cs="Arial"/>
          <w:bCs/>
          <w:sz w:val="24"/>
          <w:szCs w:val="24"/>
        </w:rPr>
      </w:pPr>
    </w:p>
    <w:p w14:paraId="6EE6998E" w14:textId="6F5C7539" w:rsidR="00C206C1" w:rsidRPr="00824A9D" w:rsidRDefault="001D47C4" w:rsidP="008B025F">
      <w:pPr>
        <w:spacing w:line="240" w:lineRule="auto"/>
        <w:rPr>
          <w:rFonts w:ascii="Arial" w:hAnsi="Arial" w:cs="Arial"/>
          <w:b/>
          <w:bCs/>
          <w:sz w:val="24"/>
          <w:szCs w:val="24"/>
          <w:u w:val="single"/>
          <w:shd w:val="clear" w:color="auto" w:fill="FFFFFF"/>
        </w:rPr>
      </w:pPr>
      <w:r>
        <w:rPr>
          <w:rFonts w:ascii="Arial" w:eastAsia="Times New Roman" w:hAnsi="Arial" w:cs="Arial"/>
          <w:bCs/>
          <w:sz w:val="24"/>
          <w:szCs w:val="24"/>
          <w:lang w:eastAsia="en-ZA"/>
        </w:rPr>
        <w:t xml:space="preserve">                                                                                                       </w:t>
      </w:r>
      <w:r w:rsidR="00C206C1" w:rsidRPr="00501A3C">
        <w:rPr>
          <w:rFonts w:ascii="Arial" w:eastAsia="Times New Roman" w:hAnsi="Arial" w:cs="Arial"/>
          <w:bCs/>
          <w:sz w:val="24"/>
          <w:szCs w:val="24"/>
          <w:lang w:eastAsia="en-ZA"/>
        </w:rPr>
        <w:t>________________</w:t>
      </w:r>
    </w:p>
    <w:p w14:paraId="1F9DC184" w14:textId="73B8C2F7" w:rsidR="00046DB8" w:rsidRPr="00E53C52" w:rsidRDefault="00C206C1" w:rsidP="00106D1F">
      <w:pPr>
        <w:spacing w:line="240" w:lineRule="auto"/>
        <w:jc w:val="right"/>
        <w:rPr>
          <w:rFonts w:ascii="Arial" w:hAnsi="Arial" w:cs="Arial"/>
          <w:sz w:val="24"/>
          <w:szCs w:val="24"/>
        </w:rPr>
      </w:pP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Pr="00501A3C">
        <w:rPr>
          <w:rFonts w:ascii="Arial" w:hAnsi="Arial" w:cs="Arial"/>
          <w:sz w:val="24"/>
          <w:szCs w:val="24"/>
        </w:rPr>
        <w:tab/>
      </w:r>
      <w:r w:rsidR="00E53C52" w:rsidRPr="00E53C52">
        <w:rPr>
          <w:rFonts w:ascii="Arial" w:hAnsi="Arial" w:cs="Arial"/>
          <w:sz w:val="24"/>
          <w:szCs w:val="24"/>
        </w:rPr>
        <w:t xml:space="preserve">                     P A MEYER</w:t>
      </w:r>
    </w:p>
    <w:p w14:paraId="3E7F8AFC" w14:textId="554F345B" w:rsidR="00106D1F" w:rsidRDefault="00E53C52" w:rsidP="00106D1F">
      <w:pPr>
        <w:spacing w:line="240" w:lineRule="auto"/>
        <w:jc w:val="right"/>
        <w:rPr>
          <w:rFonts w:ascii="Arial" w:hAnsi="Arial" w:cs="Arial"/>
          <w:sz w:val="24"/>
          <w:szCs w:val="24"/>
        </w:rPr>
      </w:pPr>
      <w:r w:rsidRPr="00E53C52">
        <w:rPr>
          <w:rFonts w:ascii="Arial" w:hAnsi="Arial" w:cs="Arial"/>
          <w:sz w:val="24"/>
          <w:szCs w:val="24"/>
        </w:rPr>
        <w:tab/>
      </w:r>
      <w:r w:rsidRPr="00E53C52">
        <w:rPr>
          <w:rFonts w:ascii="Arial" w:hAnsi="Arial" w:cs="Arial"/>
          <w:sz w:val="24"/>
          <w:szCs w:val="24"/>
        </w:rPr>
        <w:tab/>
      </w:r>
      <w:r w:rsidRPr="00E53C52">
        <w:rPr>
          <w:rFonts w:ascii="Arial" w:hAnsi="Arial" w:cs="Arial"/>
          <w:sz w:val="24"/>
          <w:szCs w:val="24"/>
        </w:rPr>
        <w:tab/>
      </w:r>
      <w:r w:rsidRPr="00E53C52">
        <w:rPr>
          <w:rFonts w:ascii="Arial" w:hAnsi="Arial" w:cs="Arial"/>
          <w:sz w:val="24"/>
          <w:szCs w:val="24"/>
        </w:rPr>
        <w:tab/>
      </w:r>
      <w:r w:rsidRPr="00E53C52">
        <w:rPr>
          <w:rFonts w:ascii="Arial" w:hAnsi="Arial" w:cs="Arial"/>
          <w:sz w:val="24"/>
          <w:szCs w:val="24"/>
        </w:rPr>
        <w:tab/>
      </w:r>
      <w:r w:rsidRPr="00E53C52">
        <w:rPr>
          <w:rFonts w:ascii="Arial" w:hAnsi="Arial" w:cs="Arial"/>
          <w:sz w:val="24"/>
          <w:szCs w:val="24"/>
        </w:rPr>
        <w:tab/>
      </w:r>
      <w:r w:rsidRPr="00E53C52">
        <w:rPr>
          <w:rFonts w:ascii="Arial" w:hAnsi="Arial" w:cs="Arial"/>
          <w:sz w:val="24"/>
          <w:szCs w:val="24"/>
        </w:rPr>
        <w:tab/>
        <w:t xml:space="preserve">    JUDGE OF APPEAL</w:t>
      </w:r>
    </w:p>
    <w:p w14:paraId="649DE7E6" w14:textId="77777777" w:rsidR="004D55C1" w:rsidRDefault="004D55C1" w:rsidP="00106D1F">
      <w:pPr>
        <w:spacing w:line="240" w:lineRule="auto"/>
        <w:rPr>
          <w:rFonts w:ascii="Arial" w:hAnsi="Arial" w:cs="Arial"/>
          <w:sz w:val="24"/>
          <w:szCs w:val="24"/>
        </w:rPr>
      </w:pPr>
    </w:p>
    <w:p w14:paraId="731EC394" w14:textId="77777777" w:rsidR="004D55C1" w:rsidRDefault="004D55C1" w:rsidP="00106D1F">
      <w:pPr>
        <w:spacing w:line="240" w:lineRule="auto"/>
        <w:rPr>
          <w:rFonts w:ascii="Arial" w:hAnsi="Arial" w:cs="Arial"/>
          <w:sz w:val="24"/>
          <w:szCs w:val="24"/>
        </w:rPr>
      </w:pPr>
    </w:p>
    <w:p w14:paraId="42E590F3" w14:textId="77777777" w:rsidR="004D55C1" w:rsidRDefault="004D55C1" w:rsidP="00106D1F">
      <w:pPr>
        <w:spacing w:line="240" w:lineRule="auto"/>
        <w:rPr>
          <w:rFonts w:ascii="Arial" w:hAnsi="Arial" w:cs="Arial"/>
          <w:sz w:val="24"/>
          <w:szCs w:val="24"/>
        </w:rPr>
      </w:pPr>
    </w:p>
    <w:p w14:paraId="3BBA2A4C" w14:textId="77777777" w:rsidR="004D55C1" w:rsidRDefault="004D55C1" w:rsidP="00106D1F">
      <w:pPr>
        <w:spacing w:line="240" w:lineRule="auto"/>
        <w:rPr>
          <w:rFonts w:ascii="Arial" w:hAnsi="Arial" w:cs="Arial"/>
          <w:sz w:val="24"/>
          <w:szCs w:val="24"/>
        </w:rPr>
      </w:pPr>
    </w:p>
    <w:p w14:paraId="3860ADDD" w14:textId="77777777" w:rsidR="004D55C1" w:rsidRDefault="004D55C1" w:rsidP="00106D1F">
      <w:pPr>
        <w:spacing w:line="240" w:lineRule="auto"/>
        <w:rPr>
          <w:rFonts w:ascii="Arial" w:hAnsi="Arial" w:cs="Arial"/>
          <w:sz w:val="24"/>
          <w:szCs w:val="24"/>
        </w:rPr>
      </w:pPr>
    </w:p>
    <w:p w14:paraId="034F94A6" w14:textId="77777777" w:rsidR="004D55C1" w:rsidRDefault="004D55C1" w:rsidP="00106D1F">
      <w:pPr>
        <w:spacing w:line="240" w:lineRule="auto"/>
        <w:rPr>
          <w:rFonts w:ascii="Arial" w:hAnsi="Arial" w:cs="Arial"/>
          <w:sz w:val="24"/>
          <w:szCs w:val="24"/>
        </w:rPr>
      </w:pPr>
    </w:p>
    <w:p w14:paraId="4F0100BF" w14:textId="77777777" w:rsidR="004D55C1" w:rsidRDefault="004D55C1" w:rsidP="00106D1F">
      <w:pPr>
        <w:spacing w:line="240" w:lineRule="auto"/>
        <w:rPr>
          <w:rFonts w:ascii="Arial" w:hAnsi="Arial" w:cs="Arial"/>
          <w:sz w:val="24"/>
          <w:szCs w:val="24"/>
        </w:rPr>
      </w:pPr>
    </w:p>
    <w:p w14:paraId="67F93FD1" w14:textId="77777777" w:rsidR="004D55C1" w:rsidRDefault="004D55C1" w:rsidP="00106D1F">
      <w:pPr>
        <w:spacing w:line="240" w:lineRule="auto"/>
        <w:rPr>
          <w:rFonts w:ascii="Arial" w:hAnsi="Arial" w:cs="Arial"/>
          <w:sz w:val="24"/>
          <w:szCs w:val="24"/>
        </w:rPr>
      </w:pPr>
    </w:p>
    <w:p w14:paraId="3079BF1E" w14:textId="77777777" w:rsidR="004D55C1" w:rsidRDefault="004D55C1" w:rsidP="00106D1F">
      <w:pPr>
        <w:spacing w:line="240" w:lineRule="auto"/>
        <w:rPr>
          <w:rFonts w:ascii="Arial" w:hAnsi="Arial" w:cs="Arial"/>
          <w:sz w:val="24"/>
          <w:szCs w:val="24"/>
        </w:rPr>
      </w:pPr>
    </w:p>
    <w:p w14:paraId="772BA150" w14:textId="77777777" w:rsidR="00FD6F67" w:rsidRDefault="00FD6F67" w:rsidP="00106D1F">
      <w:pPr>
        <w:spacing w:line="240" w:lineRule="auto"/>
        <w:rPr>
          <w:rFonts w:ascii="Arial" w:hAnsi="Arial" w:cs="Arial"/>
          <w:sz w:val="24"/>
          <w:szCs w:val="24"/>
        </w:rPr>
      </w:pPr>
    </w:p>
    <w:p w14:paraId="29FD3CAA" w14:textId="77777777" w:rsidR="00B23469" w:rsidRDefault="00B23469" w:rsidP="00106D1F">
      <w:pPr>
        <w:spacing w:line="240" w:lineRule="auto"/>
        <w:rPr>
          <w:rFonts w:ascii="Arial" w:hAnsi="Arial" w:cs="Arial"/>
          <w:sz w:val="24"/>
          <w:szCs w:val="24"/>
        </w:rPr>
      </w:pPr>
    </w:p>
    <w:p w14:paraId="48DCF00E" w14:textId="77777777" w:rsidR="000046E8" w:rsidRDefault="000046E8" w:rsidP="00106D1F">
      <w:pPr>
        <w:spacing w:line="240" w:lineRule="auto"/>
        <w:rPr>
          <w:rFonts w:ascii="Arial" w:hAnsi="Arial" w:cs="Arial"/>
          <w:sz w:val="24"/>
          <w:szCs w:val="24"/>
        </w:rPr>
      </w:pPr>
    </w:p>
    <w:p w14:paraId="0B4C6319" w14:textId="77777777" w:rsidR="000046E8" w:rsidRDefault="000046E8" w:rsidP="00106D1F">
      <w:pPr>
        <w:spacing w:line="240" w:lineRule="auto"/>
        <w:rPr>
          <w:rFonts w:ascii="Arial" w:hAnsi="Arial" w:cs="Arial"/>
          <w:sz w:val="24"/>
          <w:szCs w:val="24"/>
        </w:rPr>
      </w:pPr>
    </w:p>
    <w:p w14:paraId="568D7720" w14:textId="77777777" w:rsidR="00734AD7" w:rsidRDefault="00734AD7" w:rsidP="00106D1F">
      <w:pPr>
        <w:spacing w:line="240" w:lineRule="auto"/>
        <w:rPr>
          <w:rFonts w:ascii="Arial" w:hAnsi="Arial" w:cs="Arial"/>
          <w:sz w:val="24"/>
          <w:szCs w:val="24"/>
        </w:rPr>
      </w:pPr>
    </w:p>
    <w:p w14:paraId="40DE6547" w14:textId="77777777" w:rsidR="00734AD7" w:rsidRDefault="00734AD7" w:rsidP="00106D1F">
      <w:pPr>
        <w:spacing w:line="240" w:lineRule="auto"/>
        <w:rPr>
          <w:rFonts w:ascii="Arial" w:hAnsi="Arial" w:cs="Arial"/>
          <w:sz w:val="24"/>
          <w:szCs w:val="24"/>
        </w:rPr>
      </w:pPr>
    </w:p>
    <w:p w14:paraId="69C00AA4" w14:textId="77777777" w:rsidR="00734AD7" w:rsidRDefault="00734AD7" w:rsidP="00106D1F">
      <w:pPr>
        <w:spacing w:line="240" w:lineRule="auto"/>
        <w:rPr>
          <w:rFonts w:ascii="Arial" w:hAnsi="Arial" w:cs="Arial"/>
          <w:sz w:val="24"/>
          <w:szCs w:val="24"/>
        </w:rPr>
      </w:pPr>
    </w:p>
    <w:p w14:paraId="4F741AD9" w14:textId="77777777" w:rsidR="00734AD7" w:rsidRDefault="00734AD7" w:rsidP="00106D1F">
      <w:pPr>
        <w:spacing w:line="240" w:lineRule="auto"/>
        <w:rPr>
          <w:rFonts w:ascii="Arial" w:hAnsi="Arial" w:cs="Arial"/>
          <w:sz w:val="24"/>
          <w:szCs w:val="24"/>
        </w:rPr>
      </w:pPr>
    </w:p>
    <w:p w14:paraId="353DF02D" w14:textId="77777777" w:rsidR="00734AD7" w:rsidRDefault="00734AD7" w:rsidP="00106D1F">
      <w:pPr>
        <w:spacing w:line="240" w:lineRule="auto"/>
        <w:rPr>
          <w:rFonts w:ascii="Arial" w:hAnsi="Arial" w:cs="Arial"/>
          <w:sz w:val="24"/>
          <w:szCs w:val="24"/>
        </w:rPr>
      </w:pPr>
    </w:p>
    <w:p w14:paraId="0A6500CE" w14:textId="11D81B09" w:rsidR="006F6099" w:rsidRDefault="006F6099">
      <w:pPr>
        <w:rPr>
          <w:rFonts w:ascii="Arial" w:hAnsi="Arial" w:cs="Arial"/>
          <w:sz w:val="24"/>
          <w:szCs w:val="24"/>
        </w:rPr>
      </w:pPr>
      <w:r>
        <w:rPr>
          <w:rFonts w:ascii="Arial" w:hAnsi="Arial" w:cs="Arial"/>
          <w:sz w:val="24"/>
          <w:szCs w:val="24"/>
        </w:rPr>
        <w:br w:type="page"/>
      </w:r>
    </w:p>
    <w:p w14:paraId="102B08FC" w14:textId="3FCF2FAE" w:rsidR="00F048F8" w:rsidRPr="00501A3C" w:rsidRDefault="00523401" w:rsidP="003C7545">
      <w:pPr>
        <w:rPr>
          <w:rFonts w:ascii="Arial" w:hAnsi="Arial" w:cs="Arial"/>
          <w:sz w:val="24"/>
          <w:szCs w:val="24"/>
        </w:rPr>
      </w:pPr>
      <w:r w:rsidRPr="00501A3C">
        <w:rPr>
          <w:rFonts w:ascii="Arial" w:hAnsi="Arial" w:cs="Arial"/>
          <w:sz w:val="24"/>
          <w:szCs w:val="24"/>
        </w:rPr>
        <w:lastRenderedPageBreak/>
        <w:t>A</w:t>
      </w:r>
      <w:r w:rsidR="00F048F8" w:rsidRPr="00501A3C">
        <w:rPr>
          <w:rFonts w:ascii="Arial" w:hAnsi="Arial" w:cs="Arial"/>
          <w:sz w:val="24"/>
          <w:szCs w:val="24"/>
        </w:rPr>
        <w:t>ppearances</w:t>
      </w:r>
    </w:p>
    <w:p w14:paraId="5E045FEC" w14:textId="77777777" w:rsidR="00523401" w:rsidRPr="00501A3C" w:rsidRDefault="00523401" w:rsidP="003C7545">
      <w:pPr>
        <w:rPr>
          <w:rFonts w:ascii="Arial" w:hAnsi="Arial" w:cs="Arial"/>
          <w:sz w:val="24"/>
          <w:szCs w:val="24"/>
        </w:rPr>
      </w:pPr>
    </w:p>
    <w:p w14:paraId="68E0B94C" w14:textId="5A98708E" w:rsidR="00523401" w:rsidRPr="00501A3C" w:rsidRDefault="00523401" w:rsidP="003C7545">
      <w:pPr>
        <w:rPr>
          <w:rFonts w:ascii="Arial" w:hAnsi="Arial" w:cs="Arial"/>
          <w:sz w:val="24"/>
          <w:szCs w:val="24"/>
        </w:rPr>
      </w:pPr>
      <w:r w:rsidRPr="00501A3C">
        <w:rPr>
          <w:rFonts w:ascii="Arial" w:hAnsi="Arial" w:cs="Arial"/>
          <w:sz w:val="24"/>
          <w:szCs w:val="24"/>
        </w:rPr>
        <w:t xml:space="preserve">For the </w:t>
      </w:r>
      <w:r w:rsidR="00F048F8" w:rsidRPr="00501A3C">
        <w:rPr>
          <w:rFonts w:ascii="Arial" w:hAnsi="Arial" w:cs="Arial"/>
          <w:sz w:val="24"/>
          <w:szCs w:val="24"/>
        </w:rPr>
        <w:t>a</w:t>
      </w:r>
      <w:r w:rsidRPr="00501A3C">
        <w:rPr>
          <w:rFonts w:ascii="Arial" w:hAnsi="Arial" w:cs="Arial"/>
          <w:sz w:val="24"/>
          <w:szCs w:val="24"/>
        </w:rPr>
        <w:t>pp</w:t>
      </w:r>
      <w:r w:rsidR="001D47C4">
        <w:rPr>
          <w:rFonts w:ascii="Arial" w:hAnsi="Arial" w:cs="Arial"/>
          <w:sz w:val="24"/>
          <w:szCs w:val="24"/>
        </w:rPr>
        <w:t>licant</w:t>
      </w:r>
      <w:r w:rsidRPr="00501A3C">
        <w:rPr>
          <w:rFonts w:ascii="Arial" w:hAnsi="Arial" w:cs="Arial"/>
          <w:sz w:val="24"/>
          <w:szCs w:val="24"/>
        </w:rPr>
        <w:t xml:space="preserve">: </w:t>
      </w:r>
      <w:r w:rsidRPr="00501A3C">
        <w:rPr>
          <w:rFonts w:ascii="Arial" w:hAnsi="Arial" w:cs="Arial"/>
          <w:sz w:val="24"/>
          <w:szCs w:val="24"/>
        </w:rPr>
        <w:tab/>
      </w:r>
      <w:r w:rsidRPr="00501A3C">
        <w:rPr>
          <w:rFonts w:ascii="Arial" w:hAnsi="Arial" w:cs="Arial"/>
          <w:sz w:val="24"/>
          <w:szCs w:val="24"/>
        </w:rPr>
        <w:tab/>
      </w:r>
      <w:r w:rsidR="004D55C1">
        <w:rPr>
          <w:rFonts w:ascii="Arial" w:hAnsi="Arial" w:cs="Arial"/>
          <w:sz w:val="24"/>
          <w:szCs w:val="24"/>
        </w:rPr>
        <w:t>L</w:t>
      </w:r>
      <w:r w:rsidR="00E53C52">
        <w:rPr>
          <w:rFonts w:ascii="Arial" w:hAnsi="Arial" w:cs="Arial"/>
          <w:sz w:val="24"/>
          <w:szCs w:val="24"/>
        </w:rPr>
        <w:t xml:space="preserve"> </w:t>
      </w:r>
      <w:r w:rsidR="004D55C1">
        <w:rPr>
          <w:rFonts w:ascii="Arial" w:hAnsi="Arial" w:cs="Arial"/>
          <w:sz w:val="24"/>
          <w:szCs w:val="24"/>
        </w:rPr>
        <w:t>N Wessels</w:t>
      </w:r>
    </w:p>
    <w:p w14:paraId="10318D47" w14:textId="0A3E488B" w:rsidR="00412BE4" w:rsidRPr="00501A3C" w:rsidRDefault="00523401" w:rsidP="003C7545">
      <w:pPr>
        <w:rPr>
          <w:rFonts w:ascii="Arial" w:hAnsi="Arial" w:cs="Arial"/>
          <w:sz w:val="24"/>
          <w:szCs w:val="24"/>
        </w:rPr>
      </w:pPr>
      <w:r w:rsidRPr="00501A3C">
        <w:rPr>
          <w:rFonts w:ascii="Arial" w:hAnsi="Arial" w:cs="Arial"/>
          <w:sz w:val="24"/>
          <w:szCs w:val="24"/>
        </w:rPr>
        <w:t>Instructed by:</w:t>
      </w:r>
      <w:r w:rsidR="00301C5F" w:rsidRPr="00501A3C">
        <w:rPr>
          <w:rFonts w:ascii="Arial" w:hAnsi="Arial" w:cs="Arial"/>
          <w:sz w:val="24"/>
          <w:szCs w:val="24"/>
        </w:rPr>
        <w:tab/>
      </w:r>
      <w:r w:rsidR="00301C5F" w:rsidRPr="00501A3C">
        <w:rPr>
          <w:rFonts w:ascii="Arial" w:hAnsi="Arial" w:cs="Arial"/>
          <w:sz w:val="24"/>
          <w:szCs w:val="24"/>
        </w:rPr>
        <w:tab/>
      </w:r>
      <w:r w:rsidR="006B1EF7">
        <w:rPr>
          <w:rFonts w:ascii="Arial" w:hAnsi="Arial" w:cs="Arial"/>
          <w:sz w:val="24"/>
          <w:szCs w:val="24"/>
        </w:rPr>
        <w:t>Sandenb</w:t>
      </w:r>
      <w:r w:rsidR="00AF2302">
        <w:rPr>
          <w:rFonts w:ascii="Arial" w:hAnsi="Arial" w:cs="Arial"/>
          <w:sz w:val="24"/>
          <w:szCs w:val="24"/>
        </w:rPr>
        <w:t>e</w:t>
      </w:r>
      <w:r w:rsidR="006B1EF7">
        <w:rPr>
          <w:rFonts w:ascii="Arial" w:hAnsi="Arial" w:cs="Arial"/>
          <w:sz w:val="24"/>
          <w:szCs w:val="24"/>
        </w:rPr>
        <w:t>rg</w:t>
      </w:r>
      <w:r w:rsidR="004E7768">
        <w:rPr>
          <w:rFonts w:ascii="Arial" w:hAnsi="Arial" w:cs="Arial"/>
          <w:sz w:val="24"/>
          <w:szCs w:val="24"/>
        </w:rPr>
        <w:t>h</w:t>
      </w:r>
      <w:r w:rsidR="006B1EF7">
        <w:rPr>
          <w:rFonts w:ascii="Arial" w:hAnsi="Arial" w:cs="Arial"/>
          <w:sz w:val="24"/>
          <w:szCs w:val="24"/>
        </w:rPr>
        <w:t xml:space="preserve"> Nel Haggard</w:t>
      </w:r>
      <w:r w:rsidR="00412BE4" w:rsidRPr="00501A3C">
        <w:rPr>
          <w:rFonts w:ascii="Arial" w:hAnsi="Arial" w:cs="Arial"/>
          <w:sz w:val="24"/>
          <w:szCs w:val="24"/>
        </w:rPr>
        <w:t xml:space="preserve">, </w:t>
      </w:r>
      <w:r w:rsidR="006B1EF7">
        <w:rPr>
          <w:rFonts w:ascii="Arial" w:hAnsi="Arial" w:cs="Arial"/>
          <w:sz w:val="24"/>
          <w:szCs w:val="24"/>
        </w:rPr>
        <w:t>Bellville</w:t>
      </w:r>
    </w:p>
    <w:p w14:paraId="58058926" w14:textId="0913814B" w:rsidR="00523401" w:rsidRPr="00501A3C" w:rsidRDefault="006B1EF7" w:rsidP="003C7545">
      <w:pPr>
        <w:ind w:left="2160" w:firstLine="720"/>
        <w:rPr>
          <w:rFonts w:ascii="Arial" w:hAnsi="Arial" w:cs="Arial"/>
          <w:sz w:val="24"/>
          <w:szCs w:val="24"/>
        </w:rPr>
      </w:pPr>
      <w:r>
        <w:rPr>
          <w:rFonts w:ascii="Arial" w:hAnsi="Arial" w:cs="Arial"/>
          <w:sz w:val="24"/>
          <w:szCs w:val="24"/>
        </w:rPr>
        <w:t xml:space="preserve">Spangenberg Zietsman Bloem </w:t>
      </w:r>
      <w:r w:rsidR="007D5D3B">
        <w:rPr>
          <w:rFonts w:ascii="Arial" w:hAnsi="Arial" w:cs="Arial"/>
          <w:sz w:val="24"/>
          <w:szCs w:val="24"/>
        </w:rPr>
        <w:t>Inc</w:t>
      </w:r>
      <w:r w:rsidR="00412BE4" w:rsidRPr="00501A3C">
        <w:rPr>
          <w:rFonts w:ascii="Arial" w:hAnsi="Arial" w:cs="Arial"/>
          <w:sz w:val="24"/>
          <w:szCs w:val="24"/>
        </w:rPr>
        <w:t>,</w:t>
      </w:r>
      <w:r w:rsidR="00F048F8" w:rsidRPr="00501A3C">
        <w:rPr>
          <w:rFonts w:ascii="Arial" w:hAnsi="Arial" w:cs="Arial"/>
          <w:sz w:val="24"/>
          <w:szCs w:val="24"/>
        </w:rPr>
        <w:t xml:space="preserve"> Bloemfontein</w:t>
      </w:r>
    </w:p>
    <w:p w14:paraId="676B6506" w14:textId="77777777" w:rsidR="00F048F8" w:rsidRPr="00501A3C" w:rsidRDefault="00F048F8" w:rsidP="003C7545">
      <w:pPr>
        <w:rPr>
          <w:rFonts w:ascii="Arial" w:hAnsi="Arial" w:cs="Arial"/>
          <w:sz w:val="24"/>
          <w:szCs w:val="24"/>
        </w:rPr>
      </w:pPr>
    </w:p>
    <w:p w14:paraId="528C31AF" w14:textId="4C53CA33" w:rsidR="00C975E4" w:rsidRPr="00501A3C" w:rsidRDefault="00523401" w:rsidP="003C7545">
      <w:pPr>
        <w:ind w:left="2880" w:hanging="2880"/>
        <w:rPr>
          <w:rFonts w:ascii="Arial" w:hAnsi="Arial" w:cs="Arial"/>
          <w:sz w:val="24"/>
          <w:szCs w:val="24"/>
        </w:rPr>
      </w:pPr>
      <w:r w:rsidRPr="00501A3C">
        <w:rPr>
          <w:rFonts w:ascii="Arial" w:hAnsi="Arial" w:cs="Arial"/>
          <w:sz w:val="24"/>
          <w:szCs w:val="24"/>
        </w:rPr>
        <w:t xml:space="preserve">For the </w:t>
      </w:r>
      <w:r w:rsidR="00F048F8" w:rsidRPr="00501A3C">
        <w:rPr>
          <w:rFonts w:ascii="Arial" w:hAnsi="Arial" w:cs="Arial"/>
          <w:sz w:val="24"/>
          <w:szCs w:val="24"/>
        </w:rPr>
        <w:t>r</w:t>
      </w:r>
      <w:r w:rsidR="00675598">
        <w:rPr>
          <w:rFonts w:ascii="Arial" w:hAnsi="Arial" w:cs="Arial"/>
          <w:sz w:val="24"/>
          <w:szCs w:val="24"/>
        </w:rPr>
        <w:t>espondent:</w:t>
      </w:r>
      <w:r w:rsidR="004D55C1">
        <w:rPr>
          <w:rFonts w:ascii="Arial" w:hAnsi="Arial" w:cs="Arial"/>
          <w:sz w:val="24"/>
          <w:szCs w:val="24"/>
        </w:rPr>
        <w:tab/>
      </w:r>
      <w:r w:rsidR="006C224C">
        <w:rPr>
          <w:rFonts w:ascii="Arial" w:hAnsi="Arial" w:cs="Arial"/>
          <w:sz w:val="24"/>
          <w:szCs w:val="24"/>
        </w:rPr>
        <w:t>R Moly</w:t>
      </w:r>
      <w:r w:rsidR="008F03EE">
        <w:rPr>
          <w:rFonts w:ascii="Arial" w:hAnsi="Arial" w:cs="Arial"/>
          <w:sz w:val="24"/>
          <w:szCs w:val="24"/>
        </w:rPr>
        <w:t>n</w:t>
      </w:r>
      <w:r w:rsidR="006C224C">
        <w:rPr>
          <w:rFonts w:ascii="Arial" w:hAnsi="Arial" w:cs="Arial"/>
          <w:sz w:val="24"/>
          <w:szCs w:val="24"/>
        </w:rPr>
        <w:t>eux</w:t>
      </w:r>
      <w:r w:rsidR="004D55C1">
        <w:rPr>
          <w:rFonts w:ascii="Arial" w:hAnsi="Arial" w:cs="Arial"/>
          <w:sz w:val="24"/>
          <w:szCs w:val="24"/>
        </w:rPr>
        <w:t xml:space="preserve"> in person, with leave of the high court</w:t>
      </w:r>
    </w:p>
    <w:sectPr w:rsidR="00C975E4" w:rsidRPr="00501A3C" w:rsidSect="00931D32">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F607" w14:textId="77777777" w:rsidR="00956717" w:rsidRDefault="00956717" w:rsidP="007172AE">
      <w:pPr>
        <w:spacing w:line="240" w:lineRule="auto"/>
      </w:pPr>
      <w:r>
        <w:separator/>
      </w:r>
    </w:p>
  </w:endnote>
  <w:endnote w:type="continuationSeparator" w:id="0">
    <w:p w14:paraId="197E9DFF" w14:textId="77777777" w:rsidR="00956717" w:rsidRDefault="00956717" w:rsidP="00717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8B1E" w14:textId="41053343" w:rsidR="00603C51" w:rsidRDefault="00603C51" w:rsidP="006F6099">
    <w:pPr>
      <w:pStyle w:val="Footer"/>
    </w:pPr>
  </w:p>
  <w:p w14:paraId="7DE76B3A" w14:textId="77777777" w:rsidR="005A7DFF" w:rsidRDefault="005A7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07876" w14:textId="77777777" w:rsidR="00956717" w:rsidRDefault="00956717" w:rsidP="007172AE">
      <w:pPr>
        <w:spacing w:line="240" w:lineRule="auto"/>
      </w:pPr>
      <w:r>
        <w:separator/>
      </w:r>
    </w:p>
  </w:footnote>
  <w:footnote w:type="continuationSeparator" w:id="0">
    <w:p w14:paraId="4597C528" w14:textId="77777777" w:rsidR="00956717" w:rsidRDefault="00956717" w:rsidP="007172AE">
      <w:pPr>
        <w:spacing w:line="240" w:lineRule="auto"/>
      </w:pPr>
      <w:r>
        <w:continuationSeparator/>
      </w:r>
    </w:p>
  </w:footnote>
  <w:footnote w:id="1">
    <w:p w14:paraId="75F35308" w14:textId="25B6B2CA" w:rsidR="0084527B" w:rsidRPr="006F6099" w:rsidRDefault="0084527B" w:rsidP="0084527B">
      <w:pPr>
        <w:pStyle w:val="FootnoteText"/>
        <w:rPr>
          <w:rFonts w:ascii="Arial" w:hAnsi="Arial" w:cs="Arial"/>
          <w:lang w:val="en-US"/>
        </w:rPr>
      </w:pPr>
      <w:r w:rsidRPr="00F824A4">
        <w:rPr>
          <w:rStyle w:val="FootnoteReference"/>
          <w:rFonts w:ascii="Arial" w:hAnsi="Arial" w:cs="Arial"/>
        </w:rPr>
        <w:footnoteRef/>
      </w:r>
      <w:r w:rsidRPr="00F824A4">
        <w:rPr>
          <w:rFonts w:ascii="Arial" w:hAnsi="Arial" w:cs="Arial"/>
        </w:rPr>
        <w:t xml:space="preserve"> </w:t>
      </w:r>
      <w:hyperlink r:id="rId1" w:history="1">
        <w:r w:rsidRPr="006F6099">
          <w:rPr>
            <w:rStyle w:val="Hyperlink"/>
            <w:rFonts w:ascii="Arial" w:hAnsi="Arial" w:cs="Arial"/>
            <w:i/>
            <w:iCs/>
            <w:color w:val="auto"/>
            <w:u w:val="none"/>
            <w:shd w:val="clear" w:color="auto" w:fill="FFFFFF"/>
          </w:rPr>
          <w:t>Lutchman N</w:t>
        </w:r>
        <w:r w:rsidR="006F6099" w:rsidRPr="006F6099">
          <w:rPr>
            <w:rStyle w:val="Hyperlink"/>
            <w:rFonts w:ascii="Arial" w:hAnsi="Arial" w:cs="Arial"/>
            <w:i/>
            <w:iCs/>
            <w:color w:val="auto"/>
            <w:u w:val="none"/>
            <w:shd w:val="clear" w:color="auto" w:fill="FFFFFF"/>
          </w:rPr>
          <w:t xml:space="preserve"> </w:t>
        </w:r>
        <w:r w:rsidRPr="006F6099">
          <w:rPr>
            <w:rStyle w:val="Hyperlink"/>
            <w:rFonts w:ascii="Arial" w:hAnsi="Arial" w:cs="Arial"/>
            <w:i/>
            <w:iCs/>
            <w:color w:val="auto"/>
            <w:u w:val="none"/>
            <w:shd w:val="clear" w:color="auto" w:fill="FFFFFF"/>
          </w:rPr>
          <w:t>O and Others v African Global Holdings</w:t>
        </w:r>
        <w:r w:rsidR="005D21CC" w:rsidRPr="006F6099">
          <w:rPr>
            <w:rStyle w:val="Hyperlink"/>
            <w:rFonts w:ascii="Arial" w:hAnsi="Arial" w:cs="Arial"/>
            <w:i/>
            <w:iCs/>
            <w:color w:val="auto"/>
            <w:u w:val="none"/>
            <w:shd w:val="clear" w:color="auto" w:fill="FFFFFF"/>
          </w:rPr>
          <w:t xml:space="preserve"> (Pty) Ltd</w:t>
        </w:r>
        <w:r w:rsidR="006F6099" w:rsidRPr="006F6099">
          <w:rPr>
            <w:rStyle w:val="Hyperlink"/>
            <w:rFonts w:ascii="Arial" w:hAnsi="Arial" w:cs="Arial"/>
            <w:color w:val="auto"/>
            <w:u w:val="none"/>
            <w:shd w:val="clear" w:color="auto" w:fill="FFFFFF"/>
          </w:rPr>
          <w:t xml:space="preserve"> </w:t>
        </w:r>
        <w:r w:rsidRPr="006F6099">
          <w:rPr>
            <w:rStyle w:val="Hyperlink"/>
            <w:rFonts w:ascii="Arial" w:hAnsi="Arial" w:cs="Arial"/>
            <w:color w:val="auto"/>
            <w:u w:val="none"/>
            <w:shd w:val="clear" w:color="auto" w:fill="FFFFFF"/>
          </w:rPr>
          <w:t>[2022] ZASCA 66; [2022] 3 All SA 35 (SCA); 2022 (4) SA 529 (SCA)</w:t>
        </w:r>
      </w:hyperlink>
      <w:r w:rsidRPr="006F6099">
        <w:rPr>
          <w:rStyle w:val="Hyperlink"/>
          <w:rFonts w:ascii="Arial" w:hAnsi="Arial" w:cs="Arial"/>
          <w:color w:val="auto"/>
          <w:u w:val="none"/>
          <w:shd w:val="clear" w:color="auto" w:fill="FFFFFF"/>
        </w:rPr>
        <w:t xml:space="preserve"> para 29</w:t>
      </w:r>
      <w:r w:rsidRPr="006F6099">
        <w:rPr>
          <w:rFonts w:ascii="Arial" w:hAnsi="Arial" w:cs="Arial"/>
        </w:rPr>
        <w:t>.</w:t>
      </w:r>
    </w:p>
  </w:footnote>
  <w:footnote w:id="2">
    <w:p w14:paraId="7D891019" w14:textId="6447DC79" w:rsidR="007F30FE" w:rsidRPr="007F30FE" w:rsidRDefault="007F30FE" w:rsidP="007F30FE">
      <w:pPr>
        <w:pStyle w:val="FootnoteText"/>
        <w:rPr>
          <w:rFonts w:ascii="Arial" w:hAnsi="Arial" w:cs="Arial"/>
          <w:lang w:val="en-US"/>
        </w:rPr>
      </w:pPr>
      <w:r w:rsidRPr="007F30FE">
        <w:rPr>
          <w:rStyle w:val="FootnoteReference"/>
          <w:rFonts w:ascii="Arial" w:hAnsi="Arial" w:cs="Arial"/>
        </w:rPr>
        <w:footnoteRef/>
      </w:r>
      <w:r w:rsidRPr="007F30FE">
        <w:rPr>
          <w:rFonts w:ascii="Arial" w:hAnsi="Arial" w:cs="Arial"/>
        </w:rPr>
        <w:t xml:space="preserve"> </w:t>
      </w:r>
      <w:r w:rsidRPr="007F30FE">
        <w:rPr>
          <w:rFonts w:ascii="Arial" w:hAnsi="Arial" w:cs="Arial"/>
          <w:i/>
          <w:iCs/>
          <w:lang w:val="en-US"/>
        </w:rPr>
        <w:t xml:space="preserve">National Director of Public Prosecutions v Zuma </w:t>
      </w:r>
      <w:r w:rsidR="008D73F5">
        <w:rPr>
          <w:rFonts w:ascii="Arial" w:hAnsi="Arial" w:cs="Arial"/>
          <w:lang w:val="en-US"/>
        </w:rPr>
        <w:t>[</w:t>
      </w:r>
      <w:r w:rsidR="000D4B6C">
        <w:rPr>
          <w:rFonts w:ascii="Arial" w:hAnsi="Arial" w:cs="Arial"/>
          <w:lang w:val="en-US"/>
        </w:rPr>
        <w:t xml:space="preserve">2009] ZASCA 1; [2009] 2 All SA </w:t>
      </w:r>
      <w:r w:rsidR="0023558F">
        <w:rPr>
          <w:rFonts w:ascii="Arial" w:hAnsi="Arial" w:cs="Arial"/>
          <w:lang w:val="en-US"/>
        </w:rPr>
        <w:t xml:space="preserve">243 (SCA); </w:t>
      </w:r>
      <w:r w:rsidRPr="007F30FE">
        <w:rPr>
          <w:rFonts w:ascii="Arial" w:hAnsi="Arial" w:cs="Arial"/>
          <w:lang w:val="en-US"/>
        </w:rPr>
        <w:t>2009 (2) SA 277 (SCA</w:t>
      </w:r>
      <w:r w:rsidR="00B908E4">
        <w:rPr>
          <w:rFonts w:ascii="Arial" w:hAnsi="Arial" w:cs="Arial"/>
          <w:lang w:val="en-US"/>
        </w:rPr>
        <w:t>)</w:t>
      </w:r>
      <w:r w:rsidRPr="007F30FE">
        <w:rPr>
          <w:rFonts w:ascii="Arial" w:hAnsi="Arial" w:cs="Arial"/>
          <w:lang w:val="en-US"/>
        </w:rPr>
        <w:t xml:space="preserve"> </w:t>
      </w:r>
      <w:r w:rsidR="00B908E4">
        <w:rPr>
          <w:rFonts w:ascii="Arial" w:hAnsi="Arial" w:cs="Arial"/>
          <w:lang w:val="en-US"/>
        </w:rPr>
        <w:t>para 26</w:t>
      </w:r>
      <w:r w:rsidRPr="007F30FE">
        <w:rPr>
          <w:rFonts w:ascii="Arial" w:hAnsi="Arial" w:cs="Arial"/>
          <w:lang w:val="en-US"/>
        </w:rPr>
        <w:t>.</w:t>
      </w:r>
    </w:p>
  </w:footnote>
  <w:footnote w:id="3">
    <w:p w14:paraId="7812E058" w14:textId="33E1FF2D" w:rsidR="00E30FAE" w:rsidRPr="00E53C52" w:rsidRDefault="00E30FAE" w:rsidP="00E30FAE">
      <w:pPr>
        <w:pStyle w:val="FootnoteText"/>
        <w:rPr>
          <w:rFonts w:ascii="Arial" w:hAnsi="Arial" w:cs="Arial"/>
        </w:rPr>
      </w:pPr>
      <w:r w:rsidRPr="00C56AFA">
        <w:rPr>
          <w:rStyle w:val="FootnoteReference"/>
          <w:rFonts w:ascii="Arial" w:hAnsi="Arial" w:cs="Arial"/>
        </w:rPr>
        <w:footnoteRef/>
      </w:r>
      <w:r w:rsidRPr="00C56AFA">
        <w:rPr>
          <w:rFonts w:ascii="Arial" w:hAnsi="Arial" w:cs="Arial"/>
        </w:rPr>
        <w:t xml:space="preserve"> </w:t>
      </w:r>
      <w:r w:rsidRPr="00C56AFA">
        <w:rPr>
          <w:rFonts w:ascii="Arial" w:hAnsi="Arial" w:cs="Arial"/>
          <w:i/>
          <w:iCs/>
        </w:rPr>
        <w:t>Media 24 Books (Pty) Ltd v Oxford University Press Southern Africa (Pty) Ltd</w:t>
      </w:r>
      <w:r w:rsidRPr="00C56AFA">
        <w:rPr>
          <w:rFonts w:ascii="Arial" w:hAnsi="Arial" w:cs="Arial"/>
        </w:rPr>
        <w:t xml:space="preserve"> </w:t>
      </w:r>
      <w:r w:rsidR="00DA2E16">
        <w:rPr>
          <w:rFonts w:ascii="Arial" w:hAnsi="Arial" w:cs="Arial"/>
        </w:rPr>
        <w:t>[2016] ZASCA 11</w:t>
      </w:r>
      <w:r w:rsidR="001714EA">
        <w:rPr>
          <w:rFonts w:ascii="Arial" w:hAnsi="Arial" w:cs="Arial"/>
        </w:rPr>
        <w:t>9; [2016] 4 All SA 311 (SCA)</w:t>
      </w:r>
      <w:r w:rsidR="00660449">
        <w:rPr>
          <w:rFonts w:ascii="Arial" w:hAnsi="Arial" w:cs="Arial"/>
        </w:rPr>
        <w:t xml:space="preserve">; </w:t>
      </w:r>
      <w:r w:rsidRPr="00C56AFA">
        <w:rPr>
          <w:rFonts w:ascii="Arial" w:hAnsi="Arial" w:cs="Arial"/>
        </w:rPr>
        <w:t xml:space="preserve">2017 (2) SA 1 (SCA) </w:t>
      </w:r>
      <w:r w:rsidR="00660449">
        <w:rPr>
          <w:rFonts w:ascii="Arial" w:hAnsi="Arial" w:cs="Arial"/>
        </w:rPr>
        <w:t>para</w:t>
      </w:r>
      <w:r w:rsidR="009B7C7F">
        <w:rPr>
          <w:rFonts w:ascii="Arial" w:hAnsi="Arial" w:cs="Arial"/>
        </w:rPr>
        <w:t xml:space="preserve"> 36</w:t>
      </w:r>
      <w:r w:rsidRPr="00C56AFA">
        <w:rPr>
          <w:rFonts w:ascii="Arial" w:hAnsi="Arial" w:cs="Arial"/>
        </w:rPr>
        <w:t>.</w:t>
      </w:r>
    </w:p>
  </w:footnote>
  <w:footnote w:id="4">
    <w:p w14:paraId="07029547" w14:textId="00072670" w:rsidR="00774801" w:rsidRPr="00E53C52" w:rsidRDefault="00774801" w:rsidP="00774801">
      <w:pPr>
        <w:pStyle w:val="FootnoteText"/>
        <w:rPr>
          <w:rFonts w:ascii="Arial" w:hAnsi="Arial" w:cs="Arial"/>
        </w:rPr>
      </w:pPr>
      <w:r w:rsidRPr="00564B38">
        <w:rPr>
          <w:rStyle w:val="FootnoteReference"/>
          <w:rFonts w:ascii="Arial" w:hAnsi="Arial" w:cs="Arial"/>
        </w:rPr>
        <w:footnoteRef/>
      </w:r>
      <w:r w:rsidR="0051441C">
        <w:rPr>
          <w:rFonts w:ascii="Arial" w:hAnsi="Arial" w:cs="Arial"/>
        </w:rPr>
        <w:t xml:space="preserve"> </w:t>
      </w:r>
      <w:r w:rsidR="0051441C">
        <w:rPr>
          <w:rFonts w:ascii="Arial" w:hAnsi="Arial" w:cs="Arial"/>
          <w:i/>
          <w:iCs/>
        </w:rPr>
        <w:t xml:space="preserve">Mathewson and Another </w:t>
      </w:r>
      <w:r w:rsidR="008B6219">
        <w:rPr>
          <w:rFonts w:ascii="Arial" w:hAnsi="Arial" w:cs="Arial"/>
          <w:i/>
          <w:iCs/>
        </w:rPr>
        <w:t xml:space="preserve">v Van Niekerk and Others </w:t>
      </w:r>
      <w:r w:rsidR="008B6219">
        <w:rPr>
          <w:rFonts w:ascii="Arial" w:hAnsi="Arial" w:cs="Arial"/>
        </w:rPr>
        <w:t xml:space="preserve">[2012] </w:t>
      </w:r>
      <w:r w:rsidR="004E198B">
        <w:rPr>
          <w:rFonts w:ascii="Arial" w:hAnsi="Arial" w:cs="Arial"/>
        </w:rPr>
        <w:t>ZASCA 12 para 7</w:t>
      </w:r>
      <w:r w:rsidRPr="00564B38">
        <w:rPr>
          <w:rFonts w:ascii="Arial" w:hAnsi="Arial" w:cs="Arial"/>
        </w:rPr>
        <w:t>.</w:t>
      </w:r>
    </w:p>
  </w:footnote>
  <w:footnote w:id="5">
    <w:p w14:paraId="18E831B6" w14:textId="6B9FAB15" w:rsidR="008C30DA" w:rsidRDefault="008C30DA" w:rsidP="00822323">
      <w:pPr>
        <w:pStyle w:val="FootnoteText"/>
        <w:rPr>
          <w:rFonts w:ascii="Arial" w:hAnsi="Arial" w:cs="Arial"/>
        </w:rPr>
      </w:pPr>
      <w:r w:rsidRPr="00822323">
        <w:rPr>
          <w:rStyle w:val="FootnoteReference"/>
          <w:rFonts w:ascii="Arial" w:hAnsi="Arial" w:cs="Arial"/>
        </w:rPr>
        <w:footnoteRef/>
      </w:r>
      <w:r w:rsidRPr="00822323">
        <w:rPr>
          <w:rFonts w:ascii="Arial" w:hAnsi="Arial" w:cs="Arial"/>
        </w:rPr>
        <w:t xml:space="preserve"> </w:t>
      </w:r>
      <w:r w:rsidR="004A568C">
        <w:rPr>
          <w:rFonts w:ascii="Arial" w:hAnsi="Arial" w:cs="Arial"/>
        </w:rPr>
        <w:t xml:space="preserve">The </w:t>
      </w:r>
      <w:r w:rsidR="004A568C" w:rsidRPr="00822323">
        <w:rPr>
          <w:rFonts w:ascii="Arial" w:hAnsi="Arial" w:cs="Arial"/>
        </w:rPr>
        <w:t xml:space="preserve">well-known dictum </w:t>
      </w:r>
      <w:r w:rsidR="004A568C">
        <w:rPr>
          <w:rFonts w:ascii="Arial" w:hAnsi="Arial" w:cs="Arial"/>
        </w:rPr>
        <w:t xml:space="preserve">of </w:t>
      </w:r>
      <w:r w:rsidRPr="00822323">
        <w:rPr>
          <w:rFonts w:ascii="Arial" w:hAnsi="Arial" w:cs="Arial"/>
        </w:rPr>
        <w:t xml:space="preserve">Megarry J in </w:t>
      </w:r>
      <w:r w:rsidRPr="00822323">
        <w:rPr>
          <w:rFonts w:ascii="Arial" w:hAnsi="Arial" w:cs="Arial"/>
          <w:i/>
          <w:iCs/>
        </w:rPr>
        <w:t>John v Rees and Others; Martin and Another v Davis and Others; Rees and Another v John</w:t>
      </w:r>
      <w:r w:rsidRPr="00822323">
        <w:rPr>
          <w:rFonts w:ascii="Arial" w:hAnsi="Arial" w:cs="Arial"/>
        </w:rPr>
        <w:t xml:space="preserve"> [1970] 1 Ch 345</w:t>
      </w:r>
      <w:r w:rsidR="00991459">
        <w:rPr>
          <w:rFonts w:ascii="Arial" w:hAnsi="Arial" w:cs="Arial"/>
        </w:rPr>
        <w:t xml:space="preserve">; </w:t>
      </w:r>
      <w:r w:rsidRPr="00822323">
        <w:rPr>
          <w:rFonts w:ascii="Arial" w:hAnsi="Arial" w:cs="Arial"/>
        </w:rPr>
        <w:t>[1969] 2 All ER 274</w:t>
      </w:r>
      <w:r w:rsidR="00827E45">
        <w:rPr>
          <w:rFonts w:ascii="Arial" w:hAnsi="Arial" w:cs="Arial"/>
        </w:rPr>
        <w:t>.</w:t>
      </w:r>
    </w:p>
    <w:p w14:paraId="48AFD5BB" w14:textId="77777777" w:rsidR="00827E45" w:rsidRPr="00822323" w:rsidRDefault="00827E45" w:rsidP="00822323">
      <w:pPr>
        <w:pStyle w:val="FootnoteText"/>
        <w:rPr>
          <w:rFonts w:ascii="Arial" w:hAnsi="Arial" w:cs="Arial"/>
        </w:rPr>
      </w:pPr>
    </w:p>
  </w:footnote>
  <w:footnote w:id="6">
    <w:p w14:paraId="1A24AE77" w14:textId="6DBDC737" w:rsidR="00A8214F" w:rsidRPr="006F6099" w:rsidRDefault="00A8214F" w:rsidP="00A8214F">
      <w:pPr>
        <w:pStyle w:val="FootnoteText"/>
        <w:rPr>
          <w:rFonts w:ascii="Arial" w:hAnsi="Arial" w:cs="Arial"/>
        </w:rPr>
      </w:pPr>
      <w:r>
        <w:rPr>
          <w:rStyle w:val="FootnoteReference"/>
        </w:rPr>
        <w:footnoteRef/>
      </w:r>
      <w:r>
        <w:t xml:space="preserve"> </w:t>
      </w:r>
      <w:r>
        <w:rPr>
          <w:rFonts w:ascii="Arial" w:hAnsi="Arial" w:cs="Arial"/>
          <w:i/>
        </w:rPr>
        <w:t>Spiller and Others v Lawrence</w:t>
      </w:r>
      <w:r>
        <w:rPr>
          <w:rFonts w:ascii="Arial" w:hAnsi="Arial" w:cs="Arial"/>
        </w:rPr>
        <w:t xml:space="preserve"> [1976] 1 All SA 553 (N); 1976 (1) SA 307 (N)</w:t>
      </w:r>
      <w:r w:rsidR="00DC0DE9">
        <w:rPr>
          <w:rFonts w:ascii="Arial" w:hAnsi="Arial" w:cs="Arial"/>
        </w:rPr>
        <w:t xml:space="preserve"> at 310</w:t>
      </w:r>
      <w:r w:rsidR="00DE586B">
        <w:rPr>
          <w:rFonts w:ascii="Arial" w:hAnsi="Arial" w:cs="Arial"/>
        </w:rPr>
        <w:t>E</w:t>
      </w:r>
      <w:r w:rsidR="00DC0DE9">
        <w:rPr>
          <w:rFonts w:ascii="Arial" w:hAnsi="Arial" w:cs="Arial"/>
        </w:rPr>
        <w:t>-F</w:t>
      </w:r>
      <w:r>
        <w:rPr>
          <w:rFonts w:ascii="Arial" w:hAnsi="Arial" w:cs="Arial"/>
        </w:rPr>
        <w:t>.</w:t>
      </w:r>
    </w:p>
  </w:footnote>
  <w:footnote w:id="7">
    <w:p w14:paraId="13AE7A36" w14:textId="24907C39" w:rsidR="00A8214F" w:rsidRPr="006F6099" w:rsidRDefault="00A8214F">
      <w:pPr>
        <w:pStyle w:val="FootnoteText"/>
        <w:rPr>
          <w:rFonts w:ascii="Arial" w:hAnsi="Arial" w:cs="Arial"/>
        </w:rPr>
      </w:pPr>
      <w:r w:rsidRPr="00A8214F">
        <w:rPr>
          <w:rStyle w:val="FootnoteReference"/>
          <w:rFonts w:ascii="Arial" w:hAnsi="Arial" w:cs="Arial"/>
        </w:rPr>
        <w:footnoteRef/>
      </w:r>
      <w:r w:rsidRPr="00A8214F">
        <w:rPr>
          <w:rFonts w:ascii="Arial" w:hAnsi="Arial" w:cs="Arial"/>
        </w:rPr>
        <w:t xml:space="preserve"> </w:t>
      </w:r>
      <w:r w:rsidRPr="00A8214F">
        <w:rPr>
          <w:rFonts w:ascii="Arial" w:hAnsi="Arial" w:cs="Arial"/>
          <w:i/>
        </w:rPr>
        <w:t>Soil Fumigation Services Lowveld CC v Chemfit Technical Products (Pty)</w:t>
      </w:r>
      <w:r w:rsidRPr="00A8214F">
        <w:rPr>
          <w:rFonts w:ascii="Arial" w:hAnsi="Arial" w:cs="Arial"/>
        </w:rPr>
        <w:t xml:space="preserve"> </w:t>
      </w:r>
      <w:r w:rsidRPr="00A8214F">
        <w:rPr>
          <w:rFonts w:ascii="Arial" w:hAnsi="Arial" w:cs="Arial"/>
          <w:i/>
        </w:rPr>
        <w:t xml:space="preserve">Ltd </w:t>
      </w:r>
      <w:r w:rsidRPr="00A8214F">
        <w:rPr>
          <w:rFonts w:ascii="Arial" w:hAnsi="Arial" w:cs="Arial"/>
        </w:rPr>
        <w:t>[2004] 2 All SA 366 (SCA); 2004 (6) SA 29 (SCA) para 21.</w:t>
      </w:r>
    </w:p>
  </w:footnote>
  <w:footnote w:id="8">
    <w:p w14:paraId="61C5B5D0" w14:textId="0964189F" w:rsidR="007E5E93" w:rsidRPr="006F6099" w:rsidRDefault="0009799A">
      <w:pPr>
        <w:pStyle w:val="FootnoteText"/>
        <w:rPr>
          <w:rFonts w:ascii="Arial" w:hAnsi="Arial" w:cs="Arial"/>
          <w:i/>
          <w:iCs/>
          <w:lang w:val="en-US"/>
        </w:rPr>
      </w:pPr>
      <w:r w:rsidRPr="00DD48BC">
        <w:rPr>
          <w:rStyle w:val="FootnoteReference"/>
          <w:rFonts w:ascii="Arial" w:hAnsi="Arial" w:cs="Arial"/>
        </w:rPr>
        <w:footnoteRef/>
      </w:r>
      <w:r w:rsidRPr="00DD48BC">
        <w:rPr>
          <w:rFonts w:ascii="Arial" w:hAnsi="Arial" w:cs="Arial"/>
        </w:rPr>
        <w:t xml:space="preserve"> </w:t>
      </w:r>
      <w:r w:rsidRPr="00DD48BC">
        <w:rPr>
          <w:rFonts w:ascii="Arial" w:hAnsi="Arial" w:cs="Arial"/>
          <w:i/>
          <w:iCs/>
          <w:lang w:val="en-US"/>
        </w:rPr>
        <w:t>Joh</w:t>
      </w:r>
      <w:r w:rsidR="00DD48BC" w:rsidRPr="00DD48BC">
        <w:rPr>
          <w:rFonts w:ascii="Arial" w:hAnsi="Arial" w:cs="Arial"/>
          <w:i/>
          <w:iCs/>
          <w:lang w:val="en-US"/>
        </w:rPr>
        <w:t>nst</w:t>
      </w:r>
      <w:r w:rsidRPr="00DD48BC">
        <w:rPr>
          <w:rFonts w:ascii="Arial" w:hAnsi="Arial" w:cs="Arial"/>
          <w:i/>
          <w:iCs/>
          <w:lang w:val="en-US"/>
        </w:rPr>
        <w:t>on</w:t>
      </w:r>
      <w:r w:rsidR="00DD48BC" w:rsidRPr="00DD48BC">
        <w:rPr>
          <w:rFonts w:ascii="Arial" w:hAnsi="Arial" w:cs="Arial"/>
          <w:i/>
          <w:iCs/>
          <w:lang w:val="en-US"/>
        </w:rPr>
        <w:t xml:space="preserve"> v Leal </w:t>
      </w:r>
      <w:r w:rsidR="00DD48BC" w:rsidRPr="00DD48BC">
        <w:rPr>
          <w:rFonts w:ascii="Arial" w:hAnsi="Arial" w:cs="Arial"/>
          <w:lang w:val="en-US"/>
        </w:rPr>
        <w:t>1980 (3) SA 927 (A) (</w:t>
      </w:r>
      <w:r w:rsidR="00DD48BC" w:rsidRPr="00DD48BC">
        <w:rPr>
          <w:rFonts w:ascii="Arial" w:hAnsi="Arial" w:cs="Arial"/>
          <w:i/>
          <w:iCs/>
          <w:lang w:val="en-US"/>
        </w:rPr>
        <w:t>Johnston</w:t>
      </w:r>
      <w:r w:rsidR="00DD48BC" w:rsidRPr="00DD48BC">
        <w:rPr>
          <w:rFonts w:ascii="Arial" w:hAnsi="Arial" w:cs="Arial"/>
          <w:lang w:val="en-US"/>
        </w:rPr>
        <w:t xml:space="preserve">) at 939A. </w:t>
      </w:r>
      <w:r w:rsidR="001C1D57">
        <w:rPr>
          <w:rFonts w:ascii="Arial" w:hAnsi="Arial" w:cs="Arial"/>
          <w:lang w:val="en-US"/>
        </w:rPr>
        <w:t>This Court in</w:t>
      </w:r>
      <w:r w:rsidR="000B6B3D">
        <w:rPr>
          <w:rFonts w:ascii="Arial" w:hAnsi="Arial" w:cs="Arial"/>
          <w:lang w:val="en-US"/>
        </w:rPr>
        <w:t xml:space="preserve"> </w:t>
      </w:r>
      <w:r w:rsidR="000B6B3D" w:rsidRPr="00DD48BC">
        <w:rPr>
          <w:rFonts w:ascii="Arial" w:hAnsi="Arial" w:cs="Arial"/>
          <w:i/>
          <w:iCs/>
          <w:lang w:val="en-US"/>
        </w:rPr>
        <w:t xml:space="preserve">Rockbreakers and Parts </w:t>
      </w:r>
      <w:r w:rsidR="006F6099">
        <w:rPr>
          <w:rFonts w:ascii="Arial" w:hAnsi="Arial" w:cs="Arial"/>
          <w:i/>
          <w:iCs/>
          <w:lang w:val="en-US"/>
        </w:rPr>
        <w:t xml:space="preserve">(Pty) Ltd </w:t>
      </w:r>
      <w:r w:rsidR="000B6B3D" w:rsidRPr="00DD48BC">
        <w:rPr>
          <w:rFonts w:ascii="Arial" w:hAnsi="Arial" w:cs="Arial"/>
          <w:i/>
          <w:iCs/>
          <w:lang w:val="en-US"/>
        </w:rPr>
        <w:t xml:space="preserve">v Rolag Property Trading </w:t>
      </w:r>
      <w:r w:rsidR="006F6099">
        <w:rPr>
          <w:rFonts w:ascii="Arial" w:hAnsi="Arial" w:cs="Arial"/>
          <w:i/>
          <w:iCs/>
          <w:lang w:val="en-US"/>
        </w:rPr>
        <w:t xml:space="preserve">(Pty) Ltd </w:t>
      </w:r>
      <w:r w:rsidR="000B6B3D">
        <w:rPr>
          <w:rFonts w:ascii="Arial" w:hAnsi="Arial" w:cs="Arial"/>
          <w:lang w:val="en-US"/>
        </w:rPr>
        <w:t>[2009] ZASCA</w:t>
      </w:r>
      <w:r w:rsidR="00C86CF8">
        <w:rPr>
          <w:rFonts w:ascii="Arial" w:hAnsi="Arial" w:cs="Arial"/>
          <w:lang w:val="en-US"/>
        </w:rPr>
        <w:t xml:space="preserve"> 102; </w:t>
      </w:r>
      <w:r w:rsidR="000B6B3D" w:rsidRPr="00DD48BC">
        <w:rPr>
          <w:rFonts w:ascii="Arial" w:hAnsi="Arial" w:cs="Arial"/>
          <w:lang w:val="en-US"/>
        </w:rPr>
        <w:t>2010 (2) SA 400 (SCA)</w:t>
      </w:r>
      <w:r w:rsidR="00C86CF8">
        <w:rPr>
          <w:rFonts w:ascii="Arial" w:hAnsi="Arial" w:cs="Arial"/>
          <w:lang w:val="en-US"/>
        </w:rPr>
        <w:t xml:space="preserve">; [2010] 1 All SA </w:t>
      </w:r>
      <w:r w:rsidR="000A33AD">
        <w:rPr>
          <w:rFonts w:ascii="Arial" w:hAnsi="Arial" w:cs="Arial"/>
          <w:lang w:val="en-US"/>
        </w:rPr>
        <w:t>291 (SCA)</w:t>
      </w:r>
      <w:r w:rsidR="000B6B3D" w:rsidRPr="00DD48BC">
        <w:rPr>
          <w:rFonts w:ascii="Arial" w:hAnsi="Arial" w:cs="Arial"/>
          <w:lang w:val="en-US"/>
        </w:rPr>
        <w:t xml:space="preserve"> (</w:t>
      </w:r>
      <w:r w:rsidR="000B6B3D" w:rsidRPr="00DD48BC">
        <w:rPr>
          <w:rFonts w:ascii="Arial" w:hAnsi="Arial" w:cs="Arial"/>
          <w:i/>
          <w:iCs/>
          <w:lang w:val="en-US"/>
        </w:rPr>
        <w:t>Rockbreakers)</w:t>
      </w:r>
      <w:r w:rsidR="000A33AD">
        <w:rPr>
          <w:rFonts w:ascii="Arial" w:hAnsi="Arial" w:cs="Arial"/>
          <w:lang w:val="en-US"/>
        </w:rPr>
        <w:t xml:space="preserve"> para </w:t>
      </w:r>
      <w:r w:rsidR="00596104">
        <w:rPr>
          <w:rFonts w:ascii="Arial" w:hAnsi="Arial" w:cs="Arial"/>
          <w:lang w:val="en-US"/>
        </w:rPr>
        <w:t xml:space="preserve">6 held that </w:t>
      </w:r>
      <w:r w:rsidR="00596104" w:rsidRPr="00596104">
        <w:rPr>
          <w:rFonts w:ascii="Arial" w:hAnsi="Arial" w:cs="Arial"/>
          <w:i/>
          <w:iCs/>
          <w:lang w:val="en-US"/>
        </w:rPr>
        <w:t>J</w:t>
      </w:r>
      <w:r w:rsidR="00DD48BC" w:rsidRPr="00596104">
        <w:rPr>
          <w:rFonts w:ascii="Arial" w:hAnsi="Arial" w:cs="Arial"/>
          <w:i/>
          <w:iCs/>
          <w:lang w:val="en-US"/>
        </w:rPr>
        <w:t>ohnston</w:t>
      </w:r>
      <w:r w:rsidR="00DD48BC" w:rsidRPr="00DD48BC">
        <w:rPr>
          <w:rFonts w:ascii="Arial" w:hAnsi="Arial" w:cs="Arial"/>
          <w:i/>
          <w:iCs/>
          <w:lang w:val="en-US"/>
        </w:rPr>
        <w:t xml:space="preserve"> </w:t>
      </w:r>
      <w:r w:rsidR="00DD48BC" w:rsidRPr="00DD48BC">
        <w:rPr>
          <w:rFonts w:ascii="Arial" w:hAnsi="Arial" w:cs="Arial"/>
          <w:lang w:val="en-US"/>
        </w:rPr>
        <w:t>‘summed up the legal effect of the predecessor to s 2(1), which was materially in the same terms’.</w:t>
      </w:r>
      <w:r w:rsidR="00DD48BC" w:rsidRPr="00DD48BC">
        <w:rPr>
          <w:rFonts w:ascii="Arial" w:hAnsi="Arial" w:cs="Arial"/>
          <w:i/>
          <w:iCs/>
          <w:lang w:val="en-US"/>
        </w:rPr>
        <w:t xml:space="preserve"> </w:t>
      </w:r>
    </w:p>
  </w:footnote>
  <w:footnote w:id="9">
    <w:p w14:paraId="7F3788B7" w14:textId="5D076A65" w:rsidR="00E646A6" w:rsidRPr="003C7545" w:rsidRDefault="00E646A6" w:rsidP="00E646A6">
      <w:pPr>
        <w:pStyle w:val="FootnoteText"/>
        <w:rPr>
          <w:rFonts w:ascii="Arial" w:hAnsi="Arial" w:cs="Arial"/>
        </w:rPr>
      </w:pPr>
      <w:r w:rsidRPr="007E5E93">
        <w:rPr>
          <w:rStyle w:val="FootnoteReference"/>
          <w:rFonts w:ascii="Arial" w:hAnsi="Arial" w:cs="Arial"/>
        </w:rPr>
        <w:footnoteRef/>
      </w:r>
      <w:r w:rsidRPr="007E5E93">
        <w:rPr>
          <w:rFonts w:ascii="Arial" w:hAnsi="Arial" w:cs="Arial"/>
        </w:rPr>
        <w:t xml:space="preserve"> </w:t>
      </w:r>
      <w:r>
        <w:rPr>
          <w:rFonts w:ascii="Arial" w:hAnsi="Arial" w:cs="Arial"/>
          <w:i/>
          <w:iCs/>
        </w:rPr>
        <w:t>Johnstone</w:t>
      </w:r>
      <w:r>
        <w:rPr>
          <w:rFonts w:ascii="Arial" w:hAnsi="Arial" w:cs="Arial"/>
        </w:rPr>
        <w:t xml:space="preserve"> </w:t>
      </w:r>
      <w:r w:rsidR="00781650">
        <w:rPr>
          <w:rFonts w:ascii="Arial" w:hAnsi="Arial" w:cs="Arial"/>
        </w:rPr>
        <w:t xml:space="preserve">fn 9 above </w:t>
      </w:r>
      <w:r>
        <w:rPr>
          <w:rFonts w:ascii="Arial" w:hAnsi="Arial" w:cs="Arial"/>
        </w:rPr>
        <w:t>at</w:t>
      </w:r>
      <w:r w:rsidRPr="007E5E93">
        <w:rPr>
          <w:rFonts w:ascii="Arial" w:hAnsi="Arial" w:cs="Arial"/>
        </w:rPr>
        <w:t xml:space="preserve"> 93</w:t>
      </w:r>
      <w:r>
        <w:rPr>
          <w:rFonts w:ascii="Arial" w:hAnsi="Arial" w:cs="Arial"/>
        </w:rPr>
        <w:t>7G-938C</w:t>
      </w:r>
      <w:r w:rsidRPr="007E5E93">
        <w:rPr>
          <w:rFonts w:ascii="Arial" w:hAnsi="Arial" w:cs="Arial"/>
        </w:rPr>
        <w:t>.</w:t>
      </w:r>
    </w:p>
  </w:footnote>
  <w:footnote w:id="10">
    <w:p w14:paraId="61D6A714" w14:textId="60113C50" w:rsidR="006315A0" w:rsidRPr="00A52EDD" w:rsidRDefault="00A52EDD" w:rsidP="00A52EDD">
      <w:pPr>
        <w:pStyle w:val="FootnoteText"/>
        <w:rPr>
          <w:rFonts w:ascii="Arial" w:hAnsi="Arial" w:cs="Arial"/>
          <w:lang w:val="en-US"/>
        </w:rPr>
      </w:pPr>
      <w:r w:rsidRPr="00A52EDD">
        <w:rPr>
          <w:rStyle w:val="FootnoteReference"/>
          <w:rFonts w:ascii="Arial" w:hAnsi="Arial" w:cs="Arial"/>
        </w:rPr>
        <w:footnoteRef/>
      </w:r>
      <w:r w:rsidRPr="00A52EDD">
        <w:rPr>
          <w:rFonts w:ascii="Arial" w:hAnsi="Arial" w:cs="Arial"/>
        </w:rPr>
        <w:t xml:space="preserve"> </w:t>
      </w:r>
      <w:r w:rsidRPr="00611B0B">
        <w:rPr>
          <w:rFonts w:ascii="Arial" w:hAnsi="Arial" w:cs="Arial"/>
          <w:i/>
          <w:iCs/>
          <w:lang w:val="en-US"/>
        </w:rPr>
        <w:t>Rockbreakers</w:t>
      </w:r>
      <w:r w:rsidRPr="00611B0B">
        <w:rPr>
          <w:rFonts w:ascii="Arial" w:hAnsi="Arial" w:cs="Arial"/>
          <w:lang w:val="en-US"/>
        </w:rPr>
        <w:t xml:space="preserve"> </w:t>
      </w:r>
      <w:r w:rsidR="00CE2DD0" w:rsidRPr="00611B0B">
        <w:rPr>
          <w:rFonts w:ascii="Arial" w:hAnsi="Arial" w:cs="Arial"/>
          <w:lang w:val="en-US"/>
        </w:rPr>
        <w:t>fn</w:t>
      </w:r>
      <w:r w:rsidR="00CE2DD0">
        <w:rPr>
          <w:rFonts w:ascii="Arial" w:hAnsi="Arial" w:cs="Arial"/>
          <w:lang w:val="en-US"/>
        </w:rPr>
        <w:t xml:space="preserve"> 9 above </w:t>
      </w:r>
      <w:r w:rsidRPr="00A52EDD">
        <w:rPr>
          <w:rFonts w:ascii="Arial" w:hAnsi="Arial" w:cs="Arial"/>
          <w:lang w:val="en-US"/>
        </w:rPr>
        <w:t>para 8.</w:t>
      </w:r>
    </w:p>
  </w:footnote>
  <w:footnote w:id="11">
    <w:p w14:paraId="3A5C2C12" w14:textId="1043BDE1" w:rsidR="004A041A" w:rsidRPr="006F6099" w:rsidRDefault="00C12741">
      <w:pPr>
        <w:pStyle w:val="FootnoteText"/>
        <w:rPr>
          <w:rFonts w:ascii="Arial" w:hAnsi="Arial" w:cs="Arial"/>
          <w:lang w:val="en-US"/>
        </w:rPr>
      </w:pPr>
      <w:r w:rsidRPr="00C12741">
        <w:rPr>
          <w:rStyle w:val="FootnoteReference"/>
          <w:rFonts w:ascii="Arial" w:hAnsi="Arial" w:cs="Arial"/>
        </w:rPr>
        <w:footnoteRef/>
      </w:r>
      <w:r w:rsidRPr="00C12741">
        <w:rPr>
          <w:rFonts w:ascii="Arial" w:hAnsi="Arial" w:cs="Arial"/>
        </w:rPr>
        <w:t xml:space="preserve"> </w:t>
      </w:r>
      <w:r w:rsidR="00FB6B71">
        <w:rPr>
          <w:rFonts w:ascii="Arial" w:hAnsi="Arial" w:cs="Arial"/>
          <w:lang w:val="en-US"/>
        </w:rPr>
        <w:t>Ibid</w:t>
      </w:r>
      <w:r w:rsidRPr="00C12741">
        <w:rPr>
          <w:rFonts w:ascii="Arial" w:hAnsi="Arial" w:cs="Arial"/>
          <w:lang w:val="en-US"/>
        </w:rPr>
        <w:t>.</w:t>
      </w:r>
    </w:p>
  </w:footnote>
  <w:footnote w:id="12">
    <w:p w14:paraId="3DF935FD" w14:textId="60F1A20C" w:rsidR="005C371D" w:rsidRPr="00556E0F" w:rsidRDefault="005C371D" w:rsidP="005C371D">
      <w:pPr>
        <w:pStyle w:val="FootnoteText"/>
        <w:rPr>
          <w:rFonts w:ascii="Arial" w:hAnsi="Arial" w:cs="Arial"/>
          <w:lang w:val="en-US"/>
        </w:rPr>
      </w:pPr>
      <w:r w:rsidRPr="00556E0F">
        <w:rPr>
          <w:rStyle w:val="FootnoteReference"/>
          <w:rFonts w:ascii="Arial" w:hAnsi="Arial" w:cs="Arial"/>
        </w:rPr>
        <w:footnoteRef/>
      </w:r>
      <w:r w:rsidRPr="00556E0F">
        <w:rPr>
          <w:rFonts w:ascii="Arial" w:hAnsi="Arial" w:cs="Arial"/>
        </w:rPr>
        <w:t xml:space="preserve"> </w:t>
      </w:r>
      <w:r w:rsidRPr="00556E0F">
        <w:rPr>
          <w:rFonts w:ascii="Arial" w:hAnsi="Arial" w:cs="Arial"/>
          <w:bCs/>
          <w:i/>
          <w:iCs/>
        </w:rPr>
        <w:t>Johnston</w:t>
      </w:r>
      <w:r w:rsidR="00556E0F" w:rsidRPr="00556E0F">
        <w:rPr>
          <w:rFonts w:ascii="Arial" w:hAnsi="Arial" w:cs="Arial"/>
          <w:bCs/>
          <w:i/>
          <w:iCs/>
        </w:rPr>
        <w:t xml:space="preserve"> </w:t>
      </w:r>
      <w:r w:rsidR="009A78AE">
        <w:rPr>
          <w:rFonts w:ascii="Arial" w:hAnsi="Arial" w:cs="Arial"/>
          <w:bCs/>
        </w:rPr>
        <w:t>fn 9 above</w:t>
      </w:r>
      <w:r w:rsidR="00AB5BA0">
        <w:rPr>
          <w:rFonts w:ascii="Arial" w:hAnsi="Arial" w:cs="Arial"/>
          <w:bCs/>
        </w:rPr>
        <w:t xml:space="preserve"> </w:t>
      </w:r>
      <w:r w:rsidR="00556E0F" w:rsidRPr="00556E0F">
        <w:rPr>
          <w:rFonts w:ascii="Arial" w:hAnsi="Arial" w:cs="Arial"/>
          <w:bCs/>
        </w:rPr>
        <w:t>a</w:t>
      </w:r>
      <w:r w:rsidRPr="00556E0F">
        <w:rPr>
          <w:rFonts w:ascii="Arial" w:hAnsi="Arial" w:cs="Arial"/>
          <w:lang w:val="en-US"/>
        </w:rPr>
        <w:t>t 939G-H.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19154"/>
      <w:docPartObj>
        <w:docPartGallery w:val="Page Numbers (Top of Page)"/>
        <w:docPartUnique/>
      </w:docPartObj>
    </w:sdtPr>
    <w:sdtEndPr>
      <w:rPr>
        <w:noProof/>
      </w:rPr>
    </w:sdtEndPr>
    <w:sdtContent>
      <w:p w14:paraId="61DB96EB" w14:textId="7E067BF4" w:rsidR="006F6099" w:rsidRDefault="006F6099">
        <w:pPr>
          <w:pStyle w:val="Header"/>
          <w:jc w:val="right"/>
        </w:pPr>
        <w:r>
          <w:fldChar w:fldCharType="begin"/>
        </w:r>
        <w:r>
          <w:instrText xml:space="preserve"> PAGE   \* MERGEFORMAT </w:instrText>
        </w:r>
        <w:r>
          <w:fldChar w:fldCharType="separate"/>
        </w:r>
        <w:r w:rsidR="00FF1735">
          <w:rPr>
            <w:noProof/>
          </w:rPr>
          <w:t>2</w:t>
        </w:r>
        <w:r>
          <w:rPr>
            <w:noProof/>
          </w:rPr>
          <w:fldChar w:fldCharType="end"/>
        </w:r>
      </w:p>
    </w:sdtContent>
  </w:sdt>
  <w:p w14:paraId="3DA1595F" w14:textId="77777777" w:rsidR="00F10602" w:rsidRDefault="00F10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77F61"/>
    <w:multiLevelType w:val="hybridMultilevel"/>
    <w:tmpl w:val="621C550A"/>
    <w:lvl w:ilvl="0" w:tplc="E2321CC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D34526A"/>
    <w:multiLevelType w:val="hybridMultilevel"/>
    <w:tmpl w:val="CDF02208"/>
    <w:lvl w:ilvl="0" w:tplc="9DFC6E56">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5E3D94"/>
    <w:multiLevelType w:val="hybridMultilevel"/>
    <w:tmpl w:val="0EF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A03FEB"/>
    <w:multiLevelType w:val="hybridMultilevel"/>
    <w:tmpl w:val="C0EA6828"/>
    <w:lvl w:ilvl="0" w:tplc="22E05650">
      <w:start w:val="1"/>
      <w:numFmt w:val="decimal"/>
      <w:lvlText w:val="[%1]"/>
      <w:lvlJc w:val="left"/>
      <w:pPr>
        <w:ind w:left="360" w:hanging="360"/>
      </w:pPr>
      <w:rPr>
        <w:rFonts w:hint="default"/>
        <w:b w:val="0"/>
        <w:i w:val="0"/>
        <w:sz w:val="28"/>
        <w:szCs w:val="28"/>
      </w:rPr>
    </w:lvl>
    <w:lvl w:ilvl="1" w:tplc="9DFC6E56">
      <w:start w:val="1"/>
      <w:numFmt w:val="decimal"/>
      <w:lvlText w:val="(%2)"/>
      <w:lvlJc w:val="left"/>
      <w:pPr>
        <w:ind w:left="1440" w:hanging="360"/>
      </w:pPr>
      <w:rPr>
        <w:rFonts w:hint="default"/>
      </w:rPr>
    </w:lvl>
    <w:lvl w:ilvl="2" w:tplc="70FCCFC4">
      <w:start w:val="1"/>
      <w:numFmt w:val="lowerLetter"/>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AE"/>
    <w:rsid w:val="0000350F"/>
    <w:rsid w:val="000046E8"/>
    <w:rsid w:val="00012021"/>
    <w:rsid w:val="00012676"/>
    <w:rsid w:val="00012E84"/>
    <w:rsid w:val="00013788"/>
    <w:rsid w:val="00013A0F"/>
    <w:rsid w:val="00017386"/>
    <w:rsid w:val="00020FDF"/>
    <w:rsid w:val="00023B7E"/>
    <w:rsid w:val="000248AD"/>
    <w:rsid w:val="000276B3"/>
    <w:rsid w:val="00034C0A"/>
    <w:rsid w:val="00037DE0"/>
    <w:rsid w:val="000422F2"/>
    <w:rsid w:val="00043218"/>
    <w:rsid w:val="00046DB8"/>
    <w:rsid w:val="0005477E"/>
    <w:rsid w:val="00055075"/>
    <w:rsid w:val="000569B3"/>
    <w:rsid w:val="000632F4"/>
    <w:rsid w:val="0006356D"/>
    <w:rsid w:val="00065CAF"/>
    <w:rsid w:val="00066FE6"/>
    <w:rsid w:val="00067F0F"/>
    <w:rsid w:val="0007047F"/>
    <w:rsid w:val="0007228B"/>
    <w:rsid w:val="00073E42"/>
    <w:rsid w:val="00075324"/>
    <w:rsid w:val="00076696"/>
    <w:rsid w:val="00083756"/>
    <w:rsid w:val="00087A21"/>
    <w:rsid w:val="00087DC4"/>
    <w:rsid w:val="0009063B"/>
    <w:rsid w:val="00090759"/>
    <w:rsid w:val="00092A78"/>
    <w:rsid w:val="00093693"/>
    <w:rsid w:val="000938EA"/>
    <w:rsid w:val="00093FE8"/>
    <w:rsid w:val="00094240"/>
    <w:rsid w:val="00095DE7"/>
    <w:rsid w:val="00096274"/>
    <w:rsid w:val="0009799A"/>
    <w:rsid w:val="000A05DE"/>
    <w:rsid w:val="000A0907"/>
    <w:rsid w:val="000A33AD"/>
    <w:rsid w:val="000A501A"/>
    <w:rsid w:val="000A5B6A"/>
    <w:rsid w:val="000A7764"/>
    <w:rsid w:val="000B0226"/>
    <w:rsid w:val="000B317F"/>
    <w:rsid w:val="000B3370"/>
    <w:rsid w:val="000B50AB"/>
    <w:rsid w:val="000B6B3D"/>
    <w:rsid w:val="000C140F"/>
    <w:rsid w:val="000C1D49"/>
    <w:rsid w:val="000C33E7"/>
    <w:rsid w:val="000C37A9"/>
    <w:rsid w:val="000C4F0F"/>
    <w:rsid w:val="000C6470"/>
    <w:rsid w:val="000D2E1D"/>
    <w:rsid w:val="000D4B6C"/>
    <w:rsid w:val="000D5127"/>
    <w:rsid w:val="000D660C"/>
    <w:rsid w:val="000E5ACF"/>
    <w:rsid w:val="000E751A"/>
    <w:rsid w:val="000E7810"/>
    <w:rsid w:val="000F1854"/>
    <w:rsid w:val="000F1C6C"/>
    <w:rsid w:val="000F2768"/>
    <w:rsid w:val="000F33DF"/>
    <w:rsid w:val="000F365F"/>
    <w:rsid w:val="000F3964"/>
    <w:rsid w:val="000F5D04"/>
    <w:rsid w:val="000F609E"/>
    <w:rsid w:val="000F73A6"/>
    <w:rsid w:val="00100EFE"/>
    <w:rsid w:val="0010302E"/>
    <w:rsid w:val="0010678F"/>
    <w:rsid w:val="00106D1F"/>
    <w:rsid w:val="00116D23"/>
    <w:rsid w:val="0011748B"/>
    <w:rsid w:val="001175FB"/>
    <w:rsid w:val="00117A55"/>
    <w:rsid w:val="0012039B"/>
    <w:rsid w:val="00120B02"/>
    <w:rsid w:val="00121B19"/>
    <w:rsid w:val="0012364E"/>
    <w:rsid w:val="00123838"/>
    <w:rsid w:val="00123C0F"/>
    <w:rsid w:val="0012606A"/>
    <w:rsid w:val="00126F08"/>
    <w:rsid w:val="00134C1A"/>
    <w:rsid w:val="00136C68"/>
    <w:rsid w:val="0013747A"/>
    <w:rsid w:val="001413F4"/>
    <w:rsid w:val="00141B06"/>
    <w:rsid w:val="001436A3"/>
    <w:rsid w:val="0014542C"/>
    <w:rsid w:val="00145AF7"/>
    <w:rsid w:val="001473D4"/>
    <w:rsid w:val="00151261"/>
    <w:rsid w:val="00152B10"/>
    <w:rsid w:val="00152D12"/>
    <w:rsid w:val="00152DB0"/>
    <w:rsid w:val="0015362A"/>
    <w:rsid w:val="001538CB"/>
    <w:rsid w:val="00156205"/>
    <w:rsid w:val="00162092"/>
    <w:rsid w:val="0016227A"/>
    <w:rsid w:val="00163215"/>
    <w:rsid w:val="001635B9"/>
    <w:rsid w:val="001678DD"/>
    <w:rsid w:val="001714EA"/>
    <w:rsid w:val="00171579"/>
    <w:rsid w:val="00172A15"/>
    <w:rsid w:val="00173561"/>
    <w:rsid w:val="00175D1D"/>
    <w:rsid w:val="00180897"/>
    <w:rsid w:val="00183DF4"/>
    <w:rsid w:val="00184EF9"/>
    <w:rsid w:val="0019129E"/>
    <w:rsid w:val="00193ECD"/>
    <w:rsid w:val="001970A5"/>
    <w:rsid w:val="00197249"/>
    <w:rsid w:val="001A0F5C"/>
    <w:rsid w:val="001A1410"/>
    <w:rsid w:val="001A345A"/>
    <w:rsid w:val="001B060F"/>
    <w:rsid w:val="001B307A"/>
    <w:rsid w:val="001B4BB9"/>
    <w:rsid w:val="001B61F6"/>
    <w:rsid w:val="001B6C07"/>
    <w:rsid w:val="001B6E6C"/>
    <w:rsid w:val="001B701E"/>
    <w:rsid w:val="001C1D57"/>
    <w:rsid w:val="001C3A8B"/>
    <w:rsid w:val="001C3EF0"/>
    <w:rsid w:val="001C6F5B"/>
    <w:rsid w:val="001D0B72"/>
    <w:rsid w:val="001D1208"/>
    <w:rsid w:val="001D1ED0"/>
    <w:rsid w:val="001D2E22"/>
    <w:rsid w:val="001D3D6D"/>
    <w:rsid w:val="001D47C4"/>
    <w:rsid w:val="001D7859"/>
    <w:rsid w:val="001E0866"/>
    <w:rsid w:val="001E1D41"/>
    <w:rsid w:val="001E285A"/>
    <w:rsid w:val="001E5529"/>
    <w:rsid w:val="001E5C63"/>
    <w:rsid w:val="001E6826"/>
    <w:rsid w:val="00200223"/>
    <w:rsid w:val="002103AD"/>
    <w:rsid w:val="00211219"/>
    <w:rsid w:val="002134ED"/>
    <w:rsid w:val="00215E1A"/>
    <w:rsid w:val="00216C1E"/>
    <w:rsid w:val="0022207E"/>
    <w:rsid w:val="00222D6D"/>
    <w:rsid w:val="0022578C"/>
    <w:rsid w:val="002279D3"/>
    <w:rsid w:val="00227CB9"/>
    <w:rsid w:val="00230E40"/>
    <w:rsid w:val="0023222D"/>
    <w:rsid w:val="00232523"/>
    <w:rsid w:val="0023558F"/>
    <w:rsid w:val="00235F76"/>
    <w:rsid w:val="00241AA3"/>
    <w:rsid w:val="00242337"/>
    <w:rsid w:val="00242A65"/>
    <w:rsid w:val="00244212"/>
    <w:rsid w:val="00244A8A"/>
    <w:rsid w:val="0025107B"/>
    <w:rsid w:val="002517A9"/>
    <w:rsid w:val="00255D33"/>
    <w:rsid w:val="00256702"/>
    <w:rsid w:val="00257A25"/>
    <w:rsid w:val="002616DD"/>
    <w:rsid w:val="00267DFC"/>
    <w:rsid w:val="00272A27"/>
    <w:rsid w:val="00272E4C"/>
    <w:rsid w:val="0027371E"/>
    <w:rsid w:val="00273AA9"/>
    <w:rsid w:val="00275E0B"/>
    <w:rsid w:val="002760E8"/>
    <w:rsid w:val="002774D0"/>
    <w:rsid w:val="0028081A"/>
    <w:rsid w:val="00283040"/>
    <w:rsid w:val="0028604D"/>
    <w:rsid w:val="002874D7"/>
    <w:rsid w:val="00287A00"/>
    <w:rsid w:val="00287C7B"/>
    <w:rsid w:val="002915B1"/>
    <w:rsid w:val="00292C3D"/>
    <w:rsid w:val="002931DF"/>
    <w:rsid w:val="00293D19"/>
    <w:rsid w:val="0029544E"/>
    <w:rsid w:val="0029575E"/>
    <w:rsid w:val="002A1E75"/>
    <w:rsid w:val="002A3988"/>
    <w:rsid w:val="002A4BF6"/>
    <w:rsid w:val="002B0F55"/>
    <w:rsid w:val="002B116D"/>
    <w:rsid w:val="002B2DFA"/>
    <w:rsid w:val="002B330E"/>
    <w:rsid w:val="002B563C"/>
    <w:rsid w:val="002B7D89"/>
    <w:rsid w:val="002C14A2"/>
    <w:rsid w:val="002C1AA7"/>
    <w:rsid w:val="002C1F91"/>
    <w:rsid w:val="002D1501"/>
    <w:rsid w:val="002D1E49"/>
    <w:rsid w:val="002D3549"/>
    <w:rsid w:val="002D5179"/>
    <w:rsid w:val="002D71DA"/>
    <w:rsid w:val="002E0D6F"/>
    <w:rsid w:val="002E1171"/>
    <w:rsid w:val="002E25BD"/>
    <w:rsid w:val="002F0375"/>
    <w:rsid w:val="002F144D"/>
    <w:rsid w:val="002F3255"/>
    <w:rsid w:val="002F34EE"/>
    <w:rsid w:val="002F5DA8"/>
    <w:rsid w:val="00300033"/>
    <w:rsid w:val="003017DA"/>
    <w:rsid w:val="00301C5F"/>
    <w:rsid w:val="00303BE2"/>
    <w:rsid w:val="0030562A"/>
    <w:rsid w:val="00306A03"/>
    <w:rsid w:val="00306E1E"/>
    <w:rsid w:val="0030743C"/>
    <w:rsid w:val="0030794F"/>
    <w:rsid w:val="003116B4"/>
    <w:rsid w:val="00311715"/>
    <w:rsid w:val="003121E0"/>
    <w:rsid w:val="00316E66"/>
    <w:rsid w:val="00320C28"/>
    <w:rsid w:val="00322E48"/>
    <w:rsid w:val="00322F6D"/>
    <w:rsid w:val="003241B4"/>
    <w:rsid w:val="00325D3A"/>
    <w:rsid w:val="003309B8"/>
    <w:rsid w:val="0033234F"/>
    <w:rsid w:val="003331ED"/>
    <w:rsid w:val="00334C3C"/>
    <w:rsid w:val="00336FE8"/>
    <w:rsid w:val="00340467"/>
    <w:rsid w:val="00340F6B"/>
    <w:rsid w:val="003420A8"/>
    <w:rsid w:val="00343540"/>
    <w:rsid w:val="0034538F"/>
    <w:rsid w:val="00346EA0"/>
    <w:rsid w:val="00351A6A"/>
    <w:rsid w:val="003528A1"/>
    <w:rsid w:val="00352A6B"/>
    <w:rsid w:val="00352C83"/>
    <w:rsid w:val="0035409F"/>
    <w:rsid w:val="00356721"/>
    <w:rsid w:val="003577B6"/>
    <w:rsid w:val="00360B1C"/>
    <w:rsid w:val="003614A8"/>
    <w:rsid w:val="003628A8"/>
    <w:rsid w:val="00367F72"/>
    <w:rsid w:val="00371FE9"/>
    <w:rsid w:val="003729CE"/>
    <w:rsid w:val="00372CDE"/>
    <w:rsid w:val="003739F1"/>
    <w:rsid w:val="0037698E"/>
    <w:rsid w:val="003841DF"/>
    <w:rsid w:val="003847FA"/>
    <w:rsid w:val="00384C1F"/>
    <w:rsid w:val="003851B2"/>
    <w:rsid w:val="00394457"/>
    <w:rsid w:val="00395F88"/>
    <w:rsid w:val="00397B6A"/>
    <w:rsid w:val="003A051C"/>
    <w:rsid w:val="003A05E3"/>
    <w:rsid w:val="003A1E19"/>
    <w:rsid w:val="003A48CE"/>
    <w:rsid w:val="003A79C3"/>
    <w:rsid w:val="003C3150"/>
    <w:rsid w:val="003C525E"/>
    <w:rsid w:val="003C6F4A"/>
    <w:rsid w:val="003C7545"/>
    <w:rsid w:val="003C7DAB"/>
    <w:rsid w:val="003C7EBB"/>
    <w:rsid w:val="003D152F"/>
    <w:rsid w:val="003D15E6"/>
    <w:rsid w:val="003D7D6A"/>
    <w:rsid w:val="003E1929"/>
    <w:rsid w:val="003E1B57"/>
    <w:rsid w:val="003E36CA"/>
    <w:rsid w:val="003E5795"/>
    <w:rsid w:val="003F5EC8"/>
    <w:rsid w:val="003F6EDF"/>
    <w:rsid w:val="003F7D50"/>
    <w:rsid w:val="00401BE4"/>
    <w:rsid w:val="00410137"/>
    <w:rsid w:val="0041165C"/>
    <w:rsid w:val="004119BF"/>
    <w:rsid w:val="00412BE4"/>
    <w:rsid w:val="00414C0A"/>
    <w:rsid w:val="0041604B"/>
    <w:rsid w:val="00421E58"/>
    <w:rsid w:val="004221B5"/>
    <w:rsid w:val="00422230"/>
    <w:rsid w:val="00423D80"/>
    <w:rsid w:val="00424894"/>
    <w:rsid w:val="00434627"/>
    <w:rsid w:val="00435AF4"/>
    <w:rsid w:val="00440666"/>
    <w:rsid w:val="00441E4A"/>
    <w:rsid w:val="0044300D"/>
    <w:rsid w:val="004438FC"/>
    <w:rsid w:val="00445473"/>
    <w:rsid w:val="004458B4"/>
    <w:rsid w:val="00446F46"/>
    <w:rsid w:val="0045274A"/>
    <w:rsid w:val="00455FF3"/>
    <w:rsid w:val="00456392"/>
    <w:rsid w:val="004566D3"/>
    <w:rsid w:val="00456B75"/>
    <w:rsid w:val="0046085C"/>
    <w:rsid w:val="00460A1E"/>
    <w:rsid w:val="00464EAD"/>
    <w:rsid w:val="0046509A"/>
    <w:rsid w:val="00466058"/>
    <w:rsid w:val="004663C3"/>
    <w:rsid w:val="00472FB3"/>
    <w:rsid w:val="004803DD"/>
    <w:rsid w:val="00485204"/>
    <w:rsid w:val="00485910"/>
    <w:rsid w:val="004903DE"/>
    <w:rsid w:val="00493438"/>
    <w:rsid w:val="00495AA5"/>
    <w:rsid w:val="00495F02"/>
    <w:rsid w:val="0049631D"/>
    <w:rsid w:val="00497F68"/>
    <w:rsid w:val="004A041A"/>
    <w:rsid w:val="004A1F7C"/>
    <w:rsid w:val="004A20BB"/>
    <w:rsid w:val="004A568C"/>
    <w:rsid w:val="004A70A7"/>
    <w:rsid w:val="004A73D4"/>
    <w:rsid w:val="004B4D93"/>
    <w:rsid w:val="004B7519"/>
    <w:rsid w:val="004C19AA"/>
    <w:rsid w:val="004C3E75"/>
    <w:rsid w:val="004C3FB7"/>
    <w:rsid w:val="004C5D9B"/>
    <w:rsid w:val="004D4092"/>
    <w:rsid w:val="004D4A58"/>
    <w:rsid w:val="004D4D2E"/>
    <w:rsid w:val="004D54C6"/>
    <w:rsid w:val="004D55C1"/>
    <w:rsid w:val="004D64D8"/>
    <w:rsid w:val="004D6DE4"/>
    <w:rsid w:val="004E198B"/>
    <w:rsid w:val="004E2BD5"/>
    <w:rsid w:val="004E3583"/>
    <w:rsid w:val="004E35C8"/>
    <w:rsid w:val="004E5813"/>
    <w:rsid w:val="004E5A02"/>
    <w:rsid w:val="004E7768"/>
    <w:rsid w:val="004F20BF"/>
    <w:rsid w:val="004F2916"/>
    <w:rsid w:val="004F4614"/>
    <w:rsid w:val="004F655D"/>
    <w:rsid w:val="004F6D4E"/>
    <w:rsid w:val="00500610"/>
    <w:rsid w:val="005017F5"/>
    <w:rsid w:val="00501A3C"/>
    <w:rsid w:val="00501EC5"/>
    <w:rsid w:val="0050402A"/>
    <w:rsid w:val="00506283"/>
    <w:rsid w:val="005123AD"/>
    <w:rsid w:val="0051441C"/>
    <w:rsid w:val="00514726"/>
    <w:rsid w:val="005164F0"/>
    <w:rsid w:val="005203A8"/>
    <w:rsid w:val="00520732"/>
    <w:rsid w:val="0052141D"/>
    <w:rsid w:val="00522664"/>
    <w:rsid w:val="00523401"/>
    <w:rsid w:val="00526ADD"/>
    <w:rsid w:val="00526D61"/>
    <w:rsid w:val="005274AC"/>
    <w:rsid w:val="00530D3D"/>
    <w:rsid w:val="005323D3"/>
    <w:rsid w:val="00532619"/>
    <w:rsid w:val="0053440D"/>
    <w:rsid w:val="00537D69"/>
    <w:rsid w:val="005418EF"/>
    <w:rsid w:val="005422B2"/>
    <w:rsid w:val="00543B76"/>
    <w:rsid w:val="00545EC0"/>
    <w:rsid w:val="005460A9"/>
    <w:rsid w:val="00546587"/>
    <w:rsid w:val="0055096D"/>
    <w:rsid w:val="005509F3"/>
    <w:rsid w:val="00551550"/>
    <w:rsid w:val="00553697"/>
    <w:rsid w:val="005536B2"/>
    <w:rsid w:val="00554DF5"/>
    <w:rsid w:val="00556E0F"/>
    <w:rsid w:val="005601BD"/>
    <w:rsid w:val="00560949"/>
    <w:rsid w:val="00561DBB"/>
    <w:rsid w:val="0056279C"/>
    <w:rsid w:val="00562AA0"/>
    <w:rsid w:val="00564B38"/>
    <w:rsid w:val="00564FB6"/>
    <w:rsid w:val="0056588D"/>
    <w:rsid w:val="005671F9"/>
    <w:rsid w:val="005746D7"/>
    <w:rsid w:val="00576D5D"/>
    <w:rsid w:val="0057727C"/>
    <w:rsid w:val="00581BCF"/>
    <w:rsid w:val="00583570"/>
    <w:rsid w:val="00583BAB"/>
    <w:rsid w:val="00587D09"/>
    <w:rsid w:val="00590110"/>
    <w:rsid w:val="00590D71"/>
    <w:rsid w:val="005917D4"/>
    <w:rsid w:val="0059397F"/>
    <w:rsid w:val="00593A50"/>
    <w:rsid w:val="00596104"/>
    <w:rsid w:val="005A1C30"/>
    <w:rsid w:val="005A1E61"/>
    <w:rsid w:val="005A46EE"/>
    <w:rsid w:val="005A4E9B"/>
    <w:rsid w:val="005A5596"/>
    <w:rsid w:val="005A6771"/>
    <w:rsid w:val="005A72E9"/>
    <w:rsid w:val="005A7943"/>
    <w:rsid w:val="005A7DFF"/>
    <w:rsid w:val="005B6928"/>
    <w:rsid w:val="005C0ACF"/>
    <w:rsid w:val="005C2E0F"/>
    <w:rsid w:val="005C371D"/>
    <w:rsid w:val="005C39CA"/>
    <w:rsid w:val="005C445F"/>
    <w:rsid w:val="005C5CAB"/>
    <w:rsid w:val="005D1642"/>
    <w:rsid w:val="005D21CC"/>
    <w:rsid w:val="005D4A6E"/>
    <w:rsid w:val="005D4D48"/>
    <w:rsid w:val="005D5816"/>
    <w:rsid w:val="005E0464"/>
    <w:rsid w:val="005E1F63"/>
    <w:rsid w:val="005E207C"/>
    <w:rsid w:val="005E278B"/>
    <w:rsid w:val="005E34DA"/>
    <w:rsid w:val="005E37FF"/>
    <w:rsid w:val="005E3F63"/>
    <w:rsid w:val="005E70F1"/>
    <w:rsid w:val="005E72D8"/>
    <w:rsid w:val="005E7748"/>
    <w:rsid w:val="005E7CE0"/>
    <w:rsid w:val="005F2C03"/>
    <w:rsid w:val="005F5E1D"/>
    <w:rsid w:val="005F78D2"/>
    <w:rsid w:val="00602B44"/>
    <w:rsid w:val="00603C51"/>
    <w:rsid w:val="006041A0"/>
    <w:rsid w:val="006051B4"/>
    <w:rsid w:val="0060536C"/>
    <w:rsid w:val="00606C77"/>
    <w:rsid w:val="0060715B"/>
    <w:rsid w:val="00611B0B"/>
    <w:rsid w:val="006126C6"/>
    <w:rsid w:val="006127A0"/>
    <w:rsid w:val="00612844"/>
    <w:rsid w:val="00615FB9"/>
    <w:rsid w:val="00620E0B"/>
    <w:rsid w:val="00621FC6"/>
    <w:rsid w:val="00622AA1"/>
    <w:rsid w:val="00623180"/>
    <w:rsid w:val="006315A0"/>
    <w:rsid w:val="006318A9"/>
    <w:rsid w:val="00632E0E"/>
    <w:rsid w:val="00633E7D"/>
    <w:rsid w:val="00635186"/>
    <w:rsid w:val="006354BC"/>
    <w:rsid w:val="00635F47"/>
    <w:rsid w:val="00636913"/>
    <w:rsid w:val="00640E58"/>
    <w:rsid w:val="00647B91"/>
    <w:rsid w:val="00650A07"/>
    <w:rsid w:val="0065122A"/>
    <w:rsid w:val="00651918"/>
    <w:rsid w:val="006537D1"/>
    <w:rsid w:val="0065629B"/>
    <w:rsid w:val="00660449"/>
    <w:rsid w:val="00661D7B"/>
    <w:rsid w:val="00662AC5"/>
    <w:rsid w:val="00670DC2"/>
    <w:rsid w:val="00670EBA"/>
    <w:rsid w:val="00671556"/>
    <w:rsid w:val="00671751"/>
    <w:rsid w:val="006744BA"/>
    <w:rsid w:val="00675598"/>
    <w:rsid w:val="00677B58"/>
    <w:rsid w:val="006839D6"/>
    <w:rsid w:val="00685F1D"/>
    <w:rsid w:val="006863B1"/>
    <w:rsid w:val="00686F9B"/>
    <w:rsid w:val="00686FE4"/>
    <w:rsid w:val="0069053C"/>
    <w:rsid w:val="00691CDB"/>
    <w:rsid w:val="00692CCD"/>
    <w:rsid w:val="00692F75"/>
    <w:rsid w:val="00693C81"/>
    <w:rsid w:val="00694BB1"/>
    <w:rsid w:val="00697C38"/>
    <w:rsid w:val="006A1DE4"/>
    <w:rsid w:val="006A2E24"/>
    <w:rsid w:val="006B082F"/>
    <w:rsid w:val="006B1EF7"/>
    <w:rsid w:val="006B66BD"/>
    <w:rsid w:val="006B7F70"/>
    <w:rsid w:val="006C224C"/>
    <w:rsid w:val="006C255F"/>
    <w:rsid w:val="006C276C"/>
    <w:rsid w:val="006C3C49"/>
    <w:rsid w:val="006C466C"/>
    <w:rsid w:val="006C572C"/>
    <w:rsid w:val="006C6CF9"/>
    <w:rsid w:val="006C7B25"/>
    <w:rsid w:val="006D40DB"/>
    <w:rsid w:val="006D569B"/>
    <w:rsid w:val="006D6696"/>
    <w:rsid w:val="006D6F3C"/>
    <w:rsid w:val="006E2B9B"/>
    <w:rsid w:val="006E3C56"/>
    <w:rsid w:val="006E4FC8"/>
    <w:rsid w:val="006E69B9"/>
    <w:rsid w:val="006E79A6"/>
    <w:rsid w:val="006F0848"/>
    <w:rsid w:val="006F17CA"/>
    <w:rsid w:val="006F28EF"/>
    <w:rsid w:val="006F52BF"/>
    <w:rsid w:val="006F5AF6"/>
    <w:rsid w:val="006F6099"/>
    <w:rsid w:val="00702CD4"/>
    <w:rsid w:val="00702E56"/>
    <w:rsid w:val="00703A04"/>
    <w:rsid w:val="00704F42"/>
    <w:rsid w:val="0071156A"/>
    <w:rsid w:val="00712B0C"/>
    <w:rsid w:val="007153EF"/>
    <w:rsid w:val="00716681"/>
    <w:rsid w:val="00716CFB"/>
    <w:rsid w:val="007172AE"/>
    <w:rsid w:val="00720FD8"/>
    <w:rsid w:val="0072109E"/>
    <w:rsid w:val="007220F9"/>
    <w:rsid w:val="0072315D"/>
    <w:rsid w:val="0072357D"/>
    <w:rsid w:val="00724796"/>
    <w:rsid w:val="00726415"/>
    <w:rsid w:val="00730EB2"/>
    <w:rsid w:val="00731646"/>
    <w:rsid w:val="00732630"/>
    <w:rsid w:val="00734AD7"/>
    <w:rsid w:val="0073566A"/>
    <w:rsid w:val="0073762E"/>
    <w:rsid w:val="00737F12"/>
    <w:rsid w:val="00740E0F"/>
    <w:rsid w:val="00745F29"/>
    <w:rsid w:val="00745F85"/>
    <w:rsid w:val="00751D92"/>
    <w:rsid w:val="00753F38"/>
    <w:rsid w:val="0075495C"/>
    <w:rsid w:val="00754B54"/>
    <w:rsid w:val="00760B5B"/>
    <w:rsid w:val="0076103F"/>
    <w:rsid w:val="00761BAA"/>
    <w:rsid w:val="007620DA"/>
    <w:rsid w:val="007658DD"/>
    <w:rsid w:val="00766820"/>
    <w:rsid w:val="0077102C"/>
    <w:rsid w:val="0077283C"/>
    <w:rsid w:val="00772AA4"/>
    <w:rsid w:val="00774801"/>
    <w:rsid w:val="0077764E"/>
    <w:rsid w:val="00781650"/>
    <w:rsid w:val="0078407D"/>
    <w:rsid w:val="0078754E"/>
    <w:rsid w:val="007875DC"/>
    <w:rsid w:val="0079040B"/>
    <w:rsid w:val="00790E94"/>
    <w:rsid w:val="007911CC"/>
    <w:rsid w:val="00792733"/>
    <w:rsid w:val="007936AA"/>
    <w:rsid w:val="007954FE"/>
    <w:rsid w:val="00795D1B"/>
    <w:rsid w:val="007A4649"/>
    <w:rsid w:val="007B27DD"/>
    <w:rsid w:val="007B457C"/>
    <w:rsid w:val="007B4CBB"/>
    <w:rsid w:val="007B6201"/>
    <w:rsid w:val="007C22BA"/>
    <w:rsid w:val="007C296E"/>
    <w:rsid w:val="007C2B24"/>
    <w:rsid w:val="007C4CFA"/>
    <w:rsid w:val="007C6ADC"/>
    <w:rsid w:val="007C7E73"/>
    <w:rsid w:val="007D202B"/>
    <w:rsid w:val="007D3B13"/>
    <w:rsid w:val="007D4F40"/>
    <w:rsid w:val="007D5D3B"/>
    <w:rsid w:val="007D6E9A"/>
    <w:rsid w:val="007D776A"/>
    <w:rsid w:val="007D7F6E"/>
    <w:rsid w:val="007E1852"/>
    <w:rsid w:val="007E2B84"/>
    <w:rsid w:val="007E547B"/>
    <w:rsid w:val="007E5D35"/>
    <w:rsid w:val="007E5E93"/>
    <w:rsid w:val="007E6E9A"/>
    <w:rsid w:val="007E7E78"/>
    <w:rsid w:val="007F0493"/>
    <w:rsid w:val="007F30FE"/>
    <w:rsid w:val="007F339A"/>
    <w:rsid w:val="007F3D58"/>
    <w:rsid w:val="007F4FA7"/>
    <w:rsid w:val="007F7614"/>
    <w:rsid w:val="007F7FA4"/>
    <w:rsid w:val="0080048D"/>
    <w:rsid w:val="008004D8"/>
    <w:rsid w:val="00800C2C"/>
    <w:rsid w:val="00803AFA"/>
    <w:rsid w:val="0080581F"/>
    <w:rsid w:val="00805885"/>
    <w:rsid w:val="00806C7D"/>
    <w:rsid w:val="0080788F"/>
    <w:rsid w:val="008128BB"/>
    <w:rsid w:val="00817766"/>
    <w:rsid w:val="008203EF"/>
    <w:rsid w:val="00822323"/>
    <w:rsid w:val="00822BE4"/>
    <w:rsid w:val="00822DFD"/>
    <w:rsid w:val="00824A9D"/>
    <w:rsid w:val="0082743A"/>
    <w:rsid w:val="00827E45"/>
    <w:rsid w:val="0083377B"/>
    <w:rsid w:val="00834CF0"/>
    <w:rsid w:val="0083548A"/>
    <w:rsid w:val="00835725"/>
    <w:rsid w:val="00840AB7"/>
    <w:rsid w:val="0084101D"/>
    <w:rsid w:val="00844BA5"/>
    <w:rsid w:val="0084527B"/>
    <w:rsid w:val="0084548B"/>
    <w:rsid w:val="008456C6"/>
    <w:rsid w:val="0084694C"/>
    <w:rsid w:val="00847534"/>
    <w:rsid w:val="008502A4"/>
    <w:rsid w:val="008503BB"/>
    <w:rsid w:val="008544C5"/>
    <w:rsid w:val="00854B1A"/>
    <w:rsid w:val="00855909"/>
    <w:rsid w:val="00856584"/>
    <w:rsid w:val="00857C1C"/>
    <w:rsid w:val="00862A79"/>
    <w:rsid w:val="00862D29"/>
    <w:rsid w:val="0086406E"/>
    <w:rsid w:val="008650CC"/>
    <w:rsid w:val="00865B9A"/>
    <w:rsid w:val="00871B31"/>
    <w:rsid w:val="0087223B"/>
    <w:rsid w:val="008733AD"/>
    <w:rsid w:val="00874048"/>
    <w:rsid w:val="00874230"/>
    <w:rsid w:val="008749BD"/>
    <w:rsid w:val="008840E0"/>
    <w:rsid w:val="008863EA"/>
    <w:rsid w:val="00886EEF"/>
    <w:rsid w:val="00887D93"/>
    <w:rsid w:val="0089461B"/>
    <w:rsid w:val="00894E5D"/>
    <w:rsid w:val="00895156"/>
    <w:rsid w:val="00895A13"/>
    <w:rsid w:val="008978B9"/>
    <w:rsid w:val="00897C2F"/>
    <w:rsid w:val="008A0D03"/>
    <w:rsid w:val="008A17FD"/>
    <w:rsid w:val="008A3792"/>
    <w:rsid w:val="008A3E1E"/>
    <w:rsid w:val="008A5F5F"/>
    <w:rsid w:val="008A624F"/>
    <w:rsid w:val="008A6609"/>
    <w:rsid w:val="008A799F"/>
    <w:rsid w:val="008A7EA0"/>
    <w:rsid w:val="008B025F"/>
    <w:rsid w:val="008B41EE"/>
    <w:rsid w:val="008B4E11"/>
    <w:rsid w:val="008B54FC"/>
    <w:rsid w:val="008B5A3F"/>
    <w:rsid w:val="008B6219"/>
    <w:rsid w:val="008B75CF"/>
    <w:rsid w:val="008C0CCF"/>
    <w:rsid w:val="008C24BC"/>
    <w:rsid w:val="008C30DA"/>
    <w:rsid w:val="008C4FA3"/>
    <w:rsid w:val="008C57BD"/>
    <w:rsid w:val="008C6D25"/>
    <w:rsid w:val="008C79DB"/>
    <w:rsid w:val="008D1F31"/>
    <w:rsid w:val="008D3494"/>
    <w:rsid w:val="008D55B4"/>
    <w:rsid w:val="008D6377"/>
    <w:rsid w:val="008D73F5"/>
    <w:rsid w:val="008E0280"/>
    <w:rsid w:val="008E2F85"/>
    <w:rsid w:val="008E57A4"/>
    <w:rsid w:val="008E5939"/>
    <w:rsid w:val="008E6F1C"/>
    <w:rsid w:val="008E76A5"/>
    <w:rsid w:val="008E7FE5"/>
    <w:rsid w:val="008F03EE"/>
    <w:rsid w:val="008F12B6"/>
    <w:rsid w:val="008F4D47"/>
    <w:rsid w:val="008F4FD3"/>
    <w:rsid w:val="008F702B"/>
    <w:rsid w:val="00902BE3"/>
    <w:rsid w:val="00902C3F"/>
    <w:rsid w:val="00906CA5"/>
    <w:rsid w:val="0091033C"/>
    <w:rsid w:val="0091127D"/>
    <w:rsid w:val="009113C3"/>
    <w:rsid w:val="00911AA1"/>
    <w:rsid w:val="00911AAF"/>
    <w:rsid w:val="00911FA6"/>
    <w:rsid w:val="009128D0"/>
    <w:rsid w:val="009141DE"/>
    <w:rsid w:val="00921452"/>
    <w:rsid w:val="00926AB2"/>
    <w:rsid w:val="009303AA"/>
    <w:rsid w:val="00930950"/>
    <w:rsid w:val="00931D32"/>
    <w:rsid w:val="00951C63"/>
    <w:rsid w:val="00951DE0"/>
    <w:rsid w:val="00952504"/>
    <w:rsid w:val="00956717"/>
    <w:rsid w:val="00956762"/>
    <w:rsid w:val="009623C5"/>
    <w:rsid w:val="0096381B"/>
    <w:rsid w:val="00964FCF"/>
    <w:rsid w:val="009655F4"/>
    <w:rsid w:val="009741D4"/>
    <w:rsid w:val="00981FCF"/>
    <w:rsid w:val="00982D7E"/>
    <w:rsid w:val="00983888"/>
    <w:rsid w:val="0098425C"/>
    <w:rsid w:val="00985EF4"/>
    <w:rsid w:val="00986466"/>
    <w:rsid w:val="00991459"/>
    <w:rsid w:val="00994B00"/>
    <w:rsid w:val="00996C45"/>
    <w:rsid w:val="009A3B05"/>
    <w:rsid w:val="009A51FE"/>
    <w:rsid w:val="009A67E8"/>
    <w:rsid w:val="009A78AE"/>
    <w:rsid w:val="009B1366"/>
    <w:rsid w:val="009B214B"/>
    <w:rsid w:val="009B7C7F"/>
    <w:rsid w:val="009B7E54"/>
    <w:rsid w:val="009C21DA"/>
    <w:rsid w:val="009C2397"/>
    <w:rsid w:val="009C3176"/>
    <w:rsid w:val="009C5803"/>
    <w:rsid w:val="009C5EB0"/>
    <w:rsid w:val="009C6CC8"/>
    <w:rsid w:val="009C6F82"/>
    <w:rsid w:val="009C79BA"/>
    <w:rsid w:val="009D1696"/>
    <w:rsid w:val="009D1712"/>
    <w:rsid w:val="009D33E0"/>
    <w:rsid w:val="009D5087"/>
    <w:rsid w:val="009D5A8B"/>
    <w:rsid w:val="009E029B"/>
    <w:rsid w:val="009E12AD"/>
    <w:rsid w:val="009E3D83"/>
    <w:rsid w:val="009E4E6C"/>
    <w:rsid w:val="009E5412"/>
    <w:rsid w:val="009E5913"/>
    <w:rsid w:val="009E6AC1"/>
    <w:rsid w:val="009E7BBF"/>
    <w:rsid w:val="009F02DE"/>
    <w:rsid w:val="009F0CCE"/>
    <w:rsid w:val="009F19B8"/>
    <w:rsid w:val="009F277A"/>
    <w:rsid w:val="009F3364"/>
    <w:rsid w:val="009F61AD"/>
    <w:rsid w:val="009F68F1"/>
    <w:rsid w:val="00A102ED"/>
    <w:rsid w:val="00A110EF"/>
    <w:rsid w:val="00A12F07"/>
    <w:rsid w:val="00A14726"/>
    <w:rsid w:val="00A14FFA"/>
    <w:rsid w:val="00A16D33"/>
    <w:rsid w:val="00A20101"/>
    <w:rsid w:val="00A21D13"/>
    <w:rsid w:val="00A22E93"/>
    <w:rsid w:val="00A23A09"/>
    <w:rsid w:val="00A303CC"/>
    <w:rsid w:val="00A30420"/>
    <w:rsid w:val="00A30817"/>
    <w:rsid w:val="00A30853"/>
    <w:rsid w:val="00A34901"/>
    <w:rsid w:val="00A34CEF"/>
    <w:rsid w:val="00A370D8"/>
    <w:rsid w:val="00A37E1A"/>
    <w:rsid w:val="00A41188"/>
    <w:rsid w:val="00A432D3"/>
    <w:rsid w:val="00A514BC"/>
    <w:rsid w:val="00A52EDD"/>
    <w:rsid w:val="00A53FB1"/>
    <w:rsid w:val="00A56B29"/>
    <w:rsid w:val="00A60ECA"/>
    <w:rsid w:val="00A6194C"/>
    <w:rsid w:val="00A66261"/>
    <w:rsid w:val="00A6644F"/>
    <w:rsid w:val="00A67B64"/>
    <w:rsid w:val="00A67BA2"/>
    <w:rsid w:val="00A763BD"/>
    <w:rsid w:val="00A777C7"/>
    <w:rsid w:val="00A77E56"/>
    <w:rsid w:val="00A8214F"/>
    <w:rsid w:val="00A84ED2"/>
    <w:rsid w:val="00A86389"/>
    <w:rsid w:val="00A874CD"/>
    <w:rsid w:val="00A914BA"/>
    <w:rsid w:val="00A95CCB"/>
    <w:rsid w:val="00AA26D6"/>
    <w:rsid w:val="00AA2CA0"/>
    <w:rsid w:val="00AA386D"/>
    <w:rsid w:val="00AA4433"/>
    <w:rsid w:val="00AB13DF"/>
    <w:rsid w:val="00AB1403"/>
    <w:rsid w:val="00AB23E4"/>
    <w:rsid w:val="00AB5BA0"/>
    <w:rsid w:val="00AB7A9C"/>
    <w:rsid w:val="00AC0E23"/>
    <w:rsid w:val="00AC2238"/>
    <w:rsid w:val="00AC363A"/>
    <w:rsid w:val="00AC6B4D"/>
    <w:rsid w:val="00AC7D65"/>
    <w:rsid w:val="00AD13EB"/>
    <w:rsid w:val="00AD2060"/>
    <w:rsid w:val="00AD319D"/>
    <w:rsid w:val="00AD630E"/>
    <w:rsid w:val="00AE0E41"/>
    <w:rsid w:val="00AE354D"/>
    <w:rsid w:val="00AE3CEC"/>
    <w:rsid w:val="00AE444F"/>
    <w:rsid w:val="00AE469F"/>
    <w:rsid w:val="00AE49D5"/>
    <w:rsid w:val="00AE5ACD"/>
    <w:rsid w:val="00AF2302"/>
    <w:rsid w:val="00AF5F05"/>
    <w:rsid w:val="00B008A5"/>
    <w:rsid w:val="00B014D7"/>
    <w:rsid w:val="00B01547"/>
    <w:rsid w:val="00B020B7"/>
    <w:rsid w:val="00B02DCD"/>
    <w:rsid w:val="00B04B79"/>
    <w:rsid w:val="00B14139"/>
    <w:rsid w:val="00B1455B"/>
    <w:rsid w:val="00B21DC2"/>
    <w:rsid w:val="00B23469"/>
    <w:rsid w:val="00B2435A"/>
    <w:rsid w:val="00B37632"/>
    <w:rsid w:val="00B404E5"/>
    <w:rsid w:val="00B404F0"/>
    <w:rsid w:val="00B40A3E"/>
    <w:rsid w:val="00B42BE2"/>
    <w:rsid w:val="00B46C5C"/>
    <w:rsid w:val="00B47891"/>
    <w:rsid w:val="00B50505"/>
    <w:rsid w:val="00B51800"/>
    <w:rsid w:val="00B525C4"/>
    <w:rsid w:val="00B54729"/>
    <w:rsid w:val="00B55F16"/>
    <w:rsid w:val="00B6016A"/>
    <w:rsid w:val="00B60BF5"/>
    <w:rsid w:val="00B655B4"/>
    <w:rsid w:val="00B668B7"/>
    <w:rsid w:val="00B66AB7"/>
    <w:rsid w:val="00B70BE7"/>
    <w:rsid w:val="00B71268"/>
    <w:rsid w:val="00B72462"/>
    <w:rsid w:val="00B74EFD"/>
    <w:rsid w:val="00B75366"/>
    <w:rsid w:val="00B76DE6"/>
    <w:rsid w:val="00B81762"/>
    <w:rsid w:val="00B824DD"/>
    <w:rsid w:val="00B87988"/>
    <w:rsid w:val="00B908E4"/>
    <w:rsid w:val="00B9265E"/>
    <w:rsid w:val="00B9295C"/>
    <w:rsid w:val="00B94BD3"/>
    <w:rsid w:val="00B96626"/>
    <w:rsid w:val="00B97C63"/>
    <w:rsid w:val="00BA1D77"/>
    <w:rsid w:val="00BA4CFF"/>
    <w:rsid w:val="00BA6695"/>
    <w:rsid w:val="00BA7640"/>
    <w:rsid w:val="00BB3D4F"/>
    <w:rsid w:val="00BC129E"/>
    <w:rsid w:val="00BC2149"/>
    <w:rsid w:val="00BC4650"/>
    <w:rsid w:val="00BC4826"/>
    <w:rsid w:val="00BC55B3"/>
    <w:rsid w:val="00BD2805"/>
    <w:rsid w:val="00BD362F"/>
    <w:rsid w:val="00BD77AF"/>
    <w:rsid w:val="00BD77B0"/>
    <w:rsid w:val="00BE12C8"/>
    <w:rsid w:val="00BE3E3A"/>
    <w:rsid w:val="00BE5D8E"/>
    <w:rsid w:val="00BE7D2E"/>
    <w:rsid w:val="00BF5FAC"/>
    <w:rsid w:val="00C00F60"/>
    <w:rsid w:val="00C01FD7"/>
    <w:rsid w:val="00C02E9B"/>
    <w:rsid w:val="00C038CC"/>
    <w:rsid w:val="00C04747"/>
    <w:rsid w:val="00C05355"/>
    <w:rsid w:val="00C05665"/>
    <w:rsid w:val="00C056FD"/>
    <w:rsid w:val="00C10098"/>
    <w:rsid w:val="00C12741"/>
    <w:rsid w:val="00C12C0C"/>
    <w:rsid w:val="00C13093"/>
    <w:rsid w:val="00C1539C"/>
    <w:rsid w:val="00C159CF"/>
    <w:rsid w:val="00C206C1"/>
    <w:rsid w:val="00C24B86"/>
    <w:rsid w:val="00C274F8"/>
    <w:rsid w:val="00C27D81"/>
    <w:rsid w:val="00C30A42"/>
    <w:rsid w:val="00C310DE"/>
    <w:rsid w:val="00C32425"/>
    <w:rsid w:val="00C41B41"/>
    <w:rsid w:val="00C41BB0"/>
    <w:rsid w:val="00C475FD"/>
    <w:rsid w:val="00C500A6"/>
    <w:rsid w:val="00C5574B"/>
    <w:rsid w:val="00C56AFA"/>
    <w:rsid w:val="00C56B94"/>
    <w:rsid w:val="00C65F82"/>
    <w:rsid w:val="00C664B5"/>
    <w:rsid w:val="00C71B2C"/>
    <w:rsid w:val="00C727E1"/>
    <w:rsid w:val="00C736E7"/>
    <w:rsid w:val="00C75291"/>
    <w:rsid w:val="00C771C3"/>
    <w:rsid w:val="00C77366"/>
    <w:rsid w:val="00C8255F"/>
    <w:rsid w:val="00C84CF3"/>
    <w:rsid w:val="00C86184"/>
    <w:rsid w:val="00C86CF8"/>
    <w:rsid w:val="00C9160B"/>
    <w:rsid w:val="00C92E14"/>
    <w:rsid w:val="00C95E7B"/>
    <w:rsid w:val="00C96125"/>
    <w:rsid w:val="00C975E4"/>
    <w:rsid w:val="00CA35F9"/>
    <w:rsid w:val="00CA3D7F"/>
    <w:rsid w:val="00CA453F"/>
    <w:rsid w:val="00CB1134"/>
    <w:rsid w:val="00CB324C"/>
    <w:rsid w:val="00CB6020"/>
    <w:rsid w:val="00CB65C4"/>
    <w:rsid w:val="00CB7242"/>
    <w:rsid w:val="00CC7590"/>
    <w:rsid w:val="00CD3C91"/>
    <w:rsid w:val="00CD7715"/>
    <w:rsid w:val="00CE0633"/>
    <w:rsid w:val="00CE1E16"/>
    <w:rsid w:val="00CE1F9D"/>
    <w:rsid w:val="00CE2DD0"/>
    <w:rsid w:val="00CE2E78"/>
    <w:rsid w:val="00CE444C"/>
    <w:rsid w:val="00CE5901"/>
    <w:rsid w:val="00CE6948"/>
    <w:rsid w:val="00CE6DED"/>
    <w:rsid w:val="00CF2B54"/>
    <w:rsid w:val="00CF2CE1"/>
    <w:rsid w:val="00CF3E7E"/>
    <w:rsid w:val="00CF63C4"/>
    <w:rsid w:val="00D00275"/>
    <w:rsid w:val="00D0235E"/>
    <w:rsid w:val="00D02D29"/>
    <w:rsid w:val="00D13323"/>
    <w:rsid w:val="00D157C7"/>
    <w:rsid w:val="00D171ED"/>
    <w:rsid w:val="00D178BD"/>
    <w:rsid w:val="00D23709"/>
    <w:rsid w:val="00D239CC"/>
    <w:rsid w:val="00D245E6"/>
    <w:rsid w:val="00D27F0A"/>
    <w:rsid w:val="00D302C4"/>
    <w:rsid w:val="00D36E44"/>
    <w:rsid w:val="00D42A05"/>
    <w:rsid w:val="00D439DF"/>
    <w:rsid w:val="00D4585B"/>
    <w:rsid w:val="00D47BB4"/>
    <w:rsid w:val="00D503A9"/>
    <w:rsid w:val="00D504E0"/>
    <w:rsid w:val="00D50A41"/>
    <w:rsid w:val="00D50BD6"/>
    <w:rsid w:val="00D51150"/>
    <w:rsid w:val="00D52351"/>
    <w:rsid w:val="00D61364"/>
    <w:rsid w:val="00D61DEC"/>
    <w:rsid w:val="00D658B5"/>
    <w:rsid w:val="00D66E99"/>
    <w:rsid w:val="00D701D2"/>
    <w:rsid w:val="00D7051B"/>
    <w:rsid w:val="00D73486"/>
    <w:rsid w:val="00D7471C"/>
    <w:rsid w:val="00D74A25"/>
    <w:rsid w:val="00D7738F"/>
    <w:rsid w:val="00D819DF"/>
    <w:rsid w:val="00D8221F"/>
    <w:rsid w:val="00D827E5"/>
    <w:rsid w:val="00D83887"/>
    <w:rsid w:val="00D85E80"/>
    <w:rsid w:val="00D86494"/>
    <w:rsid w:val="00D8672B"/>
    <w:rsid w:val="00D910EA"/>
    <w:rsid w:val="00D95BC6"/>
    <w:rsid w:val="00DA098F"/>
    <w:rsid w:val="00DA16FB"/>
    <w:rsid w:val="00DA1F70"/>
    <w:rsid w:val="00DA2E16"/>
    <w:rsid w:val="00DA4DD1"/>
    <w:rsid w:val="00DA6760"/>
    <w:rsid w:val="00DA6C90"/>
    <w:rsid w:val="00DA6D16"/>
    <w:rsid w:val="00DA7FCC"/>
    <w:rsid w:val="00DB21BF"/>
    <w:rsid w:val="00DB223F"/>
    <w:rsid w:val="00DB2BF2"/>
    <w:rsid w:val="00DC0DE9"/>
    <w:rsid w:val="00DC5304"/>
    <w:rsid w:val="00DC6DDF"/>
    <w:rsid w:val="00DD148D"/>
    <w:rsid w:val="00DD2605"/>
    <w:rsid w:val="00DD4797"/>
    <w:rsid w:val="00DD48BC"/>
    <w:rsid w:val="00DD6EB2"/>
    <w:rsid w:val="00DE3D0B"/>
    <w:rsid w:val="00DE433D"/>
    <w:rsid w:val="00DE44B9"/>
    <w:rsid w:val="00DE586B"/>
    <w:rsid w:val="00DE758B"/>
    <w:rsid w:val="00DF2BCD"/>
    <w:rsid w:val="00DF342E"/>
    <w:rsid w:val="00DF3EAF"/>
    <w:rsid w:val="00DF5468"/>
    <w:rsid w:val="00DF795A"/>
    <w:rsid w:val="00E019F3"/>
    <w:rsid w:val="00E02239"/>
    <w:rsid w:val="00E025FC"/>
    <w:rsid w:val="00E02B0D"/>
    <w:rsid w:val="00E03CEA"/>
    <w:rsid w:val="00E04496"/>
    <w:rsid w:val="00E056D4"/>
    <w:rsid w:val="00E06D84"/>
    <w:rsid w:val="00E06F36"/>
    <w:rsid w:val="00E07F4B"/>
    <w:rsid w:val="00E10F01"/>
    <w:rsid w:val="00E12349"/>
    <w:rsid w:val="00E1296B"/>
    <w:rsid w:val="00E12A01"/>
    <w:rsid w:val="00E148C7"/>
    <w:rsid w:val="00E168F1"/>
    <w:rsid w:val="00E16D72"/>
    <w:rsid w:val="00E16E44"/>
    <w:rsid w:val="00E17B37"/>
    <w:rsid w:val="00E20B43"/>
    <w:rsid w:val="00E222F9"/>
    <w:rsid w:val="00E23735"/>
    <w:rsid w:val="00E245F8"/>
    <w:rsid w:val="00E30FAE"/>
    <w:rsid w:val="00E40B83"/>
    <w:rsid w:val="00E45237"/>
    <w:rsid w:val="00E45328"/>
    <w:rsid w:val="00E50D3A"/>
    <w:rsid w:val="00E50F56"/>
    <w:rsid w:val="00E5160C"/>
    <w:rsid w:val="00E53C52"/>
    <w:rsid w:val="00E556BC"/>
    <w:rsid w:val="00E56483"/>
    <w:rsid w:val="00E57D31"/>
    <w:rsid w:val="00E60F84"/>
    <w:rsid w:val="00E646A6"/>
    <w:rsid w:val="00E64DEA"/>
    <w:rsid w:val="00E66272"/>
    <w:rsid w:val="00E67DB8"/>
    <w:rsid w:val="00E70759"/>
    <w:rsid w:val="00E74508"/>
    <w:rsid w:val="00E74F59"/>
    <w:rsid w:val="00E76DB4"/>
    <w:rsid w:val="00E77366"/>
    <w:rsid w:val="00E7776A"/>
    <w:rsid w:val="00E80348"/>
    <w:rsid w:val="00E80824"/>
    <w:rsid w:val="00E83569"/>
    <w:rsid w:val="00E875AE"/>
    <w:rsid w:val="00E87E7D"/>
    <w:rsid w:val="00E92A8E"/>
    <w:rsid w:val="00E9333D"/>
    <w:rsid w:val="00E95B29"/>
    <w:rsid w:val="00E976F6"/>
    <w:rsid w:val="00EA381E"/>
    <w:rsid w:val="00EB0B06"/>
    <w:rsid w:val="00EC3496"/>
    <w:rsid w:val="00EC6DD9"/>
    <w:rsid w:val="00EC771D"/>
    <w:rsid w:val="00ED5EAC"/>
    <w:rsid w:val="00ED66A5"/>
    <w:rsid w:val="00ED6B62"/>
    <w:rsid w:val="00ED70E3"/>
    <w:rsid w:val="00EE00AB"/>
    <w:rsid w:val="00EE3662"/>
    <w:rsid w:val="00EE3D58"/>
    <w:rsid w:val="00EE4F0F"/>
    <w:rsid w:val="00EF19CD"/>
    <w:rsid w:val="00EF7250"/>
    <w:rsid w:val="00EF75F4"/>
    <w:rsid w:val="00EF7684"/>
    <w:rsid w:val="00EF7EC7"/>
    <w:rsid w:val="00F019FD"/>
    <w:rsid w:val="00F04282"/>
    <w:rsid w:val="00F04560"/>
    <w:rsid w:val="00F048F8"/>
    <w:rsid w:val="00F0573B"/>
    <w:rsid w:val="00F05EDA"/>
    <w:rsid w:val="00F071EB"/>
    <w:rsid w:val="00F07564"/>
    <w:rsid w:val="00F10602"/>
    <w:rsid w:val="00F10E09"/>
    <w:rsid w:val="00F17975"/>
    <w:rsid w:val="00F2279F"/>
    <w:rsid w:val="00F25CE1"/>
    <w:rsid w:val="00F2784D"/>
    <w:rsid w:val="00F318D4"/>
    <w:rsid w:val="00F34545"/>
    <w:rsid w:val="00F35066"/>
    <w:rsid w:val="00F37CA8"/>
    <w:rsid w:val="00F40C2B"/>
    <w:rsid w:val="00F411D5"/>
    <w:rsid w:val="00F41298"/>
    <w:rsid w:val="00F41569"/>
    <w:rsid w:val="00F41C1B"/>
    <w:rsid w:val="00F42098"/>
    <w:rsid w:val="00F53DB8"/>
    <w:rsid w:val="00F5419D"/>
    <w:rsid w:val="00F54E0B"/>
    <w:rsid w:val="00F60523"/>
    <w:rsid w:val="00F609BF"/>
    <w:rsid w:val="00F61CE8"/>
    <w:rsid w:val="00F629C8"/>
    <w:rsid w:val="00F655E5"/>
    <w:rsid w:val="00F661CB"/>
    <w:rsid w:val="00F708AA"/>
    <w:rsid w:val="00F7094B"/>
    <w:rsid w:val="00F824A4"/>
    <w:rsid w:val="00F83DB5"/>
    <w:rsid w:val="00F90D79"/>
    <w:rsid w:val="00F92A7D"/>
    <w:rsid w:val="00F931D2"/>
    <w:rsid w:val="00F960BA"/>
    <w:rsid w:val="00FA0E54"/>
    <w:rsid w:val="00FA0EFD"/>
    <w:rsid w:val="00FA1177"/>
    <w:rsid w:val="00FA36B0"/>
    <w:rsid w:val="00FA4894"/>
    <w:rsid w:val="00FA4991"/>
    <w:rsid w:val="00FA6697"/>
    <w:rsid w:val="00FA7510"/>
    <w:rsid w:val="00FB1526"/>
    <w:rsid w:val="00FB1625"/>
    <w:rsid w:val="00FB402B"/>
    <w:rsid w:val="00FB65A2"/>
    <w:rsid w:val="00FB6B71"/>
    <w:rsid w:val="00FB707B"/>
    <w:rsid w:val="00FB7343"/>
    <w:rsid w:val="00FC1972"/>
    <w:rsid w:val="00FC1CA5"/>
    <w:rsid w:val="00FC5796"/>
    <w:rsid w:val="00FC66D4"/>
    <w:rsid w:val="00FC73ED"/>
    <w:rsid w:val="00FD0643"/>
    <w:rsid w:val="00FD1124"/>
    <w:rsid w:val="00FD11E9"/>
    <w:rsid w:val="00FD186B"/>
    <w:rsid w:val="00FD6F67"/>
    <w:rsid w:val="00FD7450"/>
    <w:rsid w:val="00FE0AC7"/>
    <w:rsid w:val="00FE1C85"/>
    <w:rsid w:val="00FE443B"/>
    <w:rsid w:val="00FE4B4D"/>
    <w:rsid w:val="00FE5CE3"/>
    <w:rsid w:val="00FE6694"/>
    <w:rsid w:val="00FE73E8"/>
    <w:rsid w:val="00FF1735"/>
    <w:rsid w:val="00FF2C4D"/>
    <w:rsid w:val="00FF5093"/>
    <w:rsid w:val="00FF61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CC5C"/>
  <w15:chartTrackingRefBased/>
  <w15:docId w15:val="{D965939F-6D43-453D-9F50-D0EE1162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E20B43"/>
    <w:pPr>
      <w:keepNext/>
      <w:spacing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2AE"/>
    <w:pPr>
      <w:spacing w:line="240" w:lineRule="auto"/>
    </w:pPr>
    <w:rPr>
      <w:sz w:val="20"/>
      <w:szCs w:val="20"/>
    </w:rPr>
  </w:style>
  <w:style w:type="character" w:customStyle="1" w:styleId="FootnoteTextChar">
    <w:name w:val="Footnote Text Char"/>
    <w:basedOn w:val="DefaultParagraphFont"/>
    <w:link w:val="FootnoteText"/>
    <w:uiPriority w:val="99"/>
    <w:semiHidden/>
    <w:rsid w:val="007172AE"/>
    <w:rPr>
      <w:sz w:val="20"/>
      <w:szCs w:val="20"/>
    </w:rPr>
  </w:style>
  <w:style w:type="character" w:styleId="FootnoteReference">
    <w:name w:val="footnote reference"/>
    <w:basedOn w:val="DefaultParagraphFont"/>
    <w:uiPriority w:val="99"/>
    <w:semiHidden/>
    <w:unhideWhenUsed/>
    <w:rsid w:val="007172AE"/>
    <w:rPr>
      <w:vertAlign w:val="superscript"/>
    </w:rPr>
  </w:style>
  <w:style w:type="character" w:customStyle="1" w:styleId="g1">
    <w:name w:val="g1"/>
    <w:basedOn w:val="DefaultParagraphFont"/>
    <w:rsid w:val="007172AE"/>
  </w:style>
  <w:style w:type="character" w:styleId="Hyperlink">
    <w:name w:val="Hyperlink"/>
    <w:basedOn w:val="DefaultParagraphFont"/>
    <w:uiPriority w:val="99"/>
    <w:semiHidden/>
    <w:unhideWhenUsed/>
    <w:rsid w:val="007172AE"/>
    <w:rPr>
      <w:color w:val="0000FF"/>
      <w:u w:val="single"/>
    </w:rPr>
  </w:style>
  <w:style w:type="character" w:customStyle="1" w:styleId="mc">
    <w:name w:val="mc"/>
    <w:basedOn w:val="DefaultParagraphFont"/>
    <w:rsid w:val="005746D7"/>
  </w:style>
  <w:style w:type="paragraph" w:styleId="ListParagraph">
    <w:name w:val="List Paragraph"/>
    <w:basedOn w:val="Normal"/>
    <w:uiPriority w:val="34"/>
    <w:qFormat/>
    <w:rsid w:val="00ED70E3"/>
    <w:pPr>
      <w:ind w:left="720"/>
      <w:contextualSpacing/>
    </w:pPr>
  </w:style>
  <w:style w:type="paragraph" w:customStyle="1" w:styleId="lg-section">
    <w:name w:val="lg-section"/>
    <w:basedOn w:val="Normal"/>
    <w:rsid w:val="005344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5671F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671F9"/>
    <w:rPr>
      <w:i/>
      <w:iCs/>
    </w:rPr>
  </w:style>
  <w:style w:type="character" w:customStyle="1" w:styleId="Heading3Char">
    <w:name w:val="Heading 3 Char"/>
    <w:basedOn w:val="DefaultParagraphFont"/>
    <w:link w:val="Heading3"/>
    <w:rsid w:val="00E20B43"/>
    <w:rPr>
      <w:rFonts w:ascii="Times New Roman" w:eastAsia="Arial Unicode MS" w:hAnsi="Times New Roman" w:cs="Times New Roman"/>
      <w:b/>
      <w:bCs/>
      <w:sz w:val="32"/>
      <w:szCs w:val="32"/>
    </w:rPr>
  </w:style>
  <w:style w:type="paragraph" w:customStyle="1" w:styleId="parafullout">
    <w:name w:val="parafullout"/>
    <w:basedOn w:val="Normal"/>
    <w:rsid w:val="005F2C0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1B6E6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4">
    <w:name w:val="lg-para4"/>
    <w:basedOn w:val="Normal"/>
    <w:rsid w:val="001B6E6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EF19CD"/>
    <w:rPr>
      <w:color w:val="954F72" w:themeColor="followedHyperlink"/>
      <w:u w:val="single"/>
    </w:rPr>
  </w:style>
  <w:style w:type="paragraph" w:styleId="BalloonText">
    <w:name w:val="Balloon Text"/>
    <w:basedOn w:val="Normal"/>
    <w:link w:val="BalloonTextChar"/>
    <w:uiPriority w:val="99"/>
    <w:semiHidden/>
    <w:unhideWhenUsed/>
    <w:rsid w:val="00116D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23"/>
    <w:rPr>
      <w:rFonts w:ascii="Segoe UI" w:hAnsi="Segoe UI" w:cs="Segoe UI"/>
      <w:sz w:val="18"/>
      <w:szCs w:val="18"/>
    </w:rPr>
  </w:style>
  <w:style w:type="paragraph" w:styleId="Header">
    <w:name w:val="header"/>
    <w:basedOn w:val="Normal"/>
    <w:link w:val="HeaderChar"/>
    <w:uiPriority w:val="99"/>
    <w:unhideWhenUsed/>
    <w:rsid w:val="00931D32"/>
    <w:pPr>
      <w:tabs>
        <w:tab w:val="center" w:pos="4513"/>
        <w:tab w:val="right" w:pos="9026"/>
      </w:tabs>
      <w:spacing w:line="240" w:lineRule="auto"/>
    </w:pPr>
  </w:style>
  <w:style w:type="character" w:customStyle="1" w:styleId="HeaderChar">
    <w:name w:val="Header Char"/>
    <w:basedOn w:val="DefaultParagraphFont"/>
    <w:link w:val="Header"/>
    <w:uiPriority w:val="99"/>
    <w:rsid w:val="00931D32"/>
  </w:style>
  <w:style w:type="paragraph" w:styleId="Footer">
    <w:name w:val="footer"/>
    <w:basedOn w:val="Normal"/>
    <w:link w:val="FooterChar"/>
    <w:uiPriority w:val="99"/>
    <w:unhideWhenUsed/>
    <w:rsid w:val="00931D32"/>
    <w:pPr>
      <w:tabs>
        <w:tab w:val="center" w:pos="4513"/>
        <w:tab w:val="right" w:pos="9026"/>
      </w:tabs>
      <w:spacing w:line="240" w:lineRule="auto"/>
    </w:pPr>
  </w:style>
  <w:style w:type="character" w:customStyle="1" w:styleId="FooterChar">
    <w:name w:val="Footer Char"/>
    <w:basedOn w:val="DefaultParagraphFont"/>
    <w:link w:val="Footer"/>
    <w:uiPriority w:val="99"/>
    <w:rsid w:val="00931D32"/>
  </w:style>
  <w:style w:type="character" w:customStyle="1" w:styleId="lphit">
    <w:name w:val="lphit"/>
    <w:basedOn w:val="DefaultParagraphFont"/>
    <w:rsid w:val="00803AFA"/>
  </w:style>
  <w:style w:type="character" w:styleId="CommentReference">
    <w:name w:val="annotation reference"/>
    <w:basedOn w:val="DefaultParagraphFont"/>
    <w:uiPriority w:val="99"/>
    <w:semiHidden/>
    <w:unhideWhenUsed/>
    <w:rsid w:val="00034C0A"/>
    <w:rPr>
      <w:sz w:val="16"/>
      <w:szCs w:val="16"/>
    </w:rPr>
  </w:style>
  <w:style w:type="paragraph" w:styleId="CommentText">
    <w:name w:val="annotation text"/>
    <w:basedOn w:val="Normal"/>
    <w:link w:val="CommentTextChar"/>
    <w:uiPriority w:val="99"/>
    <w:semiHidden/>
    <w:unhideWhenUsed/>
    <w:rsid w:val="00034C0A"/>
    <w:pPr>
      <w:spacing w:line="240" w:lineRule="auto"/>
    </w:pPr>
    <w:rPr>
      <w:sz w:val="20"/>
      <w:szCs w:val="20"/>
    </w:rPr>
  </w:style>
  <w:style w:type="character" w:customStyle="1" w:styleId="CommentTextChar">
    <w:name w:val="Comment Text Char"/>
    <w:basedOn w:val="DefaultParagraphFont"/>
    <w:link w:val="CommentText"/>
    <w:uiPriority w:val="99"/>
    <w:semiHidden/>
    <w:rsid w:val="00034C0A"/>
    <w:rPr>
      <w:sz w:val="20"/>
      <w:szCs w:val="20"/>
    </w:rPr>
  </w:style>
  <w:style w:type="paragraph" w:styleId="CommentSubject">
    <w:name w:val="annotation subject"/>
    <w:basedOn w:val="CommentText"/>
    <w:next w:val="CommentText"/>
    <w:link w:val="CommentSubjectChar"/>
    <w:uiPriority w:val="99"/>
    <w:semiHidden/>
    <w:unhideWhenUsed/>
    <w:rsid w:val="00034C0A"/>
    <w:rPr>
      <w:b/>
      <w:bCs/>
    </w:rPr>
  </w:style>
  <w:style w:type="character" w:customStyle="1" w:styleId="CommentSubjectChar">
    <w:name w:val="Comment Subject Char"/>
    <w:basedOn w:val="CommentTextChar"/>
    <w:link w:val="CommentSubject"/>
    <w:uiPriority w:val="99"/>
    <w:semiHidden/>
    <w:rsid w:val="00034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414">
      <w:bodyDiv w:val="1"/>
      <w:marLeft w:val="0"/>
      <w:marRight w:val="0"/>
      <w:marTop w:val="0"/>
      <w:marBottom w:val="0"/>
      <w:divBdr>
        <w:top w:val="none" w:sz="0" w:space="0" w:color="auto"/>
        <w:left w:val="none" w:sz="0" w:space="0" w:color="auto"/>
        <w:bottom w:val="none" w:sz="0" w:space="0" w:color="auto"/>
        <w:right w:val="none" w:sz="0" w:space="0" w:color="auto"/>
      </w:divBdr>
      <w:divsChild>
        <w:div w:id="931400837">
          <w:marLeft w:val="1191"/>
          <w:marRight w:val="0"/>
          <w:marTop w:val="60"/>
          <w:marBottom w:val="0"/>
          <w:divBdr>
            <w:top w:val="none" w:sz="0" w:space="0" w:color="auto"/>
            <w:left w:val="none" w:sz="0" w:space="0" w:color="auto"/>
            <w:bottom w:val="none" w:sz="0" w:space="0" w:color="auto"/>
            <w:right w:val="none" w:sz="0" w:space="0" w:color="auto"/>
          </w:divBdr>
        </w:div>
        <w:div w:id="1184397895">
          <w:marLeft w:val="1871"/>
          <w:marRight w:val="0"/>
          <w:marTop w:val="120"/>
          <w:marBottom w:val="0"/>
          <w:divBdr>
            <w:top w:val="none" w:sz="0" w:space="0" w:color="auto"/>
            <w:left w:val="none" w:sz="0" w:space="0" w:color="auto"/>
            <w:bottom w:val="none" w:sz="0" w:space="0" w:color="auto"/>
            <w:right w:val="none" w:sz="0" w:space="0" w:color="auto"/>
          </w:divBdr>
        </w:div>
        <w:div w:id="275522805">
          <w:marLeft w:val="1871"/>
          <w:marRight w:val="0"/>
          <w:marTop w:val="120"/>
          <w:marBottom w:val="0"/>
          <w:divBdr>
            <w:top w:val="none" w:sz="0" w:space="0" w:color="auto"/>
            <w:left w:val="none" w:sz="0" w:space="0" w:color="auto"/>
            <w:bottom w:val="none" w:sz="0" w:space="0" w:color="auto"/>
            <w:right w:val="none" w:sz="0" w:space="0" w:color="auto"/>
          </w:divBdr>
        </w:div>
        <w:div w:id="1818839345">
          <w:marLeft w:val="1871"/>
          <w:marRight w:val="0"/>
          <w:marTop w:val="120"/>
          <w:marBottom w:val="0"/>
          <w:divBdr>
            <w:top w:val="none" w:sz="0" w:space="0" w:color="auto"/>
            <w:left w:val="none" w:sz="0" w:space="0" w:color="auto"/>
            <w:bottom w:val="none" w:sz="0" w:space="0" w:color="auto"/>
            <w:right w:val="none" w:sz="0" w:space="0" w:color="auto"/>
          </w:divBdr>
        </w:div>
        <w:div w:id="2084177772">
          <w:marLeft w:val="1871"/>
          <w:marRight w:val="0"/>
          <w:marTop w:val="120"/>
          <w:marBottom w:val="0"/>
          <w:divBdr>
            <w:top w:val="none" w:sz="0" w:space="0" w:color="auto"/>
            <w:left w:val="none" w:sz="0" w:space="0" w:color="auto"/>
            <w:bottom w:val="none" w:sz="0" w:space="0" w:color="auto"/>
            <w:right w:val="none" w:sz="0" w:space="0" w:color="auto"/>
          </w:divBdr>
        </w:div>
        <w:div w:id="864556012">
          <w:marLeft w:val="1871"/>
          <w:marRight w:val="0"/>
          <w:marTop w:val="120"/>
          <w:marBottom w:val="0"/>
          <w:divBdr>
            <w:top w:val="none" w:sz="0" w:space="0" w:color="auto"/>
            <w:left w:val="none" w:sz="0" w:space="0" w:color="auto"/>
            <w:bottom w:val="none" w:sz="0" w:space="0" w:color="auto"/>
            <w:right w:val="none" w:sz="0" w:space="0" w:color="auto"/>
          </w:divBdr>
        </w:div>
        <w:div w:id="1412388801">
          <w:marLeft w:val="1871"/>
          <w:marRight w:val="0"/>
          <w:marTop w:val="120"/>
          <w:marBottom w:val="0"/>
          <w:divBdr>
            <w:top w:val="none" w:sz="0" w:space="0" w:color="auto"/>
            <w:left w:val="none" w:sz="0" w:space="0" w:color="auto"/>
            <w:bottom w:val="none" w:sz="0" w:space="0" w:color="auto"/>
            <w:right w:val="none" w:sz="0" w:space="0" w:color="auto"/>
          </w:divBdr>
        </w:div>
        <w:div w:id="583496161">
          <w:marLeft w:val="1701"/>
          <w:marRight w:val="0"/>
          <w:marTop w:val="40"/>
          <w:marBottom w:val="0"/>
          <w:divBdr>
            <w:top w:val="none" w:sz="0" w:space="0" w:color="auto"/>
            <w:left w:val="none" w:sz="0" w:space="0" w:color="auto"/>
            <w:bottom w:val="none" w:sz="0" w:space="0" w:color="auto"/>
            <w:right w:val="none" w:sz="0" w:space="0" w:color="auto"/>
          </w:divBdr>
        </w:div>
        <w:div w:id="2068992666">
          <w:marLeft w:val="1701"/>
          <w:marRight w:val="0"/>
          <w:marTop w:val="40"/>
          <w:marBottom w:val="0"/>
          <w:divBdr>
            <w:top w:val="none" w:sz="0" w:space="0" w:color="auto"/>
            <w:left w:val="none" w:sz="0" w:space="0" w:color="auto"/>
            <w:bottom w:val="none" w:sz="0" w:space="0" w:color="auto"/>
            <w:right w:val="none" w:sz="0" w:space="0" w:color="auto"/>
          </w:divBdr>
        </w:div>
        <w:div w:id="1852572739">
          <w:marLeft w:val="1871"/>
          <w:marRight w:val="0"/>
          <w:marTop w:val="120"/>
          <w:marBottom w:val="0"/>
          <w:divBdr>
            <w:top w:val="none" w:sz="0" w:space="0" w:color="auto"/>
            <w:left w:val="none" w:sz="0" w:space="0" w:color="auto"/>
            <w:bottom w:val="none" w:sz="0" w:space="0" w:color="auto"/>
            <w:right w:val="none" w:sz="0" w:space="0" w:color="auto"/>
          </w:divBdr>
        </w:div>
        <w:div w:id="151726745">
          <w:marLeft w:val="1871"/>
          <w:marRight w:val="0"/>
          <w:marTop w:val="120"/>
          <w:marBottom w:val="0"/>
          <w:divBdr>
            <w:top w:val="none" w:sz="0" w:space="0" w:color="auto"/>
            <w:left w:val="none" w:sz="0" w:space="0" w:color="auto"/>
            <w:bottom w:val="none" w:sz="0" w:space="0" w:color="auto"/>
            <w:right w:val="none" w:sz="0" w:space="0" w:color="auto"/>
          </w:divBdr>
        </w:div>
        <w:div w:id="1096902723">
          <w:marLeft w:val="1871"/>
          <w:marRight w:val="0"/>
          <w:marTop w:val="120"/>
          <w:marBottom w:val="0"/>
          <w:divBdr>
            <w:top w:val="none" w:sz="0" w:space="0" w:color="auto"/>
            <w:left w:val="none" w:sz="0" w:space="0" w:color="auto"/>
            <w:bottom w:val="none" w:sz="0" w:space="0" w:color="auto"/>
            <w:right w:val="none" w:sz="0" w:space="0" w:color="auto"/>
          </w:divBdr>
        </w:div>
        <w:div w:id="1830321295">
          <w:marLeft w:val="1871"/>
          <w:marRight w:val="0"/>
          <w:marTop w:val="120"/>
          <w:marBottom w:val="0"/>
          <w:divBdr>
            <w:top w:val="none" w:sz="0" w:space="0" w:color="auto"/>
            <w:left w:val="none" w:sz="0" w:space="0" w:color="auto"/>
            <w:bottom w:val="none" w:sz="0" w:space="0" w:color="auto"/>
            <w:right w:val="none" w:sz="0" w:space="0" w:color="auto"/>
          </w:divBdr>
        </w:div>
        <w:div w:id="763116378">
          <w:marLeft w:val="1871"/>
          <w:marRight w:val="0"/>
          <w:marTop w:val="120"/>
          <w:marBottom w:val="0"/>
          <w:divBdr>
            <w:top w:val="none" w:sz="0" w:space="0" w:color="auto"/>
            <w:left w:val="none" w:sz="0" w:space="0" w:color="auto"/>
            <w:bottom w:val="none" w:sz="0" w:space="0" w:color="auto"/>
            <w:right w:val="none" w:sz="0" w:space="0" w:color="auto"/>
          </w:divBdr>
        </w:div>
        <w:div w:id="314922605">
          <w:marLeft w:val="0"/>
          <w:marRight w:val="0"/>
          <w:marTop w:val="240"/>
          <w:marBottom w:val="24"/>
          <w:divBdr>
            <w:top w:val="single" w:sz="8" w:space="2" w:color="808080"/>
            <w:left w:val="none" w:sz="0" w:space="0" w:color="auto"/>
            <w:bottom w:val="none" w:sz="0" w:space="0" w:color="auto"/>
            <w:right w:val="none" w:sz="0" w:space="0" w:color="auto"/>
          </w:divBdr>
        </w:div>
        <w:div w:id="1202982247">
          <w:marLeft w:val="0"/>
          <w:marRight w:val="0"/>
          <w:marTop w:val="120"/>
          <w:marBottom w:val="0"/>
          <w:divBdr>
            <w:top w:val="none" w:sz="0" w:space="0" w:color="auto"/>
            <w:left w:val="none" w:sz="0" w:space="0" w:color="auto"/>
            <w:bottom w:val="none" w:sz="0" w:space="0" w:color="auto"/>
            <w:right w:val="none" w:sz="0" w:space="0" w:color="auto"/>
          </w:divBdr>
        </w:div>
        <w:div w:id="736828431">
          <w:marLeft w:val="1871"/>
          <w:marRight w:val="0"/>
          <w:marTop w:val="120"/>
          <w:marBottom w:val="0"/>
          <w:divBdr>
            <w:top w:val="none" w:sz="0" w:space="0" w:color="auto"/>
            <w:left w:val="none" w:sz="0" w:space="0" w:color="auto"/>
            <w:bottom w:val="none" w:sz="0" w:space="0" w:color="auto"/>
            <w:right w:val="none" w:sz="0" w:space="0" w:color="auto"/>
          </w:divBdr>
        </w:div>
      </w:divsChild>
    </w:div>
    <w:div w:id="153839501">
      <w:bodyDiv w:val="1"/>
      <w:marLeft w:val="0"/>
      <w:marRight w:val="0"/>
      <w:marTop w:val="0"/>
      <w:marBottom w:val="0"/>
      <w:divBdr>
        <w:top w:val="none" w:sz="0" w:space="0" w:color="auto"/>
        <w:left w:val="none" w:sz="0" w:space="0" w:color="auto"/>
        <w:bottom w:val="none" w:sz="0" w:space="0" w:color="auto"/>
        <w:right w:val="none" w:sz="0" w:space="0" w:color="auto"/>
      </w:divBdr>
    </w:div>
    <w:div w:id="283004584">
      <w:bodyDiv w:val="1"/>
      <w:marLeft w:val="0"/>
      <w:marRight w:val="0"/>
      <w:marTop w:val="0"/>
      <w:marBottom w:val="0"/>
      <w:divBdr>
        <w:top w:val="none" w:sz="0" w:space="0" w:color="auto"/>
        <w:left w:val="none" w:sz="0" w:space="0" w:color="auto"/>
        <w:bottom w:val="none" w:sz="0" w:space="0" w:color="auto"/>
        <w:right w:val="none" w:sz="0" w:space="0" w:color="auto"/>
      </w:divBdr>
    </w:div>
    <w:div w:id="347340824">
      <w:bodyDiv w:val="1"/>
      <w:marLeft w:val="0"/>
      <w:marRight w:val="0"/>
      <w:marTop w:val="0"/>
      <w:marBottom w:val="0"/>
      <w:divBdr>
        <w:top w:val="none" w:sz="0" w:space="0" w:color="auto"/>
        <w:left w:val="none" w:sz="0" w:space="0" w:color="auto"/>
        <w:bottom w:val="none" w:sz="0" w:space="0" w:color="auto"/>
        <w:right w:val="none" w:sz="0" w:space="0" w:color="auto"/>
      </w:divBdr>
      <w:divsChild>
        <w:div w:id="413669985">
          <w:marLeft w:val="0"/>
          <w:marRight w:val="0"/>
          <w:marTop w:val="120"/>
          <w:marBottom w:val="0"/>
          <w:divBdr>
            <w:top w:val="none" w:sz="0" w:space="0" w:color="auto"/>
            <w:left w:val="none" w:sz="0" w:space="0" w:color="auto"/>
            <w:bottom w:val="none" w:sz="0" w:space="0" w:color="auto"/>
            <w:right w:val="none" w:sz="0" w:space="0" w:color="auto"/>
          </w:divBdr>
        </w:div>
      </w:divsChild>
    </w:div>
    <w:div w:id="362677744">
      <w:bodyDiv w:val="1"/>
      <w:marLeft w:val="0"/>
      <w:marRight w:val="0"/>
      <w:marTop w:val="0"/>
      <w:marBottom w:val="0"/>
      <w:divBdr>
        <w:top w:val="none" w:sz="0" w:space="0" w:color="auto"/>
        <w:left w:val="none" w:sz="0" w:space="0" w:color="auto"/>
        <w:bottom w:val="none" w:sz="0" w:space="0" w:color="auto"/>
        <w:right w:val="none" w:sz="0" w:space="0" w:color="auto"/>
      </w:divBdr>
      <w:divsChild>
        <w:div w:id="998074827">
          <w:marLeft w:val="1191"/>
          <w:marRight w:val="0"/>
          <w:marTop w:val="60"/>
          <w:marBottom w:val="0"/>
          <w:divBdr>
            <w:top w:val="none" w:sz="0" w:space="0" w:color="auto"/>
            <w:left w:val="none" w:sz="0" w:space="0" w:color="auto"/>
            <w:bottom w:val="none" w:sz="0" w:space="0" w:color="auto"/>
            <w:right w:val="none" w:sz="0" w:space="0" w:color="auto"/>
          </w:divBdr>
        </w:div>
        <w:div w:id="993948586">
          <w:marLeft w:val="1871"/>
          <w:marRight w:val="0"/>
          <w:marTop w:val="120"/>
          <w:marBottom w:val="0"/>
          <w:divBdr>
            <w:top w:val="none" w:sz="0" w:space="0" w:color="auto"/>
            <w:left w:val="none" w:sz="0" w:space="0" w:color="auto"/>
            <w:bottom w:val="none" w:sz="0" w:space="0" w:color="auto"/>
            <w:right w:val="none" w:sz="0" w:space="0" w:color="auto"/>
          </w:divBdr>
        </w:div>
        <w:div w:id="1622999122">
          <w:marLeft w:val="1871"/>
          <w:marRight w:val="0"/>
          <w:marTop w:val="120"/>
          <w:marBottom w:val="0"/>
          <w:divBdr>
            <w:top w:val="none" w:sz="0" w:space="0" w:color="auto"/>
            <w:left w:val="none" w:sz="0" w:space="0" w:color="auto"/>
            <w:bottom w:val="none" w:sz="0" w:space="0" w:color="auto"/>
            <w:right w:val="none" w:sz="0" w:space="0" w:color="auto"/>
          </w:divBdr>
        </w:div>
        <w:div w:id="1292831396">
          <w:marLeft w:val="1871"/>
          <w:marRight w:val="0"/>
          <w:marTop w:val="120"/>
          <w:marBottom w:val="0"/>
          <w:divBdr>
            <w:top w:val="none" w:sz="0" w:space="0" w:color="auto"/>
            <w:left w:val="none" w:sz="0" w:space="0" w:color="auto"/>
            <w:bottom w:val="none" w:sz="0" w:space="0" w:color="auto"/>
            <w:right w:val="none" w:sz="0" w:space="0" w:color="auto"/>
          </w:divBdr>
        </w:div>
        <w:div w:id="945042493">
          <w:marLeft w:val="1871"/>
          <w:marRight w:val="0"/>
          <w:marTop w:val="120"/>
          <w:marBottom w:val="0"/>
          <w:divBdr>
            <w:top w:val="none" w:sz="0" w:space="0" w:color="auto"/>
            <w:left w:val="none" w:sz="0" w:space="0" w:color="auto"/>
            <w:bottom w:val="none" w:sz="0" w:space="0" w:color="auto"/>
            <w:right w:val="none" w:sz="0" w:space="0" w:color="auto"/>
          </w:divBdr>
        </w:div>
        <w:div w:id="741873065">
          <w:marLeft w:val="1871"/>
          <w:marRight w:val="0"/>
          <w:marTop w:val="120"/>
          <w:marBottom w:val="0"/>
          <w:divBdr>
            <w:top w:val="none" w:sz="0" w:space="0" w:color="auto"/>
            <w:left w:val="none" w:sz="0" w:space="0" w:color="auto"/>
            <w:bottom w:val="none" w:sz="0" w:space="0" w:color="auto"/>
            <w:right w:val="none" w:sz="0" w:space="0" w:color="auto"/>
          </w:divBdr>
        </w:div>
      </w:divsChild>
    </w:div>
    <w:div w:id="411204463">
      <w:bodyDiv w:val="1"/>
      <w:marLeft w:val="0"/>
      <w:marRight w:val="0"/>
      <w:marTop w:val="0"/>
      <w:marBottom w:val="0"/>
      <w:divBdr>
        <w:top w:val="none" w:sz="0" w:space="0" w:color="auto"/>
        <w:left w:val="none" w:sz="0" w:space="0" w:color="auto"/>
        <w:bottom w:val="none" w:sz="0" w:space="0" w:color="auto"/>
        <w:right w:val="none" w:sz="0" w:space="0" w:color="auto"/>
      </w:divBdr>
    </w:div>
    <w:div w:id="429275150">
      <w:bodyDiv w:val="1"/>
      <w:marLeft w:val="0"/>
      <w:marRight w:val="0"/>
      <w:marTop w:val="0"/>
      <w:marBottom w:val="0"/>
      <w:divBdr>
        <w:top w:val="none" w:sz="0" w:space="0" w:color="auto"/>
        <w:left w:val="none" w:sz="0" w:space="0" w:color="auto"/>
        <w:bottom w:val="none" w:sz="0" w:space="0" w:color="auto"/>
        <w:right w:val="none" w:sz="0" w:space="0" w:color="auto"/>
      </w:divBdr>
      <w:divsChild>
        <w:div w:id="1425951949">
          <w:marLeft w:val="0"/>
          <w:marRight w:val="0"/>
          <w:marTop w:val="120"/>
          <w:marBottom w:val="0"/>
          <w:divBdr>
            <w:top w:val="none" w:sz="0" w:space="0" w:color="auto"/>
            <w:left w:val="none" w:sz="0" w:space="0" w:color="auto"/>
            <w:bottom w:val="none" w:sz="0" w:space="0" w:color="auto"/>
            <w:right w:val="none" w:sz="0" w:space="0" w:color="auto"/>
          </w:divBdr>
        </w:div>
        <w:div w:id="2084520038">
          <w:marLeft w:val="0"/>
          <w:marRight w:val="0"/>
          <w:marTop w:val="0"/>
          <w:marBottom w:val="0"/>
          <w:divBdr>
            <w:top w:val="none" w:sz="0" w:space="0" w:color="auto"/>
            <w:left w:val="none" w:sz="0" w:space="0" w:color="auto"/>
            <w:bottom w:val="none" w:sz="0" w:space="0" w:color="auto"/>
            <w:right w:val="none" w:sz="0" w:space="0" w:color="auto"/>
          </w:divBdr>
        </w:div>
      </w:divsChild>
    </w:div>
    <w:div w:id="498078715">
      <w:bodyDiv w:val="1"/>
      <w:marLeft w:val="0"/>
      <w:marRight w:val="0"/>
      <w:marTop w:val="0"/>
      <w:marBottom w:val="0"/>
      <w:divBdr>
        <w:top w:val="none" w:sz="0" w:space="0" w:color="auto"/>
        <w:left w:val="none" w:sz="0" w:space="0" w:color="auto"/>
        <w:bottom w:val="none" w:sz="0" w:space="0" w:color="auto"/>
        <w:right w:val="none" w:sz="0" w:space="0" w:color="auto"/>
      </w:divBdr>
    </w:div>
    <w:div w:id="713963550">
      <w:bodyDiv w:val="1"/>
      <w:marLeft w:val="0"/>
      <w:marRight w:val="0"/>
      <w:marTop w:val="0"/>
      <w:marBottom w:val="0"/>
      <w:divBdr>
        <w:top w:val="none" w:sz="0" w:space="0" w:color="auto"/>
        <w:left w:val="none" w:sz="0" w:space="0" w:color="auto"/>
        <w:bottom w:val="none" w:sz="0" w:space="0" w:color="auto"/>
        <w:right w:val="none" w:sz="0" w:space="0" w:color="auto"/>
      </w:divBdr>
      <w:divsChild>
        <w:div w:id="953561563">
          <w:marLeft w:val="0"/>
          <w:marRight w:val="0"/>
          <w:marTop w:val="120"/>
          <w:marBottom w:val="0"/>
          <w:divBdr>
            <w:top w:val="none" w:sz="0" w:space="0" w:color="auto"/>
            <w:left w:val="none" w:sz="0" w:space="0" w:color="auto"/>
            <w:bottom w:val="none" w:sz="0" w:space="0" w:color="auto"/>
            <w:right w:val="none" w:sz="0" w:space="0" w:color="auto"/>
          </w:divBdr>
        </w:div>
        <w:div w:id="1024357669">
          <w:marLeft w:val="0"/>
          <w:marRight w:val="0"/>
          <w:marTop w:val="120"/>
          <w:marBottom w:val="0"/>
          <w:divBdr>
            <w:top w:val="none" w:sz="0" w:space="0" w:color="auto"/>
            <w:left w:val="none" w:sz="0" w:space="0" w:color="auto"/>
            <w:bottom w:val="none" w:sz="0" w:space="0" w:color="auto"/>
            <w:right w:val="none" w:sz="0" w:space="0" w:color="auto"/>
          </w:divBdr>
        </w:div>
      </w:divsChild>
    </w:div>
    <w:div w:id="806163345">
      <w:bodyDiv w:val="1"/>
      <w:marLeft w:val="0"/>
      <w:marRight w:val="0"/>
      <w:marTop w:val="0"/>
      <w:marBottom w:val="0"/>
      <w:divBdr>
        <w:top w:val="none" w:sz="0" w:space="0" w:color="auto"/>
        <w:left w:val="none" w:sz="0" w:space="0" w:color="auto"/>
        <w:bottom w:val="none" w:sz="0" w:space="0" w:color="auto"/>
        <w:right w:val="none" w:sz="0" w:space="0" w:color="auto"/>
      </w:divBdr>
      <w:divsChild>
        <w:div w:id="1469123853">
          <w:marLeft w:val="0"/>
          <w:marRight w:val="0"/>
          <w:marTop w:val="120"/>
          <w:marBottom w:val="0"/>
          <w:divBdr>
            <w:top w:val="none" w:sz="0" w:space="0" w:color="auto"/>
            <w:left w:val="none" w:sz="0" w:space="0" w:color="auto"/>
            <w:bottom w:val="none" w:sz="0" w:space="0" w:color="auto"/>
            <w:right w:val="none" w:sz="0" w:space="0" w:color="auto"/>
          </w:divBdr>
        </w:div>
      </w:divsChild>
    </w:div>
    <w:div w:id="956065746">
      <w:bodyDiv w:val="1"/>
      <w:marLeft w:val="0"/>
      <w:marRight w:val="0"/>
      <w:marTop w:val="0"/>
      <w:marBottom w:val="0"/>
      <w:divBdr>
        <w:top w:val="none" w:sz="0" w:space="0" w:color="auto"/>
        <w:left w:val="none" w:sz="0" w:space="0" w:color="auto"/>
        <w:bottom w:val="none" w:sz="0" w:space="0" w:color="auto"/>
        <w:right w:val="none" w:sz="0" w:space="0" w:color="auto"/>
      </w:divBdr>
    </w:div>
    <w:div w:id="1343312756">
      <w:bodyDiv w:val="1"/>
      <w:marLeft w:val="0"/>
      <w:marRight w:val="0"/>
      <w:marTop w:val="0"/>
      <w:marBottom w:val="0"/>
      <w:divBdr>
        <w:top w:val="none" w:sz="0" w:space="0" w:color="auto"/>
        <w:left w:val="none" w:sz="0" w:space="0" w:color="auto"/>
        <w:bottom w:val="none" w:sz="0" w:space="0" w:color="auto"/>
        <w:right w:val="none" w:sz="0" w:space="0" w:color="auto"/>
      </w:divBdr>
    </w:div>
    <w:div w:id="1365641592">
      <w:bodyDiv w:val="1"/>
      <w:marLeft w:val="0"/>
      <w:marRight w:val="0"/>
      <w:marTop w:val="0"/>
      <w:marBottom w:val="0"/>
      <w:divBdr>
        <w:top w:val="none" w:sz="0" w:space="0" w:color="auto"/>
        <w:left w:val="none" w:sz="0" w:space="0" w:color="auto"/>
        <w:bottom w:val="none" w:sz="0" w:space="0" w:color="auto"/>
        <w:right w:val="none" w:sz="0" w:space="0" w:color="auto"/>
      </w:divBdr>
      <w:divsChild>
        <w:div w:id="978147493">
          <w:marLeft w:val="0"/>
          <w:marRight w:val="0"/>
          <w:marTop w:val="120"/>
          <w:marBottom w:val="0"/>
          <w:divBdr>
            <w:top w:val="none" w:sz="0" w:space="0" w:color="auto"/>
            <w:left w:val="none" w:sz="0" w:space="0" w:color="auto"/>
            <w:bottom w:val="none" w:sz="0" w:space="0" w:color="auto"/>
            <w:right w:val="none" w:sz="0" w:space="0" w:color="auto"/>
          </w:divBdr>
        </w:div>
        <w:div w:id="1171915783">
          <w:marLeft w:val="0"/>
          <w:marRight w:val="0"/>
          <w:marTop w:val="240"/>
          <w:marBottom w:val="24"/>
          <w:divBdr>
            <w:top w:val="single" w:sz="8" w:space="2" w:color="808080"/>
            <w:left w:val="none" w:sz="0" w:space="0" w:color="auto"/>
            <w:bottom w:val="none" w:sz="0" w:space="0" w:color="auto"/>
            <w:right w:val="none" w:sz="0" w:space="0" w:color="auto"/>
          </w:divBdr>
        </w:div>
        <w:div w:id="281157793">
          <w:marLeft w:val="0"/>
          <w:marRight w:val="0"/>
          <w:marTop w:val="120"/>
          <w:marBottom w:val="0"/>
          <w:divBdr>
            <w:top w:val="none" w:sz="0" w:space="0" w:color="auto"/>
            <w:left w:val="none" w:sz="0" w:space="0" w:color="auto"/>
            <w:bottom w:val="none" w:sz="0" w:space="0" w:color="auto"/>
            <w:right w:val="none" w:sz="0" w:space="0" w:color="auto"/>
          </w:divBdr>
        </w:div>
        <w:div w:id="1339230301">
          <w:marLeft w:val="0"/>
          <w:marRight w:val="0"/>
          <w:marTop w:val="120"/>
          <w:marBottom w:val="0"/>
          <w:divBdr>
            <w:top w:val="none" w:sz="0" w:space="0" w:color="auto"/>
            <w:left w:val="none" w:sz="0" w:space="0" w:color="auto"/>
            <w:bottom w:val="none" w:sz="0" w:space="0" w:color="auto"/>
            <w:right w:val="none" w:sz="0" w:space="0" w:color="auto"/>
          </w:divBdr>
        </w:div>
      </w:divsChild>
    </w:div>
    <w:div w:id="1707365090">
      <w:bodyDiv w:val="1"/>
      <w:marLeft w:val="0"/>
      <w:marRight w:val="0"/>
      <w:marTop w:val="0"/>
      <w:marBottom w:val="0"/>
      <w:divBdr>
        <w:top w:val="none" w:sz="0" w:space="0" w:color="auto"/>
        <w:left w:val="none" w:sz="0" w:space="0" w:color="auto"/>
        <w:bottom w:val="none" w:sz="0" w:space="0" w:color="auto"/>
        <w:right w:val="none" w:sz="0" w:space="0" w:color="auto"/>
      </w:divBdr>
      <w:divsChild>
        <w:div w:id="1670984219">
          <w:marLeft w:val="1871"/>
          <w:marRight w:val="0"/>
          <w:marTop w:val="120"/>
          <w:marBottom w:val="0"/>
          <w:divBdr>
            <w:top w:val="none" w:sz="0" w:space="0" w:color="auto"/>
            <w:left w:val="none" w:sz="0" w:space="0" w:color="auto"/>
            <w:bottom w:val="none" w:sz="0" w:space="0" w:color="auto"/>
            <w:right w:val="none" w:sz="0" w:space="0" w:color="auto"/>
          </w:divBdr>
        </w:div>
        <w:div w:id="1288851285">
          <w:marLeft w:val="1871"/>
          <w:marRight w:val="0"/>
          <w:marTop w:val="120"/>
          <w:marBottom w:val="0"/>
          <w:divBdr>
            <w:top w:val="none" w:sz="0" w:space="0" w:color="auto"/>
            <w:left w:val="none" w:sz="0" w:space="0" w:color="auto"/>
            <w:bottom w:val="none" w:sz="0" w:space="0" w:color="auto"/>
            <w:right w:val="none" w:sz="0" w:space="0" w:color="auto"/>
          </w:divBdr>
        </w:div>
        <w:div w:id="571163439">
          <w:marLeft w:val="1871"/>
          <w:marRight w:val="0"/>
          <w:marTop w:val="120"/>
          <w:marBottom w:val="0"/>
          <w:divBdr>
            <w:top w:val="none" w:sz="0" w:space="0" w:color="auto"/>
            <w:left w:val="none" w:sz="0" w:space="0" w:color="auto"/>
            <w:bottom w:val="none" w:sz="0" w:space="0" w:color="auto"/>
            <w:right w:val="none" w:sz="0" w:space="0" w:color="auto"/>
          </w:divBdr>
        </w:div>
        <w:div w:id="1837115671">
          <w:marLeft w:val="1871"/>
          <w:marRight w:val="0"/>
          <w:marTop w:val="120"/>
          <w:marBottom w:val="0"/>
          <w:divBdr>
            <w:top w:val="none" w:sz="0" w:space="0" w:color="auto"/>
            <w:left w:val="none" w:sz="0" w:space="0" w:color="auto"/>
            <w:bottom w:val="none" w:sz="0" w:space="0" w:color="auto"/>
            <w:right w:val="none" w:sz="0" w:space="0" w:color="auto"/>
          </w:divBdr>
        </w:div>
      </w:divsChild>
    </w:div>
    <w:div w:id="1718044730">
      <w:bodyDiv w:val="1"/>
      <w:marLeft w:val="0"/>
      <w:marRight w:val="0"/>
      <w:marTop w:val="0"/>
      <w:marBottom w:val="0"/>
      <w:divBdr>
        <w:top w:val="none" w:sz="0" w:space="0" w:color="auto"/>
        <w:left w:val="none" w:sz="0" w:space="0" w:color="auto"/>
        <w:bottom w:val="none" w:sz="0" w:space="0" w:color="auto"/>
        <w:right w:val="none" w:sz="0" w:space="0" w:color="auto"/>
      </w:divBdr>
    </w:div>
    <w:div w:id="1766224386">
      <w:bodyDiv w:val="1"/>
      <w:marLeft w:val="0"/>
      <w:marRight w:val="0"/>
      <w:marTop w:val="0"/>
      <w:marBottom w:val="0"/>
      <w:divBdr>
        <w:top w:val="none" w:sz="0" w:space="0" w:color="auto"/>
        <w:left w:val="none" w:sz="0" w:space="0" w:color="auto"/>
        <w:bottom w:val="none" w:sz="0" w:space="0" w:color="auto"/>
        <w:right w:val="none" w:sz="0" w:space="0" w:color="auto"/>
      </w:divBdr>
      <w:divsChild>
        <w:div w:id="1790009718">
          <w:marLeft w:val="0"/>
          <w:marRight w:val="0"/>
          <w:marTop w:val="120"/>
          <w:marBottom w:val="0"/>
          <w:divBdr>
            <w:top w:val="none" w:sz="0" w:space="0" w:color="auto"/>
            <w:left w:val="none" w:sz="0" w:space="0" w:color="auto"/>
            <w:bottom w:val="none" w:sz="0" w:space="0" w:color="auto"/>
            <w:right w:val="none" w:sz="0" w:space="0" w:color="auto"/>
          </w:divBdr>
        </w:div>
        <w:div w:id="387917604">
          <w:marLeft w:val="1134"/>
          <w:marRight w:val="0"/>
          <w:marTop w:val="60"/>
          <w:marBottom w:val="0"/>
          <w:divBdr>
            <w:top w:val="none" w:sz="0" w:space="0" w:color="auto"/>
            <w:left w:val="none" w:sz="0" w:space="0" w:color="auto"/>
            <w:bottom w:val="none" w:sz="0" w:space="0" w:color="auto"/>
            <w:right w:val="none" w:sz="0" w:space="0" w:color="auto"/>
          </w:divBdr>
        </w:div>
        <w:div w:id="741025160">
          <w:marLeft w:val="1134"/>
          <w:marRight w:val="0"/>
          <w:marTop w:val="60"/>
          <w:marBottom w:val="0"/>
          <w:divBdr>
            <w:top w:val="none" w:sz="0" w:space="0" w:color="auto"/>
            <w:left w:val="none" w:sz="0" w:space="0" w:color="auto"/>
            <w:bottom w:val="none" w:sz="0" w:space="0" w:color="auto"/>
            <w:right w:val="none" w:sz="0" w:space="0" w:color="auto"/>
          </w:divBdr>
        </w:div>
        <w:div w:id="1401755652">
          <w:marLeft w:val="1134"/>
          <w:marRight w:val="0"/>
          <w:marTop w:val="60"/>
          <w:marBottom w:val="0"/>
          <w:divBdr>
            <w:top w:val="none" w:sz="0" w:space="0" w:color="auto"/>
            <w:left w:val="none" w:sz="0" w:space="0" w:color="auto"/>
            <w:bottom w:val="none" w:sz="0" w:space="0" w:color="auto"/>
            <w:right w:val="none" w:sz="0" w:space="0" w:color="auto"/>
          </w:divBdr>
        </w:div>
      </w:divsChild>
    </w:div>
    <w:div w:id="1804468568">
      <w:bodyDiv w:val="1"/>
      <w:marLeft w:val="0"/>
      <w:marRight w:val="0"/>
      <w:marTop w:val="0"/>
      <w:marBottom w:val="0"/>
      <w:divBdr>
        <w:top w:val="none" w:sz="0" w:space="0" w:color="auto"/>
        <w:left w:val="none" w:sz="0" w:space="0" w:color="auto"/>
        <w:bottom w:val="none" w:sz="0" w:space="0" w:color="auto"/>
        <w:right w:val="none" w:sz="0" w:space="0" w:color="auto"/>
      </w:divBdr>
      <w:divsChild>
        <w:div w:id="675352565">
          <w:marLeft w:val="0"/>
          <w:marRight w:val="0"/>
          <w:marTop w:val="120"/>
          <w:marBottom w:val="0"/>
          <w:divBdr>
            <w:top w:val="none" w:sz="0" w:space="0" w:color="auto"/>
            <w:left w:val="none" w:sz="0" w:space="0" w:color="auto"/>
            <w:bottom w:val="none" w:sz="0" w:space="0" w:color="auto"/>
            <w:right w:val="none" w:sz="0" w:space="0" w:color="auto"/>
          </w:divBdr>
        </w:div>
        <w:div w:id="982809293">
          <w:marLeft w:val="0"/>
          <w:marRight w:val="0"/>
          <w:marTop w:val="240"/>
          <w:marBottom w:val="24"/>
          <w:divBdr>
            <w:top w:val="single" w:sz="8" w:space="2" w:color="808080"/>
            <w:left w:val="none" w:sz="0" w:space="0" w:color="auto"/>
            <w:bottom w:val="none" w:sz="0" w:space="0" w:color="auto"/>
            <w:right w:val="none" w:sz="0" w:space="0" w:color="auto"/>
          </w:divBdr>
        </w:div>
        <w:div w:id="1140031383">
          <w:marLeft w:val="0"/>
          <w:marRight w:val="0"/>
          <w:marTop w:val="120"/>
          <w:marBottom w:val="0"/>
          <w:divBdr>
            <w:top w:val="none" w:sz="0" w:space="0" w:color="auto"/>
            <w:left w:val="none" w:sz="0" w:space="0" w:color="auto"/>
            <w:bottom w:val="none" w:sz="0" w:space="0" w:color="auto"/>
            <w:right w:val="none" w:sz="0" w:space="0" w:color="auto"/>
          </w:divBdr>
        </w:div>
        <w:div w:id="1913461735">
          <w:marLeft w:val="0"/>
          <w:marRight w:val="0"/>
          <w:marTop w:val="120"/>
          <w:marBottom w:val="0"/>
          <w:divBdr>
            <w:top w:val="none" w:sz="0" w:space="0" w:color="auto"/>
            <w:left w:val="none" w:sz="0" w:space="0" w:color="auto"/>
            <w:bottom w:val="none" w:sz="0" w:space="0" w:color="auto"/>
            <w:right w:val="none" w:sz="0" w:space="0" w:color="auto"/>
          </w:divBdr>
        </w:div>
      </w:divsChild>
    </w:div>
    <w:div w:id="1908608758">
      <w:bodyDiv w:val="1"/>
      <w:marLeft w:val="0"/>
      <w:marRight w:val="0"/>
      <w:marTop w:val="0"/>
      <w:marBottom w:val="0"/>
      <w:divBdr>
        <w:top w:val="none" w:sz="0" w:space="0" w:color="auto"/>
        <w:left w:val="none" w:sz="0" w:space="0" w:color="auto"/>
        <w:bottom w:val="none" w:sz="0" w:space="0" w:color="auto"/>
        <w:right w:val="none" w:sz="0" w:space="0" w:color="auto"/>
      </w:divBdr>
    </w:div>
    <w:div w:id="20661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disp.pl?file=za/cases/ZASCA/2022/66.html&amp;query=%20me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3024-00FC-48B4-A357-B281FB3E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Mokone</cp:lastModifiedBy>
  <cp:revision>2</cp:revision>
  <cp:lastPrinted>2023-04-27T11:44:00Z</cp:lastPrinted>
  <dcterms:created xsi:type="dcterms:W3CDTF">2023-05-29T12:48:00Z</dcterms:created>
  <dcterms:modified xsi:type="dcterms:W3CDTF">2023-05-29T12:48:00Z</dcterms:modified>
</cp:coreProperties>
</file>